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612419">
        <w:rPr>
          <w:rFonts w:ascii="Times New Roman" w:hAnsi="Times New Roman"/>
          <w:b/>
        </w:rPr>
        <w:t xml:space="preserve"> 28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020B68">
        <w:rPr>
          <w:rFonts w:ascii="Times New Roman" w:hAnsi="Times New Roman"/>
          <w:b/>
        </w:rPr>
        <w:t>BOONE COUNTY SCHOOLS AND THE COMMONWEALTH OF KENTUCKY, DEPARTMENT OF EDUCATION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>Boone County Schools and The Commonwealth of Kentucky, Department of Education to establish an agreement for Kentucky Innovation Lab Network Travel Fund grant.  This MOA in the amount of $2,500.00 is effective from February 18, 2019 through June 30, 2019.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C2E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CD5C-D9D4-4355-AD2C-256591C0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2019-02-28T20:19:00Z</cp:lastPrinted>
  <dcterms:created xsi:type="dcterms:W3CDTF">2019-02-28T20:26:00Z</dcterms:created>
  <dcterms:modified xsi:type="dcterms:W3CDTF">2019-02-28T20:26:00Z</dcterms:modified>
</cp:coreProperties>
</file>