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F732B" w14:textId="77777777" w:rsidR="00FC3FF8" w:rsidRDefault="00FC3FF8">
      <w:pPr>
        <w:pStyle w:val="Title"/>
      </w:pPr>
      <w:bookmarkStart w:id="0" w:name="_GoBack"/>
      <w:bookmarkEnd w:id="0"/>
    </w:p>
    <w:p w14:paraId="69502EB1" w14:textId="4D9AC879" w:rsidR="00071162" w:rsidRDefault="00071162">
      <w:pPr>
        <w:pStyle w:val="Title"/>
      </w:pPr>
      <w:r>
        <w:t>KENTUCKY MUNICIPAL ENERGY AGENCY</w:t>
      </w:r>
    </w:p>
    <w:p w14:paraId="441C2D38" w14:textId="70F0DD8B" w:rsidR="00FC3FF8" w:rsidRDefault="003C05B6">
      <w:pPr>
        <w:jc w:val="center"/>
        <w:rPr>
          <w:b/>
          <w:color w:val="808080"/>
        </w:rPr>
      </w:pPr>
      <w:r>
        <w:rPr>
          <w:b/>
          <w:color w:val="808080"/>
        </w:rPr>
        <w:t xml:space="preserve">ENTERPRISE </w:t>
      </w:r>
      <w:r w:rsidR="00FC3FF8">
        <w:rPr>
          <w:b/>
          <w:color w:val="808080"/>
        </w:rPr>
        <w:t xml:space="preserve">RISK MANAGEMENT PROGRAM </w:t>
      </w:r>
    </w:p>
    <w:p w14:paraId="07FF8CEC" w14:textId="77777777" w:rsidR="00FC3FF8" w:rsidRDefault="00FC3FF8">
      <w:pPr>
        <w:jc w:val="center"/>
        <w:rPr>
          <w:b/>
          <w:color w:val="808080"/>
        </w:rPr>
      </w:pPr>
      <w:r>
        <w:rPr>
          <w:b/>
          <w:color w:val="808080"/>
        </w:rPr>
        <w:t>POLICY</w:t>
      </w:r>
    </w:p>
    <w:p w14:paraId="71CDE976" w14:textId="77777777" w:rsidR="00FC3FF8" w:rsidRDefault="00FC3FF8">
      <w:pPr>
        <w:jc w:val="center"/>
        <w:rPr>
          <w:b/>
        </w:rPr>
      </w:pPr>
    </w:p>
    <w:p w14:paraId="038248C2" w14:textId="77777777" w:rsidR="00FC3FF8" w:rsidRDefault="00FC3FF8">
      <w:pPr>
        <w:pStyle w:val="Heading1"/>
        <w:jc w:val="center"/>
        <w:rPr>
          <w:color w:val="000000"/>
        </w:rPr>
      </w:pPr>
      <w:r>
        <w:rPr>
          <w:color w:val="000000"/>
        </w:rPr>
        <w:t>OUTLINE</w:t>
      </w:r>
    </w:p>
    <w:p w14:paraId="382DFBBD" w14:textId="77777777" w:rsidR="00FC3FF8" w:rsidRDefault="00FC3FF8">
      <w:pPr>
        <w:rPr>
          <w:sz w:val="22"/>
        </w:rPr>
      </w:pPr>
    </w:p>
    <w:p w14:paraId="571F6384" w14:textId="77777777" w:rsidR="00FC3FF8" w:rsidRDefault="00FC3FF8">
      <w:pPr>
        <w:pStyle w:val="Heading8"/>
        <w:rPr>
          <w:color w:val="000080"/>
        </w:rPr>
      </w:pPr>
      <w:r>
        <w:rPr>
          <w:color w:val="000080"/>
        </w:rPr>
        <w:t>INTRODUCTION</w:t>
      </w:r>
    </w:p>
    <w:p w14:paraId="6A39A155" w14:textId="77777777" w:rsidR="00FC3FF8" w:rsidRDefault="00FC3FF8">
      <w:pPr>
        <w:rPr>
          <w:sz w:val="22"/>
        </w:rPr>
      </w:pPr>
    </w:p>
    <w:p w14:paraId="3FEF26AD" w14:textId="77777777" w:rsidR="00FC3FF8" w:rsidRDefault="00FC3FF8">
      <w:pPr>
        <w:pStyle w:val="Heading8"/>
        <w:rPr>
          <w:color w:val="000080"/>
        </w:rPr>
      </w:pPr>
      <w:r>
        <w:rPr>
          <w:color w:val="000080"/>
        </w:rPr>
        <w:t>OBJECTIVES</w:t>
      </w:r>
    </w:p>
    <w:p w14:paraId="54AB8ACC" w14:textId="77777777" w:rsidR="00FC3FF8" w:rsidRDefault="00FC3FF8">
      <w:pPr>
        <w:ind w:left="720"/>
        <w:rPr>
          <w:sz w:val="22"/>
        </w:rPr>
      </w:pPr>
    </w:p>
    <w:p w14:paraId="53F886AE" w14:textId="77777777" w:rsidR="00FC3FF8" w:rsidRDefault="00FC3FF8">
      <w:pPr>
        <w:pStyle w:val="Heading8"/>
        <w:rPr>
          <w:color w:val="000080"/>
          <w:sz w:val="22"/>
        </w:rPr>
      </w:pPr>
      <w:r>
        <w:rPr>
          <w:color w:val="000080"/>
          <w:sz w:val="22"/>
        </w:rPr>
        <w:t>RISK</w:t>
      </w:r>
    </w:p>
    <w:p w14:paraId="0053A17F" w14:textId="4609B4E1" w:rsidR="00FC3FF8" w:rsidRDefault="00071162">
      <w:pPr>
        <w:pStyle w:val="Heading2"/>
        <w:rPr>
          <w:b w:val="0"/>
        </w:rPr>
      </w:pPr>
      <w:r>
        <w:rPr>
          <w:b w:val="0"/>
        </w:rPr>
        <w:t>Agency</w:t>
      </w:r>
      <w:r w:rsidR="00FC3FF8">
        <w:rPr>
          <w:b w:val="0"/>
        </w:rPr>
        <w:t xml:space="preserve"> Exposure</w:t>
      </w:r>
    </w:p>
    <w:p w14:paraId="23674846" w14:textId="77777777" w:rsidR="00FC3FF8" w:rsidRDefault="00FC3FF8">
      <w:r>
        <w:tab/>
        <w:t>Market Risk</w:t>
      </w:r>
    </w:p>
    <w:p w14:paraId="4C4C75AE" w14:textId="77777777" w:rsidR="00FC3FF8" w:rsidRDefault="00FC3FF8">
      <w:r>
        <w:tab/>
        <w:t>Credit Risk</w:t>
      </w:r>
    </w:p>
    <w:p w14:paraId="2C4B6AAE" w14:textId="77777777" w:rsidR="00FC3FF8" w:rsidRDefault="00FC3FF8">
      <w:pPr>
        <w:ind w:left="720" w:firstLine="720"/>
        <w:rPr>
          <w:sz w:val="22"/>
        </w:rPr>
      </w:pPr>
    </w:p>
    <w:p w14:paraId="64486036" w14:textId="77777777" w:rsidR="00FC3FF8" w:rsidRDefault="00FC3FF8">
      <w:pPr>
        <w:pStyle w:val="Heading8"/>
        <w:rPr>
          <w:color w:val="000080"/>
          <w:sz w:val="22"/>
        </w:rPr>
      </w:pPr>
      <w:r>
        <w:rPr>
          <w:color w:val="000080"/>
          <w:sz w:val="22"/>
        </w:rPr>
        <w:t>ORGANIZATIONAL STRUCTURE AND RESPONSIBILITIES</w:t>
      </w:r>
    </w:p>
    <w:p w14:paraId="479FF100" w14:textId="7D6CFD4B" w:rsidR="00FC3FF8" w:rsidRDefault="00071162">
      <w:pPr>
        <w:ind w:left="720"/>
        <w:rPr>
          <w:color w:val="000000"/>
          <w:sz w:val="22"/>
        </w:rPr>
      </w:pPr>
      <w:r>
        <w:rPr>
          <w:color w:val="000000"/>
          <w:sz w:val="22"/>
        </w:rPr>
        <w:t>Kentucky Municipal Energy Agency</w:t>
      </w:r>
    </w:p>
    <w:p w14:paraId="5DED70BA" w14:textId="0923A944" w:rsidR="00FC3FF8" w:rsidRDefault="008B5C3B">
      <w:pPr>
        <w:ind w:left="720"/>
        <w:rPr>
          <w:color w:val="000000"/>
          <w:sz w:val="22"/>
        </w:rPr>
      </w:pPr>
      <w:r>
        <w:rPr>
          <w:color w:val="000000"/>
          <w:sz w:val="22"/>
        </w:rPr>
        <w:t>Board Risk</w:t>
      </w:r>
      <w:r w:rsidR="005E189C">
        <w:rPr>
          <w:color w:val="000000"/>
          <w:sz w:val="22"/>
        </w:rPr>
        <w:t xml:space="preserve"> Oversight Committee</w:t>
      </w:r>
    </w:p>
    <w:p w14:paraId="790A86B4" w14:textId="2956EE84" w:rsidR="00FC3FF8" w:rsidRDefault="004C58FE">
      <w:pPr>
        <w:ind w:left="720"/>
        <w:rPr>
          <w:color w:val="000000"/>
          <w:sz w:val="22"/>
        </w:rPr>
      </w:pPr>
      <w:r>
        <w:rPr>
          <w:color w:val="000000"/>
          <w:sz w:val="22"/>
        </w:rPr>
        <w:t>Internal Risk</w:t>
      </w:r>
      <w:r w:rsidR="00FC3FF8">
        <w:rPr>
          <w:color w:val="000000"/>
          <w:sz w:val="22"/>
        </w:rPr>
        <w:t xml:space="preserve"> </w:t>
      </w:r>
      <w:r>
        <w:rPr>
          <w:color w:val="000000"/>
          <w:sz w:val="22"/>
        </w:rPr>
        <w:t>Management Committee</w:t>
      </w:r>
    </w:p>
    <w:p w14:paraId="23DEA041" w14:textId="77777777" w:rsidR="00FC3FF8" w:rsidRDefault="00FC3FF8">
      <w:pPr>
        <w:ind w:left="720"/>
        <w:rPr>
          <w:color w:val="000000"/>
          <w:sz w:val="22"/>
          <w:u w:val="single"/>
        </w:rPr>
      </w:pPr>
      <w:r>
        <w:rPr>
          <w:color w:val="000000"/>
          <w:sz w:val="22"/>
        </w:rPr>
        <w:t>Additional Management Reporting</w:t>
      </w:r>
    </w:p>
    <w:p w14:paraId="2EB690A4" w14:textId="77777777" w:rsidR="00FC3FF8" w:rsidRDefault="00FC3FF8">
      <w:pPr>
        <w:rPr>
          <w:sz w:val="22"/>
        </w:rPr>
      </w:pPr>
    </w:p>
    <w:p w14:paraId="2CD7B1CE" w14:textId="77777777" w:rsidR="00FC3FF8" w:rsidRDefault="00FC3FF8">
      <w:pPr>
        <w:pStyle w:val="Heading8"/>
        <w:rPr>
          <w:color w:val="000080"/>
          <w:sz w:val="22"/>
        </w:rPr>
      </w:pPr>
      <w:r>
        <w:rPr>
          <w:color w:val="000080"/>
          <w:sz w:val="22"/>
        </w:rPr>
        <w:t>AUTHORIZATION AND LIMITS</w:t>
      </w:r>
    </w:p>
    <w:p w14:paraId="69CCF796" w14:textId="77777777" w:rsidR="00FC3FF8" w:rsidRDefault="00FC3FF8">
      <w:pPr>
        <w:ind w:left="720"/>
      </w:pPr>
      <w:r>
        <w:t>Authorization</w:t>
      </w:r>
    </w:p>
    <w:p w14:paraId="774327D4" w14:textId="77777777" w:rsidR="00FC3FF8" w:rsidRDefault="00FC3FF8">
      <w:pPr>
        <w:ind w:left="720"/>
      </w:pPr>
      <w:r>
        <w:t>Volume Limit</w:t>
      </w:r>
    </w:p>
    <w:p w14:paraId="665BF742" w14:textId="77777777" w:rsidR="00FC3FF8" w:rsidRDefault="00FC3FF8">
      <w:pPr>
        <w:ind w:left="720"/>
      </w:pPr>
      <w:r>
        <w:t>Financial Limit</w:t>
      </w:r>
    </w:p>
    <w:p w14:paraId="712999EE" w14:textId="77777777" w:rsidR="00FC3FF8" w:rsidRDefault="00FC3FF8">
      <w:pPr>
        <w:rPr>
          <w:sz w:val="22"/>
        </w:rPr>
      </w:pPr>
    </w:p>
    <w:p w14:paraId="6403426F" w14:textId="77777777" w:rsidR="00FC3FF8" w:rsidRDefault="00FC3FF8">
      <w:pPr>
        <w:pStyle w:val="Heading8"/>
        <w:rPr>
          <w:color w:val="000080"/>
          <w:sz w:val="22"/>
        </w:rPr>
      </w:pPr>
      <w:r>
        <w:rPr>
          <w:color w:val="000080"/>
          <w:sz w:val="22"/>
        </w:rPr>
        <w:t>INTERNAL CONTROLS</w:t>
      </w:r>
    </w:p>
    <w:p w14:paraId="6C1889A4" w14:textId="5809D634" w:rsidR="00FC3FF8" w:rsidRDefault="00FC3FF8">
      <w:pPr>
        <w:ind w:left="720"/>
      </w:pPr>
      <w:r>
        <w:t xml:space="preserve">Segregation of </w:t>
      </w:r>
      <w:r w:rsidR="005E189C">
        <w:t>Functional</w:t>
      </w:r>
      <w:r>
        <w:t xml:space="preserve"> Responsibilities</w:t>
      </w:r>
    </w:p>
    <w:p w14:paraId="0465594F" w14:textId="77777777" w:rsidR="00FC3FF8" w:rsidRDefault="00FC3FF8"/>
    <w:p w14:paraId="3F1FE193" w14:textId="77777777" w:rsidR="00FC3FF8" w:rsidRDefault="00FC3FF8">
      <w:pPr>
        <w:pStyle w:val="Heading8"/>
        <w:rPr>
          <w:color w:val="000080"/>
        </w:rPr>
      </w:pPr>
      <w:r>
        <w:rPr>
          <w:color w:val="000080"/>
        </w:rPr>
        <w:t>CONFLICTS OF INTEREST</w:t>
      </w:r>
    </w:p>
    <w:p w14:paraId="451D8EE2" w14:textId="77777777" w:rsidR="00FC3FF8" w:rsidRDefault="00FC3FF8">
      <w:pPr>
        <w:rPr>
          <w:color w:val="000080"/>
        </w:rPr>
      </w:pPr>
    </w:p>
    <w:p w14:paraId="19FF3CB6" w14:textId="77777777" w:rsidR="00FC3FF8" w:rsidRDefault="00FC3FF8">
      <w:pPr>
        <w:rPr>
          <w:b/>
          <w:color w:val="808080"/>
        </w:rPr>
      </w:pPr>
      <w:r>
        <w:rPr>
          <w:color w:val="000080"/>
        </w:rPr>
        <w:t>8</w:t>
      </w:r>
      <w:r>
        <w:rPr>
          <w:color w:val="000080"/>
        </w:rPr>
        <w:tab/>
      </w:r>
      <w:r>
        <w:rPr>
          <w:color w:val="000080"/>
          <w:u w:val="single"/>
        </w:rPr>
        <w:t>POLICY REVIEW</w:t>
      </w:r>
    </w:p>
    <w:p w14:paraId="6FC8C5F7" w14:textId="77777777" w:rsidR="00FC3FF8" w:rsidRDefault="00FC3FF8">
      <w:pPr>
        <w:jc w:val="center"/>
        <w:rPr>
          <w:b/>
          <w:color w:val="808080"/>
        </w:rPr>
      </w:pPr>
    </w:p>
    <w:p w14:paraId="045F893F" w14:textId="77777777" w:rsidR="00FC3FF8" w:rsidRDefault="00FC3FF8">
      <w:pPr>
        <w:jc w:val="center"/>
        <w:rPr>
          <w:b/>
          <w:color w:val="808080"/>
        </w:rPr>
      </w:pPr>
    </w:p>
    <w:p w14:paraId="6020FABF" w14:textId="77777777" w:rsidR="00FC3FF8" w:rsidRDefault="00FC3FF8">
      <w:pPr>
        <w:jc w:val="center"/>
        <w:rPr>
          <w:b/>
          <w:color w:val="808080"/>
        </w:rPr>
      </w:pPr>
    </w:p>
    <w:p w14:paraId="6C404873" w14:textId="77777777" w:rsidR="00FC3FF8" w:rsidRDefault="00FC3FF8">
      <w:pPr>
        <w:jc w:val="center"/>
        <w:rPr>
          <w:b/>
          <w:color w:val="808080"/>
        </w:rPr>
      </w:pPr>
    </w:p>
    <w:p w14:paraId="79286686" w14:textId="77777777" w:rsidR="00FC3FF8" w:rsidRDefault="00FC3FF8">
      <w:pPr>
        <w:jc w:val="center"/>
        <w:rPr>
          <w:b/>
          <w:color w:val="808080"/>
        </w:rPr>
      </w:pPr>
    </w:p>
    <w:p w14:paraId="1DF22189" w14:textId="77777777" w:rsidR="00FC3FF8" w:rsidRDefault="00FC3FF8">
      <w:pPr>
        <w:jc w:val="center"/>
        <w:rPr>
          <w:b/>
          <w:color w:val="808080"/>
        </w:rPr>
      </w:pPr>
    </w:p>
    <w:p w14:paraId="6CFD4C2C" w14:textId="77777777" w:rsidR="00FC3FF8" w:rsidRDefault="00FC3FF8">
      <w:pPr>
        <w:jc w:val="center"/>
        <w:rPr>
          <w:b/>
          <w:color w:val="808080"/>
        </w:rPr>
      </w:pPr>
    </w:p>
    <w:p w14:paraId="4C603828" w14:textId="77777777" w:rsidR="00FC3FF8" w:rsidRDefault="00FC3FF8">
      <w:pPr>
        <w:jc w:val="center"/>
        <w:rPr>
          <w:b/>
          <w:color w:val="808080"/>
        </w:rPr>
      </w:pPr>
    </w:p>
    <w:p w14:paraId="22574042" w14:textId="77777777" w:rsidR="00FC3FF8" w:rsidRDefault="00FC3FF8">
      <w:pPr>
        <w:jc w:val="center"/>
        <w:rPr>
          <w:b/>
          <w:color w:val="808080"/>
        </w:rPr>
      </w:pPr>
    </w:p>
    <w:p w14:paraId="0848E2C5" w14:textId="77777777" w:rsidR="00FC3FF8" w:rsidRDefault="00FC3FF8">
      <w:pPr>
        <w:jc w:val="center"/>
        <w:rPr>
          <w:b/>
          <w:color w:val="808080"/>
        </w:rPr>
      </w:pPr>
    </w:p>
    <w:p w14:paraId="6F305B48" w14:textId="77777777" w:rsidR="00FC3FF8" w:rsidRDefault="00FC3FF8">
      <w:pPr>
        <w:jc w:val="center"/>
        <w:rPr>
          <w:b/>
          <w:color w:val="808080"/>
        </w:rPr>
      </w:pPr>
    </w:p>
    <w:p w14:paraId="2D2AD072" w14:textId="77777777" w:rsidR="00FC3FF8" w:rsidRDefault="00FC3FF8">
      <w:pPr>
        <w:jc w:val="center"/>
        <w:rPr>
          <w:b/>
          <w:color w:val="808080"/>
        </w:rPr>
      </w:pPr>
    </w:p>
    <w:p w14:paraId="5E8B5F7B" w14:textId="593E131E" w:rsidR="00FC3FF8" w:rsidRDefault="00071162">
      <w:pPr>
        <w:jc w:val="center"/>
        <w:rPr>
          <w:b/>
          <w:color w:val="808080"/>
        </w:rPr>
      </w:pPr>
      <w:r>
        <w:rPr>
          <w:b/>
          <w:color w:val="808080"/>
        </w:rPr>
        <w:t>KENTUCKY MUNICIPAL ENERGY AGENCY</w:t>
      </w:r>
    </w:p>
    <w:p w14:paraId="23DAE91F" w14:textId="77777777" w:rsidR="00FC3FF8" w:rsidRDefault="00FC3FF8">
      <w:pPr>
        <w:jc w:val="center"/>
        <w:rPr>
          <w:b/>
          <w:color w:val="808080"/>
        </w:rPr>
      </w:pPr>
      <w:r>
        <w:rPr>
          <w:b/>
          <w:color w:val="808080"/>
        </w:rPr>
        <w:t>ENERGY RISK MANAGEMENT PROGRAM</w:t>
      </w:r>
    </w:p>
    <w:p w14:paraId="202E1245" w14:textId="77777777" w:rsidR="00FC3FF8" w:rsidRDefault="00FC3FF8">
      <w:pPr>
        <w:pStyle w:val="Heading4"/>
      </w:pPr>
      <w:r>
        <w:t>POLICY</w:t>
      </w:r>
    </w:p>
    <w:p w14:paraId="227FA9E6" w14:textId="77777777" w:rsidR="00FC3FF8" w:rsidRDefault="00FC3FF8">
      <w:pPr>
        <w:rPr>
          <w:b/>
        </w:rPr>
      </w:pPr>
    </w:p>
    <w:p w14:paraId="16A5A550" w14:textId="77777777" w:rsidR="00FC3FF8" w:rsidRDefault="00FC3FF8">
      <w:pPr>
        <w:rPr>
          <w:b/>
        </w:rPr>
      </w:pPr>
    </w:p>
    <w:p w14:paraId="6BC3AFD9" w14:textId="77777777" w:rsidR="00FC3FF8" w:rsidRDefault="00FC3FF8">
      <w:pPr>
        <w:pStyle w:val="Heading3"/>
      </w:pPr>
      <w:r>
        <w:t>INTRODUCTION</w:t>
      </w:r>
    </w:p>
    <w:p w14:paraId="4D3E041A" w14:textId="77777777" w:rsidR="00FC3FF8" w:rsidRDefault="00FC3FF8">
      <w:pPr>
        <w:pStyle w:val="Heading2"/>
        <w:ind w:left="0"/>
      </w:pPr>
    </w:p>
    <w:p w14:paraId="5F30456A" w14:textId="77777777" w:rsidR="00FC3FF8" w:rsidRDefault="00FC3FF8"/>
    <w:p w14:paraId="59E3E9E5" w14:textId="15DCCC40" w:rsidR="00FC3FF8" w:rsidRDefault="00FC3FF8">
      <w:r>
        <w:t xml:space="preserve">This Policy defines and establishes the broad base approach for </w:t>
      </w:r>
      <w:r w:rsidR="00071162">
        <w:t>Kentucky Municipal Energy Agency (“KYMEA”)</w:t>
      </w:r>
      <w:r>
        <w:t xml:space="preserve"> Energy Risk Management Program (ERMP).  The Policy establishes and describes the </w:t>
      </w:r>
      <w:r w:rsidR="00071162">
        <w:t>KYMEA</w:t>
      </w:r>
      <w:r>
        <w:t xml:space="preserve"> policy in assuming, assessing, and controlling the level of risk exposure involved in the normal course of the company’s energy related business activities.  </w:t>
      </w:r>
    </w:p>
    <w:p w14:paraId="1790CFBC" w14:textId="77777777" w:rsidR="00FC3FF8" w:rsidRDefault="00FC3FF8"/>
    <w:p w14:paraId="297E1519" w14:textId="77777777" w:rsidR="00FC3FF8" w:rsidRDefault="00FC3FF8"/>
    <w:p w14:paraId="64FC2397" w14:textId="5294696C" w:rsidR="00FC3FF8" w:rsidRDefault="00FC3FF8">
      <w:r>
        <w:t xml:space="preserve">The standards of this policy are designed to ensure that the risk management oversight function remains independent of risk taking activity.  This oversight role, in addition to other controls, is necessary for a comprehensive energy risk management program and will serve to centralize the action taken across </w:t>
      </w:r>
      <w:r w:rsidR="00071162">
        <w:t>KYMEA</w:t>
      </w:r>
      <w:r>
        <w:t xml:space="preserve"> departments. </w:t>
      </w:r>
    </w:p>
    <w:p w14:paraId="37EE4AF2" w14:textId="77777777" w:rsidR="00FC3FF8" w:rsidRDefault="00FC3FF8"/>
    <w:p w14:paraId="4BBDFFC1" w14:textId="77777777" w:rsidR="00FC3FF8" w:rsidRDefault="00FC3FF8">
      <w:pPr>
        <w:pStyle w:val="Heading3"/>
        <w:ind w:left="720" w:hanging="720"/>
      </w:pPr>
      <w:r>
        <w:t>OBJECTIVES</w:t>
      </w:r>
    </w:p>
    <w:p w14:paraId="530960C9" w14:textId="77777777" w:rsidR="00FC3FF8" w:rsidRDefault="00FC3FF8"/>
    <w:p w14:paraId="29D2D869" w14:textId="229D3A97" w:rsidR="00FC3FF8" w:rsidRDefault="00FC3FF8">
      <w:r>
        <w:t xml:space="preserve">It is the policy of </w:t>
      </w:r>
      <w:r w:rsidR="00071162">
        <w:t>KYMEA</w:t>
      </w:r>
      <w:r>
        <w:t xml:space="preserve"> to engage in financial or commodity transactions related to underlying commercial (physical) or financial exposures.  Only financial or commodity transactions using derivatives that would achieve the following objectives are authorized by this energy risk management policy.</w:t>
      </w:r>
      <w:r w:rsidR="005C20DE">
        <w:t xml:space="preserve">  These objectives are not mutually exclusive and achieving them requires a balanced approach to managing risk exposure.  </w:t>
      </w:r>
      <w:r w:rsidR="00160C76">
        <w:t>It is expressly understood that risk management is intended to mitigate risk and does not necessarily result in increased financial profitability.  The purpose of the following objectives is to ensure solvency and facilitate planning and control in the face of increased volatility resulting from market price uncertainty.  It is also understood that current market conditions can influence decision-making.</w:t>
      </w:r>
      <w:r w:rsidR="00BF41B7">
        <w:t xml:space="preserve"> </w:t>
      </w:r>
    </w:p>
    <w:p w14:paraId="18C5025F" w14:textId="77777777" w:rsidR="00FC3FF8" w:rsidRDefault="00FC3FF8">
      <w:r>
        <w:t xml:space="preserve"> </w:t>
      </w:r>
    </w:p>
    <w:p w14:paraId="58F8C243" w14:textId="04DD6AFB" w:rsidR="00FC3FF8" w:rsidRDefault="00FC3FF8">
      <w:r>
        <w:t xml:space="preserve">The following are the specific ERMP objectives for </w:t>
      </w:r>
      <w:r w:rsidR="00071162">
        <w:t>KYMEA</w:t>
      </w:r>
      <w:r>
        <w:t>:</w:t>
      </w:r>
    </w:p>
    <w:p w14:paraId="5A4176AE" w14:textId="77777777" w:rsidR="00FC3FF8" w:rsidRDefault="00FC3FF8"/>
    <w:p w14:paraId="1C72D219" w14:textId="77777777" w:rsidR="00FC3FF8" w:rsidRDefault="00FC3FF8">
      <w:pPr>
        <w:pStyle w:val="BodyTextIndent3"/>
        <w:ind w:left="0"/>
        <w:rPr>
          <w:b/>
        </w:rPr>
      </w:pPr>
    </w:p>
    <w:p w14:paraId="7BF2B73C" w14:textId="77777777" w:rsidR="00FC3FF8" w:rsidRDefault="00FC3FF8">
      <w:pPr>
        <w:ind w:left="720"/>
      </w:pPr>
    </w:p>
    <w:p w14:paraId="296C74CE" w14:textId="77777777" w:rsidR="00FC3FF8" w:rsidRDefault="00FC3FF8"/>
    <w:p w14:paraId="40C9CDFD" w14:textId="0C6B6A27" w:rsidR="00FC3FF8" w:rsidRDefault="00FC3FF8">
      <w:pPr>
        <w:pStyle w:val="BodyText"/>
        <w:ind w:left="720" w:hanging="720"/>
      </w:pPr>
      <w:r>
        <w:t>OBJECTIVE #</w:t>
      </w:r>
      <w:r w:rsidR="00160C76">
        <w:t xml:space="preserve">1   </w:t>
      </w:r>
      <w:r>
        <w:t xml:space="preserve">Manage financial performance by </w:t>
      </w:r>
      <w:r w:rsidRPr="0097008A">
        <w:t>mitigating</w:t>
      </w:r>
      <w:r w:rsidR="00EC26C3">
        <w:t xml:space="preserve"> fuel</w:t>
      </w:r>
      <w:r w:rsidR="00B925A6">
        <w:t xml:space="preserve"> </w:t>
      </w:r>
      <w:r>
        <w:t xml:space="preserve">price volatility and, hence, limiting fluctuations in </w:t>
      </w:r>
      <w:r w:rsidR="00EC26C3">
        <w:t xml:space="preserve">cash flow and </w:t>
      </w:r>
      <w:r>
        <w:t xml:space="preserve">the cost of supplying power to </w:t>
      </w:r>
      <w:r w:rsidR="005E189C">
        <w:t>Members</w:t>
      </w:r>
      <w:r w:rsidR="000D4F7B">
        <w:t xml:space="preserve"> while being sensitive to market conditions</w:t>
      </w:r>
      <w:r w:rsidR="00623F77">
        <w:t>.</w:t>
      </w:r>
    </w:p>
    <w:p w14:paraId="18F043DF" w14:textId="77777777" w:rsidR="00FC3FF8" w:rsidRDefault="00FC3FF8">
      <w:pPr>
        <w:pStyle w:val="BodyTextIndent3"/>
        <w:rPr>
          <w:strike/>
        </w:rPr>
      </w:pPr>
    </w:p>
    <w:p w14:paraId="54687723" w14:textId="53C913DF" w:rsidR="00FC3FF8" w:rsidRDefault="00071162">
      <w:pPr>
        <w:ind w:left="720"/>
        <w:rPr>
          <w:u w:val="single"/>
        </w:rPr>
      </w:pPr>
      <w:r>
        <w:t>KYMEA</w:t>
      </w:r>
      <w:r w:rsidR="00FC3FF8">
        <w:t xml:space="preserve">’s cost to generate, purchase, and supply power is greatly impacted by fluctuations in the market price of </w:t>
      </w:r>
      <w:r w:rsidR="000D4F7B">
        <w:t xml:space="preserve">fuel </w:t>
      </w:r>
      <w:r w:rsidR="00FC3FF8">
        <w:t xml:space="preserve">such as coal, natural gas, </w:t>
      </w:r>
      <w:r w:rsidR="000D4F7B">
        <w:t xml:space="preserve">and </w:t>
      </w:r>
      <w:r w:rsidR="00FC3FF8">
        <w:t xml:space="preserve">oil.  This ERMP will outline procedures </w:t>
      </w:r>
      <w:r w:rsidR="005E189C">
        <w:t>for</w:t>
      </w:r>
      <w:r w:rsidR="00FC3FF8">
        <w:t xml:space="preserve"> how hedge positions will be employed to limit these market fluctuations in the price of </w:t>
      </w:r>
      <w:r w:rsidR="000D4F7B">
        <w:t>fuel</w:t>
      </w:r>
      <w:r w:rsidR="00FC3FF8">
        <w:t xml:space="preserve"> and, hence, provide </w:t>
      </w:r>
      <w:r>
        <w:t>KYMEA</w:t>
      </w:r>
      <w:r w:rsidR="00FC3FF8">
        <w:t xml:space="preserve"> with a tool to manage costs to generate, purchase and supply power to its </w:t>
      </w:r>
      <w:r w:rsidR="005E189C">
        <w:t>Members</w:t>
      </w:r>
      <w:r w:rsidR="00FC3FF8">
        <w:rPr>
          <w:u w:val="single"/>
        </w:rPr>
        <w:t>.</w:t>
      </w:r>
    </w:p>
    <w:p w14:paraId="46AF4B3D" w14:textId="77777777" w:rsidR="00FC3FF8" w:rsidRDefault="00FC3FF8">
      <w:pPr>
        <w:pStyle w:val="BodyText"/>
        <w:rPr>
          <w:b w:val="0"/>
        </w:rPr>
      </w:pPr>
    </w:p>
    <w:p w14:paraId="4DE62E9D" w14:textId="77777777" w:rsidR="00FC3FF8" w:rsidRDefault="00FC3FF8">
      <w:pPr>
        <w:pStyle w:val="BodyText"/>
        <w:rPr>
          <w:u w:val="single"/>
        </w:rPr>
      </w:pPr>
      <w:r>
        <w:t>OBJECTIVE #</w:t>
      </w:r>
      <w:r w:rsidR="00160C76">
        <w:t xml:space="preserve">2   </w:t>
      </w:r>
      <w:r>
        <w:t>Manage price exposure of wholesale power contracts.</w:t>
      </w:r>
    </w:p>
    <w:p w14:paraId="12971381" w14:textId="77777777" w:rsidR="00FC3FF8" w:rsidRDefault="00FC3FF8">
      <w:pPr>
        <w:pStyle w:val="BodyText"/>
        <w:rPr>
          <w:u w:val="single"/>
        </w:rPr>
      </w:pPr>
    </w:p>
    <w:p w14:paraId="48D406DE" w14:textId="6DB11605" w:rsidR="00FC3FF8" w:rsidRDefault="00FC3FF8">
      <w:pPr>
        <w:pStyle w:val="BodyText"/>
        <w:ind w:left="720" w:hanging="720"/>
        <w:rPr>
          <w:b w:val="0"/>
        </w:rPr>
      </w:pPr>
      <w:r>
        <w:tab/>
      </w:r>
      <w:r>
        <w:rPr>
          <w:b w:val="0"/>
        </w:rPr>
        <w:t xml:space="preserve">As a supplier and purchaser of power in the wholesale market, fluctuations in the market price of electricity will have an impact on </w:t>
      </w:r>
      <w:r w:rsidR="00071162">
        <w:rPr>
          <w:b w:val="0"/>
        </w:rPr>
        <w:t>KYMEA</w:t>
      </w:r>
      <w:r>
        <w:rPr>
          <w:b w:val="0"/>
        </w:rPr>
        <w:t xml:space="preserve">’s net income.   The market price of electricity </w:t>
      </w:r>
      <w:r w:rsidR="005E189C">
        <w:rPr>
          <w:b w:val="0"/>
        </w:rPr>
        <w:t>can</w:t>
      </w:r>
      <w:r>
        <w:rPr>
          <w:b w:val="0"/>
        </w:rPr>
        <w:t xml:space="preserve"> be volatile and </w:t>
      </w:r>
      <w:r w:rsidR="00071162">
        <w:rPr>
          <w:b w:val="0"/>
        </w:rPr>
        <w:t>KYMEA</w:t>
      </w:r>
      <w:r>
        <w:rPr>
          <w:b w:val="0"/>
        </w:rPr>
        <w:t xml:space="preserve"> will have an </w:t>
      </w:r>
      <w:r w:rsidR="005E189C">
        <w:rPr>
          <w:b w:val="0"/>
        </w:rPr>
        <w:t>ongoing</w:t>
      </w:r>
      <w:r>
        <w:rPr>
          <w:b w:val="0"/>
        </w:rPr>
        <w:t xml:space="preserve"> need to manage these price fluctuations in order to protect net income.</w:t>
      </w:r>
    </w:p>
    <w:p w14:paraId="091845AC" w14:textId="77777777" w:rsidR="00FC3FF8" w:rsidRDefault="00FC3FF8">
      <w:pPr>
        <w:pStyle w:val="BodyText"/>
        <w:ind w:left="720" w:hanging="720"/>
        <w:rPr>
          <w:b w:val="0"/>
        </w:rPr>
      </w:pPr>
    </w:p>
    <w:p w14:paraId="033594DB" w14:textId="77777777" w:rsidR="00FC3FF8" w:rsidRDefault="00FC3FF8">
      <w:pPr>
        <w:pStyle w:val="BodyText"/>
        <w:rPr>
          <w:u w:val="single"/>
        </w:rPr>
      </w:pPr>
      <w:r>
        <w:t>OBJECTIVE #</w:t>
      </w:r>
      <w:r w:rsidR="00160C76">
        <w:t xml:space="preserve">3   </w:t>
      </w:r>
      <w:r>
        <w:t>Manage fuel consumption risks.</w:t>
      </w:r>
      <w:r>
        <w:rPr>
          <w:u w:val="single"/>
        </w:rPr>
        <w:t xml:space="preserve"> </w:t>
      </w:r>
    </w:p>
    <w:p w14:paraId="399C3FF8" w14:textId="77777777" w:rsidR="00FC3FF8" w:rsidRDefault="00FC3FF8">
      <w:pPr>
        <w:pStyle w:val="BodyText"/>
        <w:ind w:left="720" w:hanging="720"/>
      </w:pPr>
    </w:p>
    <w:p w14:paraId="3A4EDF98" w14:textId="3DA6C284" w:rsidR="00FC3FF8" w:rsidRDefault="00FC3FF8">
      <w:pPr>
        <w:pStyle w:val="BodyText"/>
        <w:ind w:left="720" w:hanging="720"/>
        <w:rPr>
          <w:b w:val="0"/>
        </w:rPr>
      </w:pPr>
      <w:r>
        <w:tab/>
      </w:r>
      <w:r>
        <w:rPr>
          <w:b w:val="0"/>
        </w:rPr>
        <w:t>Budgeted fuel consumption volumes are based on variables such as load forecasts, weather forecasts, and forecasts of availability of generation resources</w:t>
      </w:r>
      <w:r w:rsidR="00071162">
        <w:rPr>
          <w:b w:val="0"/>
        </w:rPr>
        <w:t>, and forecasts provided by purchase power agreement suppliers</w:t>
      </w:r>
      <w:r>
        <w:rPr>
          <w:b w:val="0"/>
        </w:rPr>
        <w:t>.  Changes in these variables can have an impact on actual fuel consumption and, hence, can have an impact on variances to the fuel budget.   Exchange-traded and Over-</w:t>
      </w:r>
      <w:r w:rsidR="0045282A">
        <w:rPr>
          <w:b w:val="0"/>
        </w:rPr>
        <w:t>t</w:t>
      </w:r>
      <w:r>
        <w:rPr>
          <w:b w:val="0"/>
        </w:rPr>
        <w:t xml:space="preserve">he-Counter (OTC) markets provide financial tools that may be used by </w:t>
      </w:r>
      <w:r w:rsidR="00071162">
        <w:rPr>
          <w:b w:val="0"/>
        </w:rPr>
        <w:t>KYMEA</w:t>
      </w:r>
      <w:r>
        <w:rPr>
          <w:b w:val="0"/>
        </w:rPr>
        <w:t xml:space="preserve"> to manage changes in these variables. </w:t>
      </w:r>
    </w:p>
    <w:p w14:paraId="7EE4942B" w14:textId="77777777" w:rsidR="00FC3FF8" w:rsidRDefault="00FC3FF8">
      <w:pPr>
        <w:pStyle w:val="BodyText"/>
        <w:ind w:left="720"/>
      </w:pPr>
    </w:p>
    <w:p w14:paraId="2215408A" w14:textId="77777777" w:rsidR="00FC3FF8" w:rsidRDefault="00FC3FF8">
      <w:pPr>
        <w:pStyle w:val="BodyText"/>
      </w:pPr>
      <w:r>
        <w:t>OBJECTIVE #</w:t>
      </w:r>
      <w:r w:rsidR="00160C76">
        <w:t xml:space="preserve">4   </w:t>
      </w:r>
      <w:r>
        <w:t>Manage Plant Availability Risks.</w:t>
      </w:r>
    </w:p>
    <w:p w14:paraId="2459BEFC" w14:textId="77777777" w:rsidR="00FC3FF8" w:rsidRDefault="00FC3FF8">
      <w:pPr>
        <w:pStyle w:val="BodyText"/>
      </w:pPr>
    </w:p>
    <w:p w14:paraId="22007CA6" w14:textId="41810FCE" w:rsidR="00FC3FF8" w:rsidRDefault="00FC3FF8">
      <w:pPr>
        <w:pStyle w:val="BodyText"/>
        <w:ind w:left="720" w:hanging="720"/>
        <w:rPr>
          <w:b w:val="0"/>
        </w:rPr>
      </w:pPr>
      <w:r>
        <w:tab/>
      </w:r>
      <w:r>
        <w:rPr>
          <w:b w:val="0"/>
        </w:rPr>
        <w:t>Financial hedges can be used as a form of insurance to mitigate the fuel and purchased power cost exposure associated with the unavailability of generating resources</w:t>
      </w:r>
      <w:r w:rsidR="00071162">
        <w:rPr>
          <w:b w:val="0"/>
        </w:rPr>
        <w:t>, whether owned or provided under a purchase power agreement</w:t>
      </w:r>
      <w:r>
        <w:rPr>
          <w:b w:val="0"/>
        </w:rPr>
        <w:t>.  In a volatile electricity market, the</w:t>
      </w:r>
      <w:r>
        <w:rPr>
          <w:b w:val="0"/>
          <w:u w:val="single"/>
        </w:rPr>
        <w:t xml:space="preserve"> </w:t>
      </w:r>
      <w:r>
        <w:rPr>
          <w:b w:val="0"/>
        </w:rPr>
        <w:t xml:space="preserve">temporary loss of generation resources can have a substantial impact on net income.  </w:t>
      </w:r>
    </w:p>
    <w:p w14:paraId="07BAC180" w14:textId="77777777" w:rsidR="00FC3FF8" w:rsidRDefault="00FC3FF8">
      <w:pPr>
        <w:pStyle w:val="BodyText"/>
      </w:pPr>
    </w:p>
    <w:p w14:paraId="229E1322" w14:textId="77777777" w:rsidR="00FC3FF8" w:rsidRDefault="00FC3FF8">
      <w:pPr>
        <w:pStyle w:val="BodyText"/>
      </w:pPr>
      <w:r>
        <w:lastRenderedPageBreak/>
        <w:t>OBJECTIVE #</w:t>
      </w:r>
      <w:r w:rsidR="00160C76">
        <w:t xml:space="preserve">5    </w:t>
      </w:r>
      <w:r>
        <w:t>Manage Environmental Emission Allowances.</w:t>
      </w:r>
    </w:p>
    <w:p w14:paraId="2550CBB5" w14:textId="77777777" w:rsidR="00FC3FF8" w:rsidRDefault="00FC3FF8">
      <w:pPr>
        <w:pStyle w:val="BodyText"/>
        <w:ind w:left="720"/>
      </w:pPr>
    </w:p>
    <w:p w14:paraId="27A395C1" w14:textId="3CD18204" w:rsidR="00FC3FF8" w:rsidRDefault="00FC3FF8">
      <w:pPr>
        <w:ind w:left="720"/>
      </w:pPr>
      <w:r>
        <w:t>As a</w:t>
      </w:r>
      <w:r w:rsidR="005E189C">
        <w:t xml:space="preserve"> potential</w:t>
      </w:r>
      <w:r>
        <w:t xml:space="preserve"> owner and operator of power plants</w:t>
      </w:r>
      <w:r w:rsidR="00071162">
        <w:t xml:space="preserve"> or as a future option or requirement of a purchase power agreement</w:t>
      </w:r>
      <w:r>
        <w:t xml:space="preserve">, </w:t>
      </w:r>
      <w:r w:rsidR="00071162">
        <w:t>KYMEA</w:t>
      </w:r>
      <w:r>
        <w:t xml:space="preserve"> </w:t>
      </w:r>
      <w:r w:rsidR="00071162">
        <w:t>may be</w:t>
      </w:r>
      <w:r>
        <w:t xml:space="preserve"> allocated emission allowances by the United States Environmental Protection Agency (EPA).   The manner in which these allocated allowances are managed relative to plant emissions can impact the operational availability of electric generating units as well as have a direct financial impact to </w:t>
      </w:r>
      <w:r w:rsidR="00071162">
        <w:t>KYMEA</w:t>
      </w:r>
      <w:r>
        <w:t xml:space="preserve">.  The ability to trade emission allowances provides </w:t>
      </w:r>
      <w:r w:rsidR="00071162">
        <w:t>KYMEA</w:t>
      </w:r>
      <w:r>
        <w:t xml:space="preserve"> with a tool to mitigate changing environmental conditions that can be driven by regulation, fuel- type consumption, and market conditions. </w:t>
      </w:r>
    </w:p>
    <w:p w14:paraId="49B4CD07" w14:textId="77777777" w:rsidR="00E71246" w:rsidRDefault="00E71246" w:rsidP="00E71246"/>
    <w:p w14:paraId="382A5D0F" w14:textId="77777777" w:rsidR="00E71246" w:rsidRDefault="00E71246" w:rsidP="00E71246">
      <w:r w:rsidRPr="00E71246">
        <w:rPr>
          <w:b/>
        </w:rPr>
        <w:t>OBJECTIVE #</w:t>
      </w:r>
      <w:r w:rsidR="00160C76">
        <w:rPr>
          <w:b/>
        </w:rPr>
        <w:t>6</w:t>
      </w:r>
      <w:r w:rsidRPr="00E71246">
        <w:rPr>
          <w:b/>
        </w:rPr>
        <w:tab/>
        <w:t xml:space="preserve">Manage </w:t>
      </w:r>
      <w:r w:rsidR="00952BF6" w:rsidRPr="00C84B7D">
        <w:rPr>
          <w:b/>
        </w:rPr>
        <w:t>Renewable Energy</w:t>
      </w:r>
      <w:r w:rsidRPr="00E71246">
        <w:rPr>
          <w:b/>
        </w:rPr>
        <w:t xml:space="preserve"> Attribute</w:t>
      </w:r>
      <w:r>
        <w:rPr>
          <w:b/>
        </w:rPr>
        <w:t>s</w:t>
      </w:r>
      <w:r w:rsidRPr="00E71246">
        <w:rPr>
          <w:b/>
        </w:rPr>
        <w:t>.</w:t>
      </w:r>
    </w:p>
    <w:p w14:paraId="4C40E848" w14:textId="77777777" w:rsidR="00E71246" w:rsidRDefault="00E71246" w:rsidP="00E71246"/>
    <w:p w14:paraId="711BF835" w14:textId="2EAB80CB" w:rsidR="00E71246" w:rsidRDefault="00E71246" w:rsidP="00E71246">
      <w:pPr>
        <w:ind w:left="360"/>
      </w:pPr>
      <w:r>
        <w:t>As an owner and operator of renewable energy facilities and</w:t>
      </w:r>
      <w:r w:rsidR="005E189C">
        <w:t>/or</w:t>
      </w:r>
      <w:r>
        <w:t xml:space="preserve"> a purchaser of </w:t>
      </w:r>
      <w:r w:rsidR="001D6961">
        <w:t xml:space="preserve">renewable energy with associated </w:t>
      </w:r>
      <w:r w:rsidR="00952BF6" w:rsidRPr="00C84B7D">
        <w:t>Renewable Energy</w:t>
      </w:r>
      <w:r w:rsidR="00952BF6">
        <w:t xml:space="preserve"> Attributes</w:t>
      </w:r>
      <w:r>
        <w:t xml:space="preserve">, </w:t>
      </w:r>
      <w:r w:rsidR="00071162">
        <w:t>KYMEA</w:t>
      </w:r>
      <w:r>
        <w:t xml:space="preserve"> </w:t>
      </w:r>
      <w:r w:rsidR="00125C8D">
        <w:t>is allocated and maintains an inventory</w:t>
      </w:r>
      <w:r>
        <w:t xml:space="preserve"> of </w:t>
      </w:r>
      <w:r w:rsidR="00952BF6">
        <w:t>such Attributes including but not limited to R</w:t>
      </w:r>
      <w:r>
        <w:t xml:space="preserve">enewable </w:t>
      </w:r>
      <w:r w:rsidR="00952BF6">
        <w:t>E</w:t>
      </w:r>
      <w:r>
        <w:t xml:space="preserve">nergy </w:t>
      </w:r>
      <w:r w:rsidR="00E607A7">
        <w:t xml:space="preserve">Certificates </w:t>
      </w:r>
      <w:r>
        <w:t>(RECs)</w:t>
      </w:r>
      <w:r w:rsidR="00952BF6">
        <w:t xml:space="preserve"> and</w:t>
      </w:r>
      <w:r>
        <w:t xml:space="preserve"> </w:t>
      </w:r>
      <w:r w:rsidR="00952BF6">
        <w:t>C</w:t>
      </w:r>
      <w:r>
        <w:t xml:space="preserve">arbon </w:t>
      </w:r>
      <w:r w:rsidR="00952BF6">
        <w:t>O</w:t>
      </w:r>
      <w:r>
        <w:t>ffsets</w:t>
      </w:r>
      <w:r w:rsidR="00125C8D">
        <w:t>.</w:t>
      </w:r>
      <w:r>
        <w:t xml:space="preserve">  The manner in which these </w:t>
      </w:r>
      <w:r w:rsidR="00952BF6">
        <w:t>A</w:t>
      </w:r>
      <w:r>
        <w:t>ttributes are managed relative to</w:t>
      </w:r>
      <w:r w:rsidR="001D6961">
        <w:t xml:space="preserve"> </w:t>
      </w:r>
      <w:r w:rsidR="00071162">
        <w:t>KYMEA</w:t>
      </w:r>
      <w:r w:rsidR="001D6961">
        <w:t xml:space="preserve">’s need to demonstrate compliance with any </w:t>
      </w:r>
      <w:r w:rsidR="00125C8D">
        <w:t xml:space="preserve">applicable </w:t>
      </w:r>
      <w:r w:rsidR="00952BF6">
        <w:t>regulations or</w:t>
      </w:r>
      <w:r w:rsidR="00125C8D">
        <w:t xml:space="preserve"> standards</w:t>
      </w:r>
      <w:r>
        <w:t xml:space="preserve"> can have a direct financial impact to </w:t>
      </w:r>
      <w:r w:rsidR="00071162">
        <w:t>KYMEA</w:t>
      </w:r>
      <w:r>
        <w:t xml:space="preserve">.  The ability to trade </w:t>
      </w:r>
      <w:r w:rsidR="00952BF6">
        <w:t>such</w:t>
      </w:r>
      <w:r>
        <w:t xml:space="preserve"> </w:t>
      </w:r>
      <w:r w:rsidR="00952BF6">
        <w:t>A</w:t>
      </w:r>
      <w:r>
        <w:t xml:space="preserve">ttributes provides </w:t>
      </w:r>
      <w:r w:rsidR="00071162">
        <w:t>KYMEA</w:t>
      </w:r>
      <w:r>
        <w:t xml:space="preserve"> with a potential tool to mitigate </w:t>
      </w:r>
      <w:r w:rsidR="00952BF6">
        <w:t xml:space="preserve">applicable </w:t>
      </w:r>
      <w:r>
        <w:t>regulation, fuel-type consumption, and market conditions.</w:t>
      </w:r>
    </w:p>
    <w:p w14:paraId="590DF23A" w14:textId="77777777" w:rsidR="00E71246" w:rsidRPr="00E71246" w:rsidRDefault="00E71246" w:rsidP="00E71246"/>
    <w:p w14:paraId="07128758" w14:textId="77777777" w:rsidR="00FC3FF8" w:rsidRDefault="00FC3FF8">
      <w:pPr>
        <w:pStyle w:val="BodyText"/>
        <w:ind w:left="720"/>
      </w:pPr>
    </w:p>
    <w:p w14:paraId="6CDF0080" w14:textId="77777777" w:rsidR="00FC3FF8" w:rsidRDefault="00FC3FF8">
      <w:pPr>
        <w:pStyle w:val="Heading3"/>
      </w:pPr>
      <w:r>
        <w:t>RISK</w:t>
      </w:r>
    </w:p>
    <w:p w14:paraId="42231DEB" w14:textId="77777777" w:rsidR="00FC3FF8" w:rsidRDefault="00FC3FF8"/>
    <w:p w14:paraId="583F9E1B" w14:textId="77777777" w:rsidR="00FC3FF8" w:rsidRDefault="00FC3FF8"/>
    <w:p w14:paraId="1BA15491" w14:textId="396D93ED" w:rsidR="00FC3FF8" w:rsidRDefault="00FB5911">
      <w:pPr>
        <w:pStyle w:val="Heading2"/>
        <w:ind w:left="0"/>
      </w:pPr>
      <w:r>
        <w:t>AGENCY</w:t>
      </w:r>
      <w:r w:rsidR="00FC3FF8">
        <w:t xml:space="preserve"> EXPOSURE</w:t>
      </w:r>
    </w:p>
    <w:p w14:paraId="17360197" w14:textId="77777777" w:rsidR="00FC3FF8" w:rsidRDefault="00FC3FF8"/>
    <w:p w14:paraId="0DE7B934" w14:textId="5405F283" w:rsidR="00FC3FF8" w:rsidRDefault="00071162">
      <w:r>
        <w:t>KYMEA</w:t>
      </w:r>
      <w:r w:rsidR="00FC3FF8">
        <w:t xml:space="preserve">’s exposure spans activity in both the physical market for commodities and the financial derivative markets that have developed to accommodate those commodities.  Without risk management, </w:t>
      </w:r>
      <w:r>
        <w:t>KYMEA</w:t>
      </w:r>
      <w:r w:rsidR="00FC3FF8">
        <w:t xml:space="preserve"> will be subject to earnings volatility, cost and pricing uncertainty, as well as uncertainty in meeting budgeted cash flow. </w:t>
      </w:r>
    </w:p>
    <w:p w14:paraId="0DB8ADFA" w14:textId="77777777" w:rsidR="00FC3FF8" w:rsidRDefault="00FC3FF8"/>
    <w:p w14:paraId="00F6F823" w14:textId="03357492" w:rsidR="00FC3FF8" w:rsidRDefault="00FC3FF8">
      <w:pPr>
        <w:spacing w:after="120"/>
      </w:pPr>
      <w:r>
        <w:t xml:space="preserve">The primary components of </w:t>
      </w:r>
      <w:r w:rsidR="00071162">
        <w:t>KYMEA</w:t>
      </w:r>
      <w:r>
        <w:t>’s risk exposure are market risk and credit risk. This ERMP Policy is designed to address the management of these risks in the aggregate.</w:t>
      </w:r>
    </w:p>
    <w:p w14:paraId="1D99FF8E" w14:textId="77777777" w:rsidR="00FC3FF8" w:rsidRDefault="00FC3FF8">
      <w:pPr>
        <w:pStyle w:val="Heading2"/>
        <w:ind w:left="0"/>
      </w:pPr>
    </w:p>
    <w:p w14:paraId="37ED9DD7" w14:textId="77777777" w:rsidR="00FC3FF8" w:rsidRDefault="00FC3FF8">
      <w:pPr>
        <w:pStyle w:val="Heading2"/>
        <w:ind w:left="0"/>
      </w:pPr>
      <w:r>
        <w:t>MARKET RISK</w:t>
      </w:r>
    </w:p>
    <w:p w14:paraId="31CD0960" w14:textId="77777777" w:rsidR="00FC3FF8" w:rsidRDefault="00FC3FF8"/>
    <w:p w14:paraId="21ED75F4" w14:textId="77777777" w:rsidR="00FC3FF8" w:rsidRDefault="00FC3FF8">
      <w:pPr>
        <w:spacing w:after="120"/>
        <w:jc w:val="both"/>
      </w:pPr>
      <w:r>
        <w:t>Market risk</w:t>
      </w:r>
      <w:r>
        <w:rPr>
          <w:b/>
        </w:rPr>
        <w:t xml:space="preserve"> </w:t>
      </w:r>
      <w:r>
        <w:t>involves</w:t>
      </w:r>
      <w:r>
        <w:rPr>
          <w:b/>
        </w:rPr>
        <w:t xml:space="preserve"> </w:t>
      </w:r>
      <w:r>
        <w:t>the potential change in value of a commodity contract, liability, or cash flow caused by adverse fluctuations in market factors over a pre-defined holding period.  Types of market risk include:</w:t>
      </w:r>
    </w:p>
    <w:p w14:paraId="2DD2CF75" w14:textId="77777777" w:rsidR="00FC3FF8" w:rsidRDefault="00FC3FF8">
      <w:pPr>
        <w:ind w:left="1800" w:hanging="1800"/>
        <w:jc w:val="both"/>
      </w:pPr>
      <w:r>
        <w:rPr>
          <w:u w:val="single"/>
        </w:rPr>
        <w:t xml:space="preserve">Price Risk </w:t>
      </w:r>
      <w:r>
        <w:t xml:space="preserve">-      The uncertainty associated with changes in the price level of an underlying asset.  Price risk can include: </w:t>
      </w:r>
    </w:p>
    <w:p w14:paraId="0B6D8FBA" w14:textId="77777777" w:rsidR="00FC3FF8" w:rsidRDefault="00FC3FF8">
      <w:pPr>
        <w:numPr>
          <w:ilvl w:val="0"/>
          <w:numId w:val="2"/>
        </w:numPr>
        <w:jc w:val="both"/>
      </w:pPr>
      <w:r>
        <w:t>Change in value of wholesale energy transactions,</w:t>
      </w:r>
    </w:p>
    <w:p w14:paraId="052F8C58" w14:textId="77777777" w:rsidR="00FC3FF8" w:rsidRDefault="00FC3FF8">
      <w:pPr>
        <w:numPr>
          <w:ilvl w:val="0"/>
          <w:numId w:val="2"/>
        </w:numPr>
        <w:jc w:val="both"/>
      </w:pPr>
      <w:r>
        <w:t xml:space="preserve">Commodity fuel costs,  </w:t>
      </w:r>
    </w:p>
    <w:p w14:paraId="0C27C12C" w14:textId="77777777" w:rsidR="00FC3FF8" w:rsidRDefault="00FC3FF8">
      <w:pPr>
        <w:numPr>
          <w:ilvl w:val="0"/>
          <w:numId w:val="2"/>
        </w:numPr>
        <w:jc w:val="both"/>
      </w:pPr>
      <w:r>
        <w:t>Cost of purchasing power on the open market,</w:t>
      </w:r>
    </w:p>
    <w:p w14:paraId="6C2A671C" w14:textId="77777777" w:rsidR="00FC3FF8" w:rsidRDefault="00FC3FF8">
      <w:pPr>
        <w:numPr>
          <w:ilvl w:val="0"/>
          <w:numId w:val="2"/>
        </w:numPr>
        <w:jc w:val="both"/>
      </w:pPr>
      <w:r>
        <w:t>Changes in value of emission allowances.</w:t>
      </w:r>
    </w:p>
    <w:p w14:paraId="31C28ADE" w14:textId="77777777" w:rsidR="00FC3FF8" w:rsidRDefault="00FC3FF8">
      <w:pPr>
        <w:jc w:val="both"/>
      </w:pPr>
    </w:p>
    <w:p w14:paraId="0F563D7E" w14:textId="77777777" w:rsidR="00FC3FF8" w:rsidRDefault="00FC3FF8">
      <w:pPr>
        <w:ind w:left="1800" w:hanging="1800"/>
        <w:jc w:val="both"/>
      </w:pPr>
      <w:r>
        <w:rPr>
          <w:u w:val="single"/>
        </w:rPr>
        <w:t>Liquidity Risk</w:t>
      </w:r>
      <w:r>
        <w:t xml:space="preserve"> - The risk associated with the diminished market activity of a commodity.  </w:t>
      </w:r>
    </w:p>
    <w:p w14:paraId="7A81D240" w14:textId="77777777" w:rsidR="00FC3FF8" w:rsidRDefault="00FC3FF8">
      <w:pPr>
        <w:jc w:val="both"/>
      </w:pPr>
    </w:p>
    <w:p w14:paraId="616BEC64" w14:textId="77777777" w:rsidR="00FC3FF8" w:rsidRDefault="00FC3FF8">
      <w:pPr>
        <w:ind w:left="1800" w:hanging="1800"/>
        <w:jc w:val="both"/>
      </w:pPr>
      <w:r>
        <w:rPr>
          <w:u w:val="single"/>
        </w:rPr>
        <w:t>Volume Risk</w:t>
      </w:r>
      <w:r>
        <w:t xml:space="preserve"> –</w:t>
      </w:r>
      <w:r>
        <w:rPr>
          <w:b/>
          <w:i/>
        </w:rPr>
        <w:t xml:space="preserve"> </w:t>
      </w:r>
      <w:r>
        <w:t xml:space="preserve">   Supply or demand deviation from forecast (for example, the risk of not having enough or having too much power to meet predetermined obligations). </w:t>
      </w:r>
    </w:p>
    <w:p w14:paraId="04589E03" w14:textId="77777777" w:rsidR="00FC3FF8" w:rsidRDefault="00FC3FF8">
      <w:pPr>
        <w:ind w:left="1800" w:hanging="1800"/>
        <w:jc w:val="both"/>
        <w:rPr>
          <w:b/>
        </w:rPr>
      </w:pPr>
    </w:p>
    <w:p w14:paraId="56B278DC" w14:textId="77777777" w:rsidR="00FC3FF8" w:rsidRDefault="00FC3FF8">
      <w:pPr>
        <w:ind w:left="1800" w:hanging="1800"/>
        <w:jc w:val="both"/>
        <w:rPr>
          <w:color w:val="000000"/>
        </w:rPr>
      </w:pPr>
      <w:r>
        <w:rPr>
          <w:color w:val="000000"/>
          <w:u w:val="single"/>
        </w:rPr>
        <w:t>Calendar Risk</w:t>
      </w:r>
      <w:r>
        <w:rPr>
          <w:color w:val="000000"/>
        </w:rPr>
        <w:t xml:space="preserve"> --</w:t>
      </w:r>
      <w:r>
        <w:rPr>
          <w:color w:val="000000"/>
        </w:rPr>
        <w:tab/>
        <w:t>Exposure due to time differential in commodity value between actual physical delivery and financial position expiration.</w:t>
      </w:r>
    </w:p>
    <w:p w14:paraId="17D36A5D" w14:textId="77777777" w:rsidR="00FC3FF8" w:rsidRDefault="00FC3FF8">
      <w:pPr>
        <w:ind w:left="1800" w:hanging="1800"/>
        <w:jc w:val="both"/>
        <w:rPr>
          <w:color w:val="000000"/>
          <w:u w:val="single"/>
        </w:rPr>
      </w:pPr>
    </w:p>
    <w:p w14:paraId="24A42E7B" w14:textId="77777777" w:rsidR="00FC3FF8" w:rsidRDefault="00FC3FF8">
      <w:pPr>
        <w:ind w:left="1800" w:hanging="1800"/>
        <w:jc w:val="both"/>
      </w:pPr>
      <w:r>
        <w:rPr>
          <w:color w:val="000000"/>
          <w:u w:val="single"/>
        </w:rPr>
        <w:t>Basis Risk</w:t>
      </w:r>
      <w:r>
        <w:rPr>
          <w:color w:val="000000"/>
        </w:rPr>
        <w:t xml:space="preserve"> -    </w:t>
      </w:r>
      <w:r>
        <w:rPr>
          <w:color w:val="000000"/>
        </w:rPr>
        <w:tab/>
        <w:t>Exposure due to a difference in commodity value between different delivery points or between cash market prices and the pricing points used in the financial markets.</w:t>
      </w:r>
    </w:p>
    <w:p w14:paraId="4997DD1B" w14:textId="77777777" w:rsidR="00FC3FF8" w:rsidRDefault="00FC3FF8">
      <w:pPr>
        <w:ind w:left="1800" w:hanging="1800"/>
        <w:rPr>
          <w:u w:val="single"/>
        </w:rPr>
      </w:pPr>
      <w:r>
        <w:rPr>
          <w:u w:val="single"/>
        </w:rPr>
        <w:t xml:space="preserve">Operations </w:t>
      </w:r>
    </w:p>
    <w:p w14:paraId="620A2607" w14:textId="77777777" w:rsidR="00FC3FF8" w:rsidRDefault="00FC3FF8">
      <w:pPr>
        <w:ind w:left="1800" w:hanging="1800"/>
      </w:pPr>
      <w:r>
        <w:rPr>
          <w:u w:val="single"/>
        </w:rPr>
        <w:t xml:space="preserve">Risk </w:t>
      </w:r>
      <w:r>
        <w:t xml:space="preserve">- </w:t>
      </w:r>
      <w:r>
        <w:tab/>
        <w:t>(1) Unanticipated power shortages due to plant outages.</w:t>
      </w:r>
    </w:p>
    <w:p w14:paraId="3A61D6DA" w14:textId="77777777" w:rsidR="00FC3FF8" w:rsidRDefault="00FC3FF8">
      <w:pPr>
        <w:ind w:left="1800" w:hanging="1800"/>
      </w:pPr>
      <w:r>
        <w:tab/>
        <w:t>(2) Environmental limits and allowance allocations.</w:t>
      </w:r>
    </w:p>
    <w:p w14:paraId="567C29C8" w14:textId="77777777" w:rsidR="00FC3FF8" w:rsidRDefault="00FC3FF8">
      <w:pPr>
        <w:pStyle w:val="Heading2"/>
      </w:pPr>
    </w:p>
    <w:p w14:paraId="745BCD85" w14:textId="77777777" w:rsidR="00FC3FF8" w:rsidRDefault="00FC3FF8">
      <w:pPr>
        <w:pStyle w:val="Heading2"/>
        <w:ind w:left="0"/>
      </w:pPr>
      <w:r>
        <w:t>CREDIT RISK</w:t>
      </w:r>
    </w:p>
    <w:p w14:paraId="00E86ECA" w14:textId="77777777" w:rsidR="00FC3FF8" w:rsidRDefault="00FC3FF8"/>
    <w:p w14:paraId="6FEEFE71" w14:textId="34C5A483" w:rsidR="00FC3FF8" w:rsidRDefault="00FC3FF8">
      <w:r>
        <w:t xml:space="preserve">From a credit risk standpoint, </w:t>
      </w:r>
      <w:r w:rsidR="00071162">
        <w:t>KYMEA</w:t>
      </w:r>
      <w:r>
        <w:t xml:space="preserve">’s exposure is very different when transacting on the New York Mercantile Exchange (NYMEX) versus when transacting OTC. </w:t>
      </w:r>
    </w:p>
    <w:p w14:paraId="3EA424B2" w14:textId="77777777" w:rsidR="00FC3FF8" w:rsidRDefault="00FC3FF8"/>
    <w:p w14:paraId="3A209868" w14:textId="1D44F429" w:rsidR="00FC3FF8" w:rsidRDefault="00FC3FF8">
      <w:r>
        <w:t xml:space="preserve">The integrity of NYMEX trades offers </w:t>
      </w:r>
      <w:r w:rsidR="00071162">
        <w:t>KYMEA</w:t>
      </w:r>
      <w:r>
        <w:t xml:space="preserve"> the better protection because the clearinghouse safeguards against default.  Credit risk associated with exchange traded instruments is almost nonexistent because regulated exchanges guarantee financial performance.  </w:t>
      </w:r>
    </w:p>
    <w:p w14:paraId="0F839C29" w14:textId="77777777" w:rsidR="00FC3FF8" w:rsidRDefault="00FC3FF8"/>
    <w:p w14:paraId="470A8438" w14:textId="77777777" w:rsidR="00FC3FF8" w:rsidRDefault="00FC3FF8">
      <w:r>
        <w:t>Credit exposure does, however, exist for OTC traded derivative transactions because the financial integrity of the trade is dependent on the financial health of the counterpart.  In OTC transactions, the credit rating of any prospective counterpart must meet qualified standards to manage potential exposure.</w:t>
      </w:r>
      <w:r w:rsidR="0024722C">
        <w:t xml:space="preserve">  </w:t>
      </w:r>
    </w:p>
    <w:p w14:paraId="797F4270" w14:textId="77777777" w:rsidR="00FC3FF8" w:rsidRDefault="00FC3FF8"/>
    <w:p w14:paraId="2224CAAF" w14:textId="77777777" w:rsidR="00FC3FF8" w:rsidRPr="007E7482" w:rsidRDefault="00FC3FF8">
      <w:pPr>
        <w:pStyle w:val="Heading3"/>
      </w:pPr>
      <w:r w:rsidRPr="007E7482">
        <w:t>ORGANIZATIONAL STRUCTURE AND RESPONSIBILITIES</w:t>
      </w:r>
    </w:p>
    <w:p w14:paraId="7880691F" w14:textId="77777777" w:rsidR="00FC3FF8" w:rsidRPr="007E7482" w:rsidRDefault="00FC3FF8"/>
    <w:p w14:paraId="714DCA63" w14:textId="77777777" w:rsidR="00FC3FF8" w:rsidRPr="007E7482" w:rsidRDefault="00FC3FF8">
      <w:r w:rsidRPr="007E7482">
        <w:t xml:space="preserve"> </w:t>
      </w:r>
    </w:p>
    <w:p w14:paraId="505A292E" w14:textId="795786B5" w:rsidR="00FC3FF8" w:rsidRPr="007E7482" w:rsidRDefault="00FB5911">
      <w:pPr>
        <w:pStyle w:val="Heading5"/>
        <w:rPr>
          <w:b/>
          <w:i w:val="0"/>
        </w:rPr>
      </w:pPr>
      <w:r>
        <w:rPr>
          <w:b/>
          <w:i w:val="0"/>
        </w:rPr>
        <w:t>KENTUCKY MUNICIPAL ENERGY AGENCY</w:t>
      </w:r>
    </w:p>
    <w:p w14:paraId="2DEAB53C" w14:textId="77777777" w:rsidR="00FC3FF8" w:rsidRPr="007E7482" w:rsidRDefault="00FC3FF8">
      <w:pPr>
        <w:rPr>
          <w:i/>
        </w:rPr>
      </w:pPr>
    </w:p>
    <w:p w14:paraId="20378B60" w14:textId="0D41F873" w:rsidR="00FC3FF8" w:rsidRPr="007E7482" w:rsidRDefault="00FC3FF8">
      <w:r w:rsidRPr="007E7482">
        <w:t xml:space="preserve">The </w:t>
      </w:r>
      <w:r w:rsidR="00FB5911">
        <w:t>Kentucky Municipal Energy Agency</w:t>
      </w:r>
      <w:r w:rsidRPr="007E7482">
        <w:t xml:space="preserve"> shall approve the Energy Risk Management Policy and all revisions thereto.  The </w:t>
      </w:r>
      <w:r w:rsidR="00FB5911">
        <w:t>Board of KYMEA</w:t>
      </w:r>
      <w:r w:rsidR="00C1596C">
        <w:t xml:space="preserve"> (the “Board”)</w:t>
      </w:r>
      <w:r w:rsidRPr="007E7482">
        <w:t xml:space="preserve"> shall at least annually receive a report </w:t>
      </w:r>
      <w:r w:rsidR="0024722C" w:rsidRPr="007E7482">
        <w:t xml:space="preserve">from the </w:t>
      </w:r>
      <w:r w:rsidR="005E189C">
        <w:t xml:space="preserve">Board Risk </w:t>
      </w:r>
      <w:r w:rsidR="0035727B">
        <w:t>Oversight</w:t>
      </w:r>
      <w:r w:rsidR="00C1596C">
        <w:t xml:space="preserve"> </w:t>
      </w:r>
      <w:r w:rsidR="0024722C" w:rsidRPr="007E7482">
        <w:t xml:space="preserve">Committee </w:t>
      </w:r>
      <w:r w:rsidRPr="007E7482">
        <w:t>on the Energy Risk Management activities for the preceding period.</w:t>
      </w:r>
    </w:p>
    <w:p w14:paraId="0DEAADC8" w14:textId="77777777" w:rsidR="00FC3FF8" w:rsidRPr="007E7482" w:rsidRDefault="00FC3FF8"/>
    <w:p w14:paraId="7F198534" w14:textId="77777777" w:rsidR="00FC3FF8" w:rsidRPr="007E7482" w:rsidRDefault="00FC3FF8">
      <w:pPr>
        <w:rPr>
          <w:b/>
        </w:rPr>
      </w:pPr>
    </w:p>
    <w:p w14:paraId="11181AE6" w14:textId="0F48211D" w:rsidR="00FC3FF8" w:rsidRDefault="005E189C">
      <w:pPr>
        <w:pStyle w:val="Heading5"/>
        <w:rPr>
          <w:b/>
          <w:i w:val="0"/>
        </w:rPr>
      </w:pPr>
      <w:r>
        <w:rPr>
          <w:b/>
          <w:i w:val="0"/>
        </w:rPr>
        <w:t xml:space="preserve">BOARD RISK </w:t>
      </w:r>
      <w:r w:rsidR="0035727B">
        <w:rPr>
          <w:b/>
          <w:i w:val="0"/>
        </w:rPr>
        <w:t>OVERSIGHT</w:t>
      </w:r>
      <w:r w:rsidR="00C1596C">
        <w:rPr>
          <w:b/>
          <w:i w:val="0"/>
        </w:rPr>
        <w:t xml:space="preserve"> </w:t>
      </w:r>
      <w:r w:rsidR="00FC3FF8" w:rsidRPr="007E7482">
        <w:rPr>
          <w:b/>
          <w:i w:val="0"/>
        </w:rPr>
        <w:t>COMMITTEE</w:t>
      </w:r>
    </w:p>
    <w:p w14:paraId="38DD2F31" w14:textId="18684B9C" w:rsidR="00582602" w:rsidRDefault="00582602" w:rsidP="00582602"/>
    <w:p w14:paraId="74296D38" w14:textId="76E7A32A" w:rsidR="00582602" w:rsidRDefault="005E189C" w:rsidP="00582602">
      <w:r>
        <w:t>T</w:t>
      </w:r>
      <w:r w:rsidR="0035727B">
        <w:t>he Board Risk Oversight</w:t>
      </w:r>
      <w:r w:rsidR="00582602">
        <w:t xml:space="preserve"> Committee </w:t>
      </w:r>
      <w:r>
        <w:t>shall be</w:t>
      </w:r>
      <w:r w:rsidR="00582602">
        <w:t xml:space="preserve"> comprised of;</w:t>
      </w:r>
    </w:p>
    <w:p w14:paraId="0EED324E" w14:textId="4999B7BB" w:rsidR="00582602" w:rsidRDefault="00582602" w:rsidP="00582602">
      <w:pPr>
        <w:ind w:left="720"/>
      </w:pPr>
      <w:r>
        <w:t>Board Member</w:t>
      </w:r>
    </w:p>
    <w:p w14:paraId="778D6E85" w14:textId="787BA5CF" w:rsidR="00582602" w:rsidRDefault="00582602" w:rsidP="00582602">
      <w:pPr>
        <w:ind w:left="720"/>
      </w:pPr>
      <w:r>
        <w:t>CEO</w:t>
      </w:r>
    </w:p>
    <w:p w14:paraId="3A94F979" w14:textId="1B37764E" w:rsidR="00582602" w:rsidRDefault="00582602" w:rsidP="00582602">
      <w:pPr>
        <w:ind w:left="720"/>
      </w:pPr>
      <w:r>
        <w:t>CFO</w:t>
      </w:r>
    </w:p>
    <w:p w14:paraId="39C254B2" w14:textId="0E2EF19D" w:rsidR="00582602" w:rsidRDefault="00582602" w:rsidP="00582602">
      <w:pPr>
        <w:ind w:left="720"/>
      </w:pPr>
      <w:r>
        <w:t>Legal Counsel</w:t>
      </w:r>
    </w:p>
    <w:p w14:paraId="39F7BD8C" w14:textId="396123A3" w:rsidR="003C155C" w:rsidRDefault="003C155C" w:rsidP="00582602">
      <w:pPr>
        <w:ind w:left="720"/>
      </w:pPr>
      <w:r>
        <w:t>One additional member recommended by CEO</w:t>
      </w:r>
      <w:r w:rsidR="00C1596C">
        <w:t xml:space="preserve"> and approved by the Board</w:t>
      </w:r>
    </w:p>
    <w:p w14:paraId="1629AE27" w14:textId="580AB880" w:rsidR="00582602" w:rsidRDefault="00582602" w:rsidP="00582602">
      <w:pPr>
        <w:ind w:left="720"/>
      </w:pPr>
    </w:p>
    <w:p w14:paraId="2E54F864" w14:textId="4F441163" w:rsidR="00582602" w:rsidRPr="00F16B9A" w:rsidRDefault="00582602" w:rsidP="00F16B9A">
      <w:pPr>
        <w:rPr>
          <w:i/>
        </w:rPr>
      </w:pPr>
      <w:r>
        <w:t xml:space="preserve">All five members are voting members of the </w:t>
      </w:r>
      <w:r w:rsidR="003C155C">
        <w:t xml:space="preserve">Board Risk </w:t>
      </w:r>
      <w:r w:rsidR="00C1596C">
        <w:t>Oversight Committee.</w:t>
      </w:r>
    </w:p>
    <w:p w14:paraId="64CC9888" w14:textId="77777777" w:rsidR="00FC3FF8" w:rsidRPr="007E7482" w:rsidRDefault="00FC3FF8">
      <w:pPr>
        <w:rPr>
          <w:b/>
        </w:rPr>
      </w:pPr>
    </w:p>
    <w:p w14:paraId="18049557" w14:textId="4943EA34" w:rsidR="00FC3FF8" w:rsidRDefault="003C155C">
      <w:r>
        <w:t xml:space="preserve">The Board Risk </w:t>
      </w:r>
      <w:r w:rsidR="0035727B">
        <w:t xml:space="preserve">Oversight </w:t>
      </w:r>
      <w:r w:rsidR="00FC3FF8" w:rsidRPr="007E7482">
        <w:t xml:space="preserve">Committee shall appoint an </w:t>
      </w:r>
      <w:r>
        <w:t>Internal</w:t>
      </w:r>
      <w:r w:rsidR="00FC3FF8" w:rsidRPr="007E7482">
        <w:t xml:space="preserve"> Risk Management </w:t>
      </w:r>
      <w:r w:rsidR="007D013F">
        <w:t xml:space="preserve">Committee </w:t>
      </w:r>
      <w:r w:rsidR="0035727B">
        <w:t>(IRMC</w:t>
      </w:r>
      <w:r w:rsidR="00FC3FF8" w:rsidRPr="007E7482">
        <w:t xml:space="preserve">). The </w:t>
      </w:r>
      <w:r w:rsidR="0035727B">
        <w:t xml:space="preserve">Board Risk </w:t>
      </w:r>
      <w:r w:rsidR="00C1596C">
        <w:t>Oversight</w:t>
      </w:r>
      <w:r w:rsidR="00FC3FF8" w:rsidRPr="007E7482">
        <w:t xml:space="preserve"> Committee shall designate a Chairperson of the </w:t>
      </w:r>
      <w:r w:rsidR="0035727B">
        <w:t>IRMC</w:t>
      </w:r>
      <w:r w:rsidR="00B54D81">
        <w:t xml:space="preserve"> The </w:t>
      </w:r>
      <w:r w:rsidR="00C1596C">
        <w:t>IRMC</w:t>
      </w:r>
      <w:r w:rsidR="00B54D81">
        <w:t xml:space="preserve"> shall be comprised of five members.</w:t>
      </w:r>
    </w:p>
    <w:p w14:paraId="02E1EEB8" w14:textId="77777777" w:rsidR="00B54D81" w:rsidRPr="007E7482" w:rsidRDefault="00B54D81"/>
    <w:p w14:paraId="308FC097" w14:textId="746685EE" w:rsidR="00FC3FF8" w:rsidRPr="007E7482" w:rsidRDefault="00FC3FF8">
      <w:r w:rsidRPr="007E7482">
        <w:t xml:space="preserve">The </w:t>
      </w:r>
      <w:r w:rsidR="007D013F">
        <w:t xml:space="preserve">Board Risk Oversight Committee </w:t>
      </w:r>
      <w:r w:rsidRPr="007E7482">
        <w:t xml:space="preserve">shall monitor the activities of the </w:t>
      </w:r>
      <w:r w:rsidR="00C1596C">
        <w:t>IRMC</w:t>
      </w:r>
      <w:r w:rsidRPr="007E7482">
        <w:t xml:space="preserve"> to insure compliance with the Energy Risk Management Policy.</w:t>
      </w:r>
    </w:p>
    <w:p w14:paraId="15DC4018" w14:textId="77777777" w:rsidR="00FC3FF8" w:rsidRPr="007E7482" w:rsidRDefault="00FC3FF8"/>
    <w:p w14:paraId="3D939E07" w14:textId="02E80FB8" w:rsidR="00FC3FF8" w:rsidRPr="007E7482" w:rsidRDefault="00FC3FF8">
      <w:r w:rsidRPr="007E7482">
        <w:t xml:space="preserve">The </w:t>
      </w:r>
      <w:r w:rsidR="007D013F">
        <w:t xml:space="preserve">Board Risk Oversight Committee </w:t>
      </w:r>
      <w:r w:rsidRPr="007E7482">
        <w:t xml:space="preserve">shall at least quarterly receive a report on the Energy Risk Management activities for the preceding period from the </w:t>
      </w:r>
      <w:r w:rsidR="00C1596C">
        <w:t>IRMC</w:t>
      </w:r>
      <w:r w:rsidRPr="007E7482">
        <w:t>.</w:t>
      </w:r>
    </w:p>
    <w:p w14:paraId="63224D0E" w14:textId="77777777" w:rsidR="00FC3FF8" w:rsidRPr="007E7482" w:rsidRDefault="00FC3FF8"/>
    <w:p w14:paraId="35F2FC1C" w14:textId="3E2BFE8F" w:rsidR="00FC3FF8" w:rsidRPr="007E7482" w:rsidRDefault="00FC3FF8">
      <w:r w:rsidRPr="007E7482">
        <w:t xml:space="preserve">The </w:t>
      </w:r>
      <w:r w:rsidR="007D013F">
        <w:t xml:space="preserve">Board Risk Oversight Committee </w:t>
      </w:r>
      <w:r w:rsidRPr="007E7482">
        <w:t xml:space="preserve">shall report on the Energy Risk Management activities and results to the </w:t>
      </w:r>
      <w:r w:rsidR="00FB5911">
        <w:t>Board of KYMEA</w:t>
      </w:r>
      <w:r w:rsidRPr="007E7482">
        <w:t xml:space="preserve"> at least annually.</w:t>
      </w:r>
    </w:p>
    <w:p w14:paraId="45BE98D6" w14:textId="77777777" w:rsidR="00FC3FF8" w:rsidRPr="007E7482" w:rsidRDefault="00FC3FF8"/>
    <w:p w14:paraId="3BFA1B57" w14:textId="5BEE3C65" w:rsidR="00FC3FF8" w:rsidRPr="007E7482" w:rsidRDefault="00FC3FF8">
      <w:r w:rsidRPr="007E7482">
        <w:t xml:space="preserve">The </w:t>
      </w:r>
      <w:r w:rsidR="007D013F">
        <w:t xml:space="preserve">Board Risk Oversight Committee </w:t>
      </w:r>
      <w:r w:rsidRPr="007E7482">
        <w:t xml:space="preserve">shall review and recommend changes to this Policy to the </w:t>
      </w:r>
      <w:r w:rsidR="00FB5911">
        <w:t>Board of KYMEA</w:t>
      </w:r>
      <w:r w:rsidRPr="007E7482">
        <w:t xml:space="preserve"> as required. </w:t>
      </w:r>
    </w:p>
    <w:p w14:paraId="04F7AB08" w14:textId="77777777" w:rsidR="00FC3FF8" w:rsidRPr="007E7482" w:rsidRDefault="00FC3FF8"/>
    <w:p w14:paraId="2C68FDE4" w14:textId="33217DFF" w:rsidR="00FC3FF8" w:rsidRPr="007E7482" w:rsidRDefault="0035727B">
      <w:pPr>
        <w:pStyle w:val="Heading1"/>
      </w:pPr>
      <w:r>
        <w:t>INTERNAL RISK MANAGEMENT</w:t>
      </w:r>
      <w:r w:rsidR="00FC3FF8" w:rsidRPr="007E7482">
        <w:t xml:space="preserve"> COMMITTEE</w:t>
      </w:r>
    </w:p>
    <w:p w14:paraId="52E0DF35" w14:textId="77777777" w:rsidR="00FC3FF8" w:rsidRPr="007E7482" w:rsidRDefault="00FC3FF8"/>
    <w:p w14:paraId="17DFC3C1" w14:textId="13D48494" w:rsidR="00FC3FF8" w:rsidRDefault="00FC3FF8">
      <w:r w:rsidRPr="007E7482">
        <w:t xml:space="preserve">The </w:t>
      </w:r>
      <w:r w:rsidR="0035727B">
        <w:t>Internal Risk Management</w:t>
      </w:r>
      <w:r w:rsidRPr="007E7482">
        <w:t xml:space="preserve"> Committee (</w:t>
      </w:r>
      <w:r w:rsidR="0035727B">
        <w:t>IRMC</w:t>
      </w:r>
      <w:r w:rsidRPr="007E7482">
        <w:t xml:space="preserve">) shall be formed upon the approval of this policy by the </w:t>
      </w:r>
      <w:r w:rsidR="00071162">
        <w:t>KYMEA</w:t>
      </w:r>
      <w:r w:rsidRPr="007E7482">
        <w:t>.</w:t>
      </w:r>
    </w:p>
    <w:p w14:paraId="5E17D1B5" w14:textId="77777777" w:rsidR="00C1596C" w:rsidRDefault="00C1596C"/>
    <w:p w14:paraId="36B8EC6A" w14:textId="73D86F5D" w:rsidR="00F16B9A" w:rsidRDefault="00C1596C">
      <w:r w:rsidRPr="007E7482">
        <w:t xml:space="preserve">The </w:t>
      </w:r>
      <w:r w:rsidR="007D013F">
        <w:t xml:space="preserve">Board Risk Oversight Committee </w:t>
      </w:r>
      <w:r w:rsidRPr="007E7482">
        <w:t xml:space="preserve">shall designate a Chairperson of the </w:t>
      </w:r>
      <w:r>
        <w:t>IRMC</w:t>
      </w:r>
      <w:r w:rsidRPr="007E7482">
        <w:t>.</w:t>
      </w:r>
      <w:r>
        <w:t xml:space="preserve"> The Committee shall be comprised of five </w:t>
      </w:r>
      <w:r w:rsidR="004C58FE">
        <w:t>members</w:t>
      </w:r>
    </w:p>
    <w:p w14:paraId="4050926C" w14:textId="77777777" w:rsidR="00C1596C" w:rsidRDefault="00C1596C"/>
    <w:p w14:paraId="0917DBD4" w14:textId="01804ADF" w:rsidR="00F16B9A" w:rsidRDefault="007D013F">
      <w:r>
        <w:t>The IRMC</w:t>
      </w:r>
      <w:r w:rsidR="00F16B9A" w:rsidRPr="007E7482">
        <w:t xml:space="preserve"> shall include</w:t>
      </w:r>
      <w:r w:rsidR="00F16B9A">
        <w:t>;</w:t>
      </w:r>
    </w:p>
    <w:p w14:paraId="40D26498" w14:textId="107DA22A" w:rsidR="00F16B9A" w:rsidRDefault="00C1596C">
      <w:r>
        <w:tab/>
        <w:t>CEO</w:t>
      </w:r>
    </w:p>
    <w:p w14:paraId="2D1A530B" w14:textId="31C4F852" w:rsidR="007D013F" w:rsidRDefault="00F16B9A">
      <w:r w:rsidRPr="007E7482">
        <w:t xml:space="preserve"> </w:t>
      </w:r>
      <w:r>
        <w:tab/>
        <w:t xml:space="preserve">Vice President of Market Analytics </w:t>
      </w:r>
    </w:p>
    <w:p w14:paraId="0308F0DF" w14:textId="77777777" w:rsidR="00F16B9A" w:rsidRDefault="00F16B9A" w:rsidP="007D013F">
      <w:pPr>
        <w:ind w:firstLine="720"/>
      </w:pPr>
      <w:r w:rsidRPr="007E7482">
        <w:t>Chief Financial Officer</w:t>
      </w:r>
      <w:r>
        <w:t xml:space="preserve"> </w:t>
      </w:r>
      <w:r w:rsidRPr="007E7482">
        <w:t xml:space="preserve">(CFO) and </w:t>
      </w:r>
    </w:p>
    <w:p w14:paraId="2A2FC301" w14:textId="77777777" w:rsidR="00F16B9A" w:rsidRDefault="00F16B9A" w:rsidP="004C58FE">
      <w:pPr>
        <w:ind w:firstLine="720"/>
      </w:pPr>
      <w:r>
        <w:t>Outside Counsel</w:t>
      </w:r>
    </w:p>
    <w:p w14:paraId="49FB8BD1" w14:textId="06B82B33" w:rsidR="00A04177" w:rsidRDefault="00F16B9A" w:rsidP="004C58FE">
      <w:pPr>
        <w:ind w:firstLine="720"/>
      </w:pPr>
      <w:r>
        <w:t>External</w:t>
      </w:r>
      <w:r w:rsidR="00C1596C">
        <w:t xml:space="preserve"> or Internal </w:t>
      </w:r>
      <w:r>
        <w:t xml:space="preserve">Individual </w:t>
      </w:r>
      <w:r w:rsidR="00A04177">
        <w:t>knowledgeable of trading activities</w:t>
      </w:r>
      <w:r w:rsidRPr="007E7482">
        <w:t xml:space="preserve"> </w:t>
      </w:r>
    </w:p>
    <w:p w14:paraId="7E65923C" w14:textId="67AD71FE" w:rsidR="00FC3FF8" w:rsidRPr="007E7482" w:rsidRDefault="00A04177">
      <w:r>
        <w:t xml:space="preserve"> recommended to </w:t>
      </w:r>
      <w:r w:rsidR="007D013F">
        <w:t xml:space="preserve">Board Risk Oversight Committee </w:t>
      </w:r>
      <w:r>
        <w:t>by CEO</w:t>
      </w:r>
      <w:r w:rsidR="00F16B9A" w:rsidRPr="007E7482">
        <w:t xml:space="preserve"> </w:t>
      </w:r>
    </w:p>
    <w:p w14:paraId="19A800CF" w14:textId="156ECA7B" w:rsidR="00FC3FF8" w:rsidRPr="007E7482" w:rsidRDefault="00FC3FF8">
      <w:r w:rsidRPr="007E7482">
        <w:t xml:space="preserve">The Chairperson of the </w:t>
      </w:r>
      <w:r w:rsidR="0035727B">
        <w:t>IRMC</w:t>
      </w:r>
      <w:r w:rsidRPr="007E7482">
        <w:t xml:space="preserve"> shall schedule meetings at least quarterly.</w:t>
      </w:r>
    </w:p>
    <w:p w14:paraId="5D33C629" w14:textId="77777777" w:rsidR="00FC3FF8" w:rsidRPr="007E7482" w:rsidRDefault="00FC3FF8"/>
    <w:p w14:paraId="2645FF3E" w14:textId="565A843C" w:rsidR="00FC3FF8" w:rsidRPr="007E7482" w:rsidRDefault="00FC3FF8">
      <w:r w:rsidRPr="007E7482">
        <w:t xml:space="preserve">The </w:t>
      </w:r>
      <w:r w:rsidR="0035727B">
        <w:t>IRMC</w:t>
      </w:r>
      <w:r w:rsidRPr="007E7482">
        <w:t xml:space="preserve"> shall approve each hedge </w:t>
      </w:r>
      <w:r w:rsidR="00357C8D">
        <w:t>recommendation</w:t>
      </w:r>
      <w:r w:rsidR="00357C8D" w:rsidRPr="007E7482">
        <w:t xml:space="preserve"> </w:t>
      </w:r>
      <w:r w:rsidRPr="007E7482">
        <w:t xml:space="preserve">prior to the commencement of the implementation of the </w:t>
      </w:r>
      <w:r w:rsidR="00357C8D">
        <w:t>recommendation</w:t>
      </w:r>
      <w:r w:rsidRPr="007E7482">
        <w:t>.  The approval shall specifically include the following:</w:t>
      </w:r>
    </w:p>
    <w:p w14:paraId="665DBA06" w14:textId="77777777" w:rsidR="00FC3FF8" w:rsidRPr="007E7482" w:rsidRDefault="00FC3FF8">
      <w:r w:rsidRPr="007E7482">
        <w:tab/>
      </w:r>
      <w:r w:rsidRPr="007E7482">
        <w:tab/>
      </w:r>
      <w:r w:rsidRPr="007E7482">
        <w:tab/>
      </w:r>
    </w:p>
    <w:p w14:paraId="34B6637A" w14:textId="77777777" w:rsidR="00FC3FF8" w:rsidRPr="007E7482" w:rsidRDefault="00FC3FF8">
      <w:pPr>
        <w:numPr>
          <w:ilvl w:val="0"/>
          <w:numId w:val="3"/>
        </w:numPr>
      </w:pPr>
      <w:r w:rsidRPr="007E7482">
        <w:t>Purpose of the hedge</w:t>
      </w:r>
    </w:p>
    <w:p w14:paraId="54131D5B" w14:textId="77777777" w:rsidR="00FC3FF8" w:rsidRPr="007E7482" w:rsidRDefault="00FC3FF8">
      <w:pPr>
        <w:numPr>
          <w:ilvl w:val="0"/>
          <w:numId w:val="3"/>
        </w:numPr>
      </w:pPr>
      <w:r w:rsidRPr="007E7482">
        <w:t>Hedge instruments to be used</w:t>
      </w:r>
    </w:p>
    <w:p w14:paraId="7C5A0452" w14:textId="77777777" w:rsidR="00FC3FF8" w:rsidRPr="007E7482" w:rsidRDefault="00FC3FF8">
      <w:pPr>
        <w:numPr>
          <w:ilvl w:val="0"/>
          <w:numId w:val="3"/>
        </w:numPr>
      </w:pPr>
      <w:r w:rsidRPr="007E7482">
        <w:t>Duration of the hedge</w:t>
      </w:r>
    </w:p>
    <w:p w14:paraId="2464BCF2" w14:textId="77777777" w:rsidR="00FC3FF8" w:rsidRPr="007E7482" w:rsidRDefault="00FC3FF8">
      <w:pPr>
        <w:numPr>
          <w:ilvl w:val="0"/>
          <w:numId w:val="3"/>
        </w:numPr>
      </w:pPr>
      <w:r w:rsidRPr="007E7482">
        <w:t>Desired results of the hedge</w:t>
      </w:r>
    </w:p>
    <w:p w14:paraId="47B14CD5" w14:textId="77777777" w:rsidR="00FC3FF8" w:rsidRPr="007E7482" w:rsidRDefault="00FC3FF8">
      <w:pPr>
        <w:ind w:left="2160"/>
      </w:pPr>
    </w:p>
    <w:p w14:paraId="77DD54B4" w14:textId="4C55FFF5" w:rsidR="00FC3FF8" w:rsidRPr="007E7482" w:rsidRDefault="00FC3FF8">
      <w:r w:rsidRPr="007E7482">
        <w:t xml:space="preserve">The </w:t>
      </w:r>
      <w:r w:rsidR="0035727B">
        <w:t>IRMC</w:t>
      </w:r>
      <w:r w:rsidRPr="007E7482">
        <w:t xml:space="preserve"> shall cause to be developed a Risk Management Operati</w:t>
      </w:r>
      <w:r w:rsidR="00D340B8">
        <w:t>ng and Administrative Procedures</w:t>
      </w:r>
      <w:r w:rsidRPr="007E7482">
        <w:t xml:space="preserve"> </w:t>
      </w:r>
      <w:r w:rsidR="00D340B8">
        <w:t>m</w:t>
      </w:r>
      <w:r w:rsidRPr="007E7482">
        <w:t xml:space="preserve">anual that shall specify the detailed procedures and reporting necessary to implement this Policy.  The </w:t>
      </w:r>
      <w:r w:rsidR="0035727B">
        <w:t>IRMC</w:t>
      </w:r>
      <w:r w:rsidRPr="007E7482">
        <w:t xml:space="preserve"> shall maintain this manual and approve all revisions thereto. </w:t>
      </w:r>
    </w:p>
    <w:p w14:paraId="0107689E" w14:textId="77777777" w:rsidR="00FC3FF8" w:rsidRPr="007E7482" w:rsidRDefault="00FC3FF8"/>
    <w:p w14:paraId="1445262E" w14:textId="2B3281EB" w:rsidR="00FC3FF8" w:rsidRPr="007E7482" w:rsidRDefault="00FC3FF8">
      <w:r w:rsidRPr="007E7482">
        <w:t xml:space="preserve">The </w:t>
      </w:r>
      <w:r w:rsidR="0035727B">
        <w:t>IRMC</w:t>
      </w:r>
      <w:r w:rsidRPr="007E7482">
        <w:t xml:space="preserve"> shall monitor compliance with </w:t>
      </w:r>
      <w:r w:rsidR="004C58FE" w:rsidRPr="007E7482">
        <w:t>the Risk</w:t>
      </w:r>
      <w:r w:rsidRPr="007E7482">
        <w:t xml:space="preserve"> Management Operati</w:t>
      </w:r>
      <w:r w:rsidR="00D340B8">
        <w:t>ng</w:t>
      </w:r>
      <w:r w:rsidR="007E7482">
        <w:t xml:space="preserve"> </w:t>
      </w:r>
      <w:r w:rsidR="00D340B8">
        <w:t>and Administrative Procedures</w:t>
      </w:r>
      <w:r w:rsidRPr="007E7482">
        <w:t xml:space="preserve"> </w:t>
      </w:r>
      <w:r w:rsidR="00D340B8">
        <w:t>m</w:t>
      </w:r>
      <w:r w:rsidRPr="007E7482">
        <w:t>anual.</w:t>
      </w:r>
    </w:p>
    <w:p w14:paraId="3BD66FB4" w14:textId="77777777" w:rsidR="00FC3FF8" w:rsidRPr="007E7482" w:rsidRDefault="00FC3FF8"/>
    <w:p w14:paraId="2C882C30" w14:textId="25488971" w:rsidR="00FC3FF8" w:rsidRPr="007E7482" w:rsidRDefault="00FC3FF8">
      <w:r w:rsidRPr="007E7482">
        <w:t xml:space="preserve">The </w:t>
      </w:r>
      <w:r w:rsidR="0035727B">
        <w:t>IRMC</w:t>
      </w:r>
      <w:r w:rsidRPr="007E7482">
        <w:t xml:space="preserve"> will approve all individuals authorized to execute trades. </w:t>
      </w:r>
      <w:r w:rsidR="004C58FE">
        <w:t>At a minimum, the CEO and Vice President of Market Analytics shall be authorized to execute trades.</w:t>
      </w:r>
      <w:r w:rsidRPr="007E7482">
        <w:t xml:space="preserve"> </w:t>
      </w:r>
    </w:p>
    <w:p w14:paraId="7F13FCDC" w14:textId="77777777" w:rsidR="00FC3FF8" w:rsidRPr="007E7482" w:rsidRDefault="00FC3FF8"/>
    <w:p w14:paraId="3CD87271" w14:textId="766D0067" w:rsidR="00FC3FF8" w:rsidRPr="007E7482" w:rsidRDefault="00FC3FF8">
      <w:r w:rsidRPr="007E7482">
        <w:t xml:space="preserve">The </w:t>
      </w:r>
      <w:r w:rsidR="0035727B">
        <w:t>IRMC</w:t>
      </w:r>
      <w:r w:rsidRPr="007E7482">
        <w:t xml:space="preserve"> shall approve all brokerage relationships and all ISDA master agreements and any other contractual agreement relating to energy risk management activities.</w:t>
      </w:r>
    </w:p>
    <w:p w14:paraId="56AB2FE4" w14:textId="77777777" w:rsidR="00FC3FF8" w:rsidRPr="007E7482" w:rsidRDefault="00FC3FF8"/>
    <w:p w14:paraId="00592BAD" w14:textId="4EB558B1" w:rsidR="00FC3FF8" w:rsidRPr="00456B00" w:rsidRDefault="00FC3FF8">
      <w:r w:rsidRPr="007E7482">
        <w:t xml:space="preserve">The </w:t>
      </w:r>
      <w:r w:rsidR="0035727B">
        <w:t>IRMC</w:t>
      </w:r>
      <w:r w:rsidRPr="007E7482">
        <w:t xml:space="preserve"> shall establish requirements to determine counterparty creditworthiness prior to any proposed </w:t>
      </w:r>
      <w:r w:rsidR="00456B00">
        <w:t>OTC</w:t>
      </w:r>
      <w:r w:rsidR="00623F77" w:rsidRPr="00456B00">
        <w:t xml:space="preserve"> </w:t>
      </w:r>
      <w:r w:rsidRPr="00456B00">
        <w:t>transaction.  Counterpart</w:t>
      </w:r>
      <w:r w:rsidR="00516BFD">
        <w:t>ie</w:t>
      </w:r>
      <w:r w:rsidRPr="00456B00">
        <w:t>s will be reviewed at periodic intervals to ensure they have maintained compliance with the requirements.</w:t>
      </w:r>
    </w:p>
    <w:p w14:paraId="77ED4A43" w14:textId="77777777" w:rsidR="00FC3FF8" w:rsidRPr="00456B00" w:rsidRDefault="00FC3FF8">
      <w:r w:rsidRPr="00456B00">
        <w:tab/>
      </w:r>
    </w:p>
    <w:p w14:paraId="6546D1F1" w14:textId="74B4B3DD" w:rsidR="00FC3FF8" w:rsidRPr="00456B00" w:rsidRDefault="00FC3FF8">
      <w:r w:rsidRPr="00456B00">
        <w:t xml:space="preserve">The </w:t>
      </w:r>
      <w:r w:rsidR="0035727B">
        <w:t>IRMC</w:t>
      </w:r>
      <w:r w:rsidRPr="00456B00">
        <w:t xml:space="preserve"> shall develop </w:t>
      </w:r>
      <w:r w:rsidR="005C20DE">
        <w:t xml:space="preserve">a </w:t>
      </w:r>
      <w:r w:rsidRPr="00456B00">
        <w:t xml:space="preserve">detailed position reporting system to assess the performance of each </w:t>
      </w:r>
      <w:r w:rsidR="005C20DE">
        <w:t>executed</w:t>
      </w:r>
      <w:r w:rsidR="005C20DE" w:rsidRPr="00456B00">
        <w:t xml:space="preserve"> </w:t>
      </w:r>
      <w:r w:rsidRPr="00456B00">
        <w:t xml:space="preserve">hedge </w:t>
      </w:r>
      <w:r w:rsidR="00357C8D">
        <w:t>recommendation</w:t>
      </w:r>
      <w:r w:rsidR="00357C8D" w:rsidRPr="00456B00">
        <w:t xml:space="preserve"> </w:t>
      </w:r>
      <w:r w:rsidRPr="00456B00">
        <w:t xml:space="preserve">relative to the </w:t>
      </w:r>
      <w:r w:rsidR="00C47EFB">
        <w:t xml:space="preserve">approved </w:t>
      </w:r>
      <w:r w:rsidRPr="00456B00">
        <w:t xml:space="preserve">objectives. </w:t>
      </w:r>
    </w:p>
    <w:p w14:paraId="68F0FE76" w14:textId="77777777" w:rsidR="00FC3FF8" w:rsidRPr="00456B00" w:rsidRDefault="00FC3FF8"/>
    <w:p w14:paraId="005EF500" w14:textId="71AF7476" w:rsidR="00FC3FF8" w:rsidRPr="00456B00" w:rsidRDefault="00FC3FF8">
      <w:r w:rsidRPr="00456B00">
        <w:t xml:space="preserve">All </w:t>
      </w:r>
      <w:r w:rsidR="0035727B">
        <w:t>IRMC</w:t>
      </w:r>
      <w:r w:rsidRPr="00456B00">
        <w:t xml:space="preserve"> members have authority to call committee meetings beyond those scheduled quarterly and each has responsibility to ensure that all activities are in accordance with </w:t>
      </w:r>
      <w:r w:rsidR="005C20DE">
        <w:t>the ERMP</w:t>
      </w:r>
      <w:r w:rsidRPr="00456B00">
        <w:t xml:space="preserve">. The committee may meet in person, through telephone </w:t>
      </w:r>
      <w:r w:rsidR="00C47EFB">
        <w:t xml:space="preserve">or electronic </w:t>
      </w:r>
      <w:r w:rsidRPr="00456B00">
        <w:t xml:space="preserve">conference calls, and using electronic mail.  The </w:t>
      </w:r>
      <w:r w:rsidR="0035727B">
        <w:t>IRMC</w:t>
      </w:r>
      <w:r w:rsidRPr="00456B00">
        <w:t xml:space="preserve"> will keep regular minutes and records of its meetings and actions. </w:t>
      </w:r>
    </w:p>
    <w:p w14:paraId="55E9A557" w14:textId="77777777" w:rsidR="00FC3FF8" w:rsidRPr="00456B00" w:rsidRDefault="00FC3FF8"/>
    <w:p w14:paraId="7F78D81D" w14:textId="1F848BE5" w:rsidR="00FC3FF8" w:rsidRDefault="00FC3FF8">
      <w:r w:rsidRPr="00456B00">
        <w:t xml:space="preserve">At any time, if any </w:t>
      </w:r>
      <w:r w:rsidR="0035727B">
        <w:t>IRMC</w:t>
      </w:r>
      <w:r w:rsidRPr="00456B00">
        <w:t xml:space="preserve"> member believes that the committee has failed to adequately address a situation in which the member believes price or credit speculation is taking place, that member will submit a written statement describing the concern to the Chairperson of the </w:t>
      </w:r>
      <w:r w:rsidR="0035727B">
        <w:t xml:space="preserve">Board Risk </w:t>
      </w:r>
      <w:r w:rsidR="004C58FE">
        <w:t>Oversight</w:t>
      </w:r>
      <w:r w:rsidRPr="00456B00">
        <w:t xml:space="preserve"> Committee.</w:t>
      </w:r>
    </w:p>
    <w:p w14:paraId="5A07D322" w14:textId="77777777" w:rsidR="00FC3FF8" w:rsidRDefault="00FC3FF8"/>
    <w:p w14:paraId="793BB044" w14:textId="77777777" w:rsidR="00FC3FF8" w:rsidRDefault="00FC3FF8"/>
    <w:p w14:paraId="01E616A5" w14:textId="77777777" w:rsidR="00FC3FF8" w:rsidRDefault="00FC3FF8">
      <w:pPr>
        <w:pStyle w:val="Heading3"/>
      </w:pPr>
      <w:r>
        <w:t>AUTHORIZATION AND LIMITS</w:t>
      </w:r>
    </w:p>
    <w:p w14:paraId="72FF67D1" w14:textId="77777777" w:rsidR="00FC3FF8" w:rsidRDefault="00FC3FF8">
      <w:pPr>
        <w:pStyle w:val="Heading2"/>
        <w:ind w:left="0"/>
      </w:pPr>
    </w:p>
    <w:p w14:paraId="4B3EBFC1" w14:textId="77777777" w:rsidR="00FC3FF8" w:rsidRDefault="00FC3FF8">
      <w:pPr>
        <w:rPr>
          <w:b/>
        </w:rPr>
      </w:pPr>
    </w:p>
    <w:p w14:paraId="414F1F36" w14:textId="77777777" w:rsidR="00FC3FF8" w:rsidRDefault="00FC3FF8">
      <w:pPr>
        <w:rPr>
          <w:b/>
        </w:rPr>
      </w:pPr>
      <w:r>
        <w:t xml:space="preserve"> </w:t>
      </w:r>
      <w:r>
        <w:rPr>
          <w:b/>
        </w:rPr>
        <w:t>AUTHORIZATION</w:t>
      </w:r>
    </w:p>
    <w:p w14:paraId="136D3B21" w14:textId="77777777" w:rsidR="00FC3FF8" w:rsidRDefault="00FC3FF8"/>
    <w:p w14:paraId="608212AA" w14:textId="77777777" w:rsidR="00FC3FF8" w:rsidRDefault="00FC3FF8">
      <w:r>
        <w:t>The following are the only financial instruments that are authorized for use to conduct energy risk management activities:</w:t>
      </w:r>
    </w:p>
    <w:p w14:paraId="7912EE01" w14:textId="77777777" w:rsidR="00FC3FF8" w:rsidRDefault="00FC3FF8"/>
    <w:p w14:paraId="66418BEE" w14:textId="77777777" w:rsidR="00FC3FF8" w:rsidRDefault="00FC3FF8" w:rsidP="002362A0">
      <w:pPr>
        <w:ind w:left="720"/>
      </w:pPr>
      <w:r>
        <w:rPr>
          <w:u w:val="single"/>
        </w:rPr>
        <w:t>Futures Contract</w:t>
      </w:r>
      <w:r>
        <w:t xml:space="preserve"> - A standardized binding agreement to buy or sell a specified quantity or grade of a commodity at a later date.  Futures contracts are freely transferable, can be traded exclusively on regulated exchanges and are settled daily based on their current value in the marketplace.</w:t>
      </w:r>
    </w:p>
    <w:p w14:paraId="7BA21521" w14:textId="77777777" w:rsidR="00FC3FF8" w:rsidRDefault="00FC3FF8"/>
    <w:p w14:paraId="141193DE" w14:textId="77777777" w:rsidR="00FC3FF8" w:rsidRDefault="00FC3FF8" w:rsidP="002362A0">
      <w:pPr>
        <w:ind w:left="720" w:right="-90"/>
      </w:pPr>
      <w:r>
        <w:rPr>
          <w:u w:val="single"/>
        </w:rPr>
        <w:t>Option</w:t>
      </w:r>
      <w:r>
        <w:t xml:space="preserve"> - A contract which gives the holder the right, but not the obligation, to purchase or sell the underlying futures contract at a specified price within </w:t>
      </w:r>
      <w:r>
        <w:tab/>
        <w:t>a specified period of time in exchange for a one-time premium payment.  The contract also obligates the writer, who receives the premium, to meet these obligations.</w:t>
      </w:r>
    </w:p>
    <w:p w14:paraId="01626F50" w14:textId="77777777" w:rsidR="00FC3FF8" w:rsidRDefault="00FC3FF8"/>
    <w:p w14:paraId="3855045D" w14:textId="77777777" w:rsidR="00FC3FF8" w:rsidRDefault="00FC3FF8">
      <w:pPr>
        <w:ind w:left="720"/>
      </w:pPr>
      <w:r>
        <w:rPr>
          <w:u w:val="single"/>
        </w:rPr>
        <w:t>Over-the-Counter Instruments (OTC)</w:t>
      </w:r>
      <w:r>
        <w:t xml:space="preserve"> - Any financial or physical instrument that is customized and created by a counterpart to replicate the risk profile associated with a commodity. </w:t>
      </w:r>
    </w:p>
    <w:p w14:paraId="30953562" w14:textId="77777777" w:rsidR="00FC3FF8" w:rsidRDefault="00FC3FF8">
      <w:pPr>
        <w:pStyle w:val="BodyTextIndent2"/>
        <w:ind w:left="0" w:firstLine="0"/>
      </w:pPr>
    </w:p>
    <w:p w14:paraId="672DCE7C" w14:textId="77777777" w:rsidR="00FC3FF8" w:rsidRDefault="00FC3FF8">
      <w:pPr>
        <w:pStyle w:val="Heading1"/>
      </w:pPr>
      <w:r>
        <w:t>LIMITS</w:t>
      </w:r>
    </w:p>
    <w:p w14:paraId="63575BBD" w14:textId="77777777" w:rsidR="00FC3FF8" w:rsidRDefault="00FC3FF8">
      <w:pPr>
        <w:pStyle w:val="BodyText"/>
      </w:pPr>
    </w:p>
    <w:p w14:paraId="296742B2" w14:textId="77777777" w:rsidR="00C4187E" w:rsidRDefault="00C4187E">
      <w:pPr>
        <w:pStyle w:val="BodyText"/>
      </w:pPr>
      <w:r>
        <w:t>Volume Limit</w:t>
      </w:r>
    </w:p>
    <w:p w14:paraId="797662C1" w14:textId="77777777" w:rsidR="00C4187E" w:rsidRDefault="00C4187E">
      <w:pPr>
        <w:pStyle w:val="BodyText"/>
      </w:pPr>
    </w:p>
    <w:p w14:paraId="4DB779E1" w14:textId="551C7422" w:rsidR="00C4187E" w:rsidRPr="00C4187E" w:rsidRDefault="00357C8D">
      <w:pPr>
        <w:pStyle w:val="BodyText"/>
        <w:rPr>
          <w:b w:val="0"/>
        </w:rPr>
      </w:pPr>
      <w:r>
        <w:rPr>
          <w:b w:val="0"/>
        </w:rPr>
        <w:t xml:space="preserve">The </w:t>
      </w:r>
      <w:r w:rsidR="0035727B">
        <w:rPr>
          <w:b w:val="0"/>
        </w:rPr>
        <w:t>IRMC</w:t>
      </w:r>
      <w:r>
        <w:rPr>
          <w:b w:val="0"/>
        </w:rPr>
        <w:t xml:space="preserve"> may hedge up to 100% of the expected volumes </w:t>
      </w:r>
      <w:r w:rsidR="008F679A">
        <w:rPr>
          <w:b w:val="0"/>
        </w:rPr>
        <w:t xml:space="preserve">of individual fuel types </w:t>
      </w:r>
      <w:r>
        <w:rPr>
          <w:b w:val="0"/>
        </w:rPr>
        <w:t>at the time of execution as long as they do not exceed the Financial Limits listed below.</w:t>
      </w:r>
    </w:p>
    <w:p w14:paraId="12CB78A5" w14:textId="77777777" w:rsidR="00C4187E" w:rsidRDefault="00C4187E">
      <w:pPr>
        <w:pStyle w:val="BodyText"/>
      </w:pPr>
    </w:p>
    <w:p w14:paraId="22E0057F" w14:textId="00F71E53" w:rsidR="00C4187E" w:rsidRDefault="00FC3FF8">
      <w:pPr>
        <w:pStyle w:val="Heade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Financial Limit</w:t>
      </w:r>
      <w:r w:rsidR="004C58FE">
        <w:rPr>
          <w:b/>
        </w:rPr>
        <w:t>s</w:t>
      </w:r>
    </w:p>
    <w:p w14:paraId="073F8B6B" w14:textId="77777777"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D436C7" w14:textId="1C73A262"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maximum exposure of open financial (all futures, options, and OTC) instruments expressed as the total gross current market value (“notional value”) of outstanding financial positions under this Policy shall not exceed a percentage of the annual fuel </w:t>
      </w:r>
      <w:r w:rsidR="003C05B6">
        <w:t xml:space="preserve">component of the energy procurement </w:t>
      </w:r>
      <w:r>
        <w:t>budget as follows:</w:t>
      </w:r>
    </w:p>
    <w:p w14:paraId="07463EE6" w14:textId="77777777"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E79F6C" w14:textId="5B6FD362"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1</w:t>
      </w:r>
      <w:r>
        <w:rPr>
          <w:vertAlign w:val="superscript"/>
        </w:rPr>
        <w:t>st</w:t>
      </w:r>
      <w:r>
        <w:t xml:space="preserve"> Year</w:t>
      </w:r>
      <w:r>
        <w:tab/>
        <w:t>-</w:t>
      </w:r>
      <w:r>
        <w:tab/>
        <w:t xml:space="preserve">40% of approved annual fuel </w:t>
      </w:r>
      <w:r w:rsidR="003C05B6">
        <w:t xml:space="preserve">component of energy </w:t>
      </w:r>
      <w:r>
        <w:t>budget</w:t>
      </w:r>
    </w:p>
    <w:p w14:paraId="4CDBCFF8" w14:textId="6C0D3DDA"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2</w:t>
      </w:r>
      <w:r>
        <w:rPr>
          <w:vertAlign w:val="superscript"/>
        </w:rPr>
        <w:t>nd</w:t>
      </w:r>
      <w:r>
        <w:t xml:space="preserve"> Year</w:t>
      </w:r>
      <w:r>
        <w:tab/>
        <w:t>-</w:t>
      </w:r>
      <w:r>
        <w:tab/>
        <w:t xml:space="preserve">35% of forecasted annual fuel </w:t>
      </w:r>
      <w:r w:rsidR="003C05B6">
        <w:t xml:space="preserve">component of energy </w:t>
      </w:r>
      <w:r>
        <w:t>budget</w:t>
      </w:r>
    </w:p>
    <w:p w14:paraId="27C63FDA" w14:textId="530AB993"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3</w:t>
      </w:r>
      <w:r>
        <w:rPr>
          <w:vertAlign w:val="superscript"/>
        </w:rPr>
        <w:t>rd</w:t>
      </w:r>
      <w:r>
        <w:t xml:space="preserve"> Year</w:t>
      </w:r>
      <w:r>
        <w:tab/>
        <w:t>-</w:t>
      </w:r>
      <w:r>
        <w:tab/>
        <w:t xml:space="preserve">30% of forecasted annual fuel </w:t>
      </w:r>
      <w:r w:rsidR="003C05B6">
        <w:t xml:space="preserve">component of energy </w:t>
      </w:r>
      <w:r>
        <w:t>budget</w:t>
      </w:r>
    </w:p>
    <w:p w14:paraId="7B8C511A" w14:textId="5D7E0D19"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4</w:t>
      </w:r>
      <w:r>
        <w:rPr>
          <w:vertAlign w:val="superscript"/>
        </w:rPr>
        <w:t>th</w:t>
      </w:r>
      <w:r>
        <w:t xml:space="preserve"> Year</w:t>
      </w:r>
      <w:r>
        <w:tab/>
        <w:t>-</w:t>
      </w:r>
      <w:r>
        <w:tab/>
        <w:t xml:space="preserve">25% of forecasted annual fuel </w:t>
      </w:r>
      <w:r w:rsidR="003C05B6">
        <w:t xml:space="preserve">component of energy </w:t>
      </w:r>
      <w:r>
        <w:t>budget</w:t>
      </w:r>
    </w:p>
    <w:p w14:paraId="51105A84" w14:textId="47C969F9"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5</w:t>
      </w:r>
      <w:r>
        <w:rPr>
          <w:vertAlign w:val="superscript"/>
        </w:rPr>
        <w:t>th</w:t>
      </w:r>
      <w:r>
        <w:t xml:space="preserve"> Year</w:t>
      </w:r>
      <w:r>
        <w:tab/>
        <w:t>-</w:t>
      </w:r>
      <w:r>
        <w:tab/>
        <w:t xml:space="preserve">20% of forecasted annual fuel </w:t>
      </w:r>
      <w:r w:rsidR="003C05B6">
        <w:t xml:space="preserve">component of energy </w:t>
      </w:r>
      <w:r>
        <w:t>budget</w:t>
      </w:r>
    </w:p>
    <w:p w14:paraId="7B6D4E65" w14:textId="77777777"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656DBB" w14:textId="77777777"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2F6E48" w14:textId="77777777" w:rsidR="00FC3FF8" w:rsidRDefault="00FC3FF8">
      <w:pPr>
        <w:pStyle w:val="Heading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 xml:space="preserve"> Environmental Emission Allowances Limit</w:t>
      </w:r>
    </w:p>
    <w:p w14:paraId="4FA6A7B5" w14:textId="77777777" w:rsidR="00FC3FF8" w:rsidRDefault="00FC3F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477CA5CB" w14:textId="4488C3D6" w:rsidR="00FC3FF8" w:rsidRPr="001D6961" w:rsidRDefault="00071162">
      <w:pPr>
        <w:jc w:val="both"/>
        <w:rPr>
          <w:rFonts w:cs="Tahoma"/>
          <w:szCs w:val="24"/>
        </w:rPr>
      </w:pPr>
      <w:r>
        <w:rPr>
          <w:rFonts w:cs="Tahoma"/>
          <w:szCs w:val="24"/>
        </w:rPr>
        <w:t>KYMEA</w:t>
      </w:r>
      <w:r w:rsidR="00FC3FF8" w:rsidRPr="001D6961">
        <w:rPr>
          <w:rFonts w:cs="Tahoma"/>
          <w:szCs w:val="24"/>
        </w:rPr>
        <w:t xml:space="preserve"> may buy, sell or trade emission allowances to assure compliance with the United States Environmental Protection Agency emission limits.  </w:t>
      </w:r>
      <w:r>
        <w:rPr>
          <w:rFonts w:cs="Tahoma"/>
          <w:szCs w:val="24"/>
        </w:rPr>
        <w:t>KYMEA</w:t>
      </w:r>
      <w:r w:rsidR="00FC3FF8" w:rsidRPr="001D6961">
        <w:rPr>
          <w:rFonts w:cs="Tahoma"/>
          <w:szCs w:val="24"/>
        </w:rPr>
        <w:t xml:space="preserve"> will not purchase, sell or trade emission allowances for speculative purposes.  </w:t>
      </w:r>
      <w:r>
        <w:rPr>
          <w:rFonts w:cs="Tahoma"/>
          <w:szCs w:val="24"/>
        </w:rPr>
        <w:t>KYMEA</w:t>
      </w:r>
      <w:r w:rsidR="00FC3FF8" w:rsidRPr="001D6961">
        <w:rPr>
          <w:rFonts w:cs="Tahoma"/>
          <w:szCs w:val="24"/>
        </w:rPr>
        <w:t xml:space="preserve"> will maintain a sufficient quantity of allowances necessary to comply with emissions limits relative to its forecasted generation.</w:t>
      </w:r>
    </w:p>
    <w:p w14:paraId="13F12AD3" w14:textId="77777777" w:rsidR="00FC3FF8" w:rsidRPr="001D6961" w:rsidRDefault="00FC3FF8">
      <w:pPr>
        <w:jc w:val="both"/>
        <w:rPr>
          <w:rFonts w:cs="Tahoma"/>
          <w:szCs w:val="24"/>
        </w:rPr>
      </w:pPr>
    </w:p>
    <w:p w14:paraId="26049E78" w14:textId="6A5B180A" w:rsidR="00FC3FF8" w:rsidRPr="001D6961" w:rsidRDefault="00071162">
      <w:pPr>
        <w:jc w:val="both"/>
        <w:rPr>
          <w:rFonts w:cs="Tahoma"/>
          <w:szCs w:val="24"/>
        </w:rPr>
      </w:pPr>
      <w:r>
        <w:rPr>
          <w:rFonts w:cs="Tahoma"/>
          <w:szCs w:val="24"/>
        </w:rPr>
        <w:t>KYMEA</w:t>
      </w:r>
      <w:r w:rsidR="00FC3FF8" w:rsidRPr="001D6961">
        <w:rPr>
          <w:rFonts w:cs="Tahoma"/>
          <w:szCs w:val="24"/>
        </w:rPr>
        <w:t xml:space="preserve"> may execute, purchase, sell or trade transactions to achieve the level of emission allowances needed.</w:t>
      </w:r>
    </w:p>
    <w:p w14:paraId="1A4035D1" w14:textId="77777777" w:rsidR="00FC3FF8" w:rsidRPr="001D6961" w:rsidRDefault="00FC3FF8">
      <w:pPr>
        <w:jc w:val="both"/>
        <w:rPr>
          <w:rFonts w:cs="Tahoma"/>
          <w:szCs w:val="24"/>
        </w:rPr>
      </w:pPr>
    </w:p>
    <w:p w14:paraId="2C5D4CB2" w14:textId="43B6264D" w:rsidR="00FC3FF8" w:rsidRPr="001D6961" w:rsidRDefault="00071162">
      <w:pPr>
        <w:jc w:val="both"/>
        <w:rPr>
          <w:rFonts w:cs="Tahoma"/>
          <w:szCs w:val="24"/>
        </w:rPr>
      </w:pPr>
      <w:r>
        <w:rPr>
          <w:rFonts w:cs="Tahoma"/>
          <w:szCs w:val="24"/>
        </w:rPr>
        <w:t>KYMEA</w:t>
      </w:r>
      <w:r w:rsidR="00FC3FF8" w:rsidRPr="001D6961">
        <w:rPr>
          <w:rFonts w:cs="Tahoma"/>
          <w:szCs w:val="24"/>
        </w:rPr>
        <w:t xml:space="preserve"> will calculate emission allowance needs based on the following:</w:t>
      </w:r>
    </w:p>
    <w:p w14:paraId="1254243B" w14:textId="77777777" w:rsidR="00FC3FF8" w:rsidRPr="001D6961" w:rsidRDefault="00FC3FF8">
      <w:pPr>
        <w:jc w:val="both"/>
        <w:rPr>
          <w:rFonts w:cs="Tahoma"/>
          <w:szCs w:val="24"/>
        </w:rPr>
      </w:pPr>
    </w:p>
    <w:p w14:paraId="40FE9D90" w14:textId="77777777" w:rsidR="00FC3FF8" w:rsidRPr="001D6961" w:rsidRDefault="00FC3FF8">
      <w:pPr>
        <w:numPr>
          <w:ilvl w:val="0"/>
          <w:numId w:val="7"/>
        </w:numPr>
        <w:jc w:val="both"/>
        <w:rPr>
          <w:rFonts w:cs="Tahoma"/>
          <w:szCs w:val="24"/>
        </w:rPr>
      </w:pPr>
      <w:r w:rsidRPr="001D6961">
        <w:rPr>
          <w:rFonts w:cs="Tahoma"/>
          <w:szCs w:val="24"/>
        </w:rPr>
        <w:t>Forecasted emissions</w:t>
      </w:r>
    </w:p>
    <w:p w14:paraId="02EF64A6" w14:textId="77777777" w:rsidR="00FC3FF8" w:rsidRPr="001D6961" w:rsidRDefault="00FC3FF8">
      <w:pPr>
        <w:numPr>
          <w:ilvl w:val="0"/>
          <w:numId w:val="7"/>
        </w:numPr>
        <w:jc w:val="both"/>
        <w:rPr>
          <w:rFonts w:cs="Tahoma"/>
          <w:szCs w:val="24"/>
        </w:rPr>
      </w:pPr>
      <w:r w:rsidRPr="001D6961">
        <w:rPr>
          <w:rFonts w:cs="Tahoma"/>
          <w:szCs w:val="24"/>
        </w:rPr>
        <w:t>Allocated emission allowances</w:t>
      </w:r>
    </w:p>
    <w:p w14:paraId="34F4E4C9" w14:textId="77777777" w:rsidR="00FC3FF8" w:rsidRPr="001D6961" w:rsidRDefault="00FC3FF8">
      <w:pPr>
        <w:numPr>
          <w:ilvl w:val="0"/>
          <w:numId w:val="7"/>
        </w:numPr>
        <w:jc w:val="both"/>
        <w:rPr>
          <w:rFonts w:cs="Tahoma"/>
          <w:szCs w:val="24"/>
        </w:rPr>
      </w:pPr>
      <w:r w:rsidRPr="001D6961">
        <w:rPr>
          <w:rFonts w:cs="Tahoma"/>
          <w:szCs w:val="24"/>
        </w:rPr>
        <w:t>Risk management factor of 20% of forecasted emission allowance needs</w:t>
      </w:r>
    </w:p>
    <w:p w14:paraId="31F9BA81" w14:textId="77777777" w:rsidR="00FC3FF8" w:rsidRPr="001D6961" w:rsidRDefault="00FC3FF8">
      <w:pPr>
        <w:jc w:val="both"/>
        <w:rPr>
          <w:rFonts w:cs="Tahoma"/>
          <w:szCs w:val="24"/>
        </w:rPr>
      </w:pPr>
    </w:p>
    <w:p w14:paraId="5474BC48" w14:textId="47FB40D5" w:rsidR="00FC3FF8" w:rsidRPr="001D6961" w:rsidRDefault="00FC3FF8">
      <w:pPr>
        <w:jc w:val="both"/>
        <w:rPr>
          <w:rFonts w:cs="Tahoma"/>
          <w:szCs w:val="24"/>
        </w:rPr>
      </w:pPr>
      <w:r w:rsidRPr="001D6961">
        <w:rPr>
          <w:rFonts w:cs="Tahoma"/>
          <w:szCs w:val="24"/>
        </w:rPr>
        <w:t xml:space="preserve">Written approvals by the </w:t>
      </w:r>
      <w:r w:rsidR="0045282A" w:rsidRPr="00DB75EB">
        <w:t>Vi</w:t>
      </w:r>
      <w:r w:rsidR="00FB5911">
        <w:t>ce President of Market Analytics</w:t>
      </w:r>
      <w:r w:rsidR="00B54D81">
        <w:t xml:space="preserve"> </w:t>
      </w:r>
      <w:r w:rsidRPr="001D6961">
        <w:rPr>
          <w:rFonts w:cs="Tahoma"/>
          <w:szCs w:val="24"/>
        </w:rPr>
        <w:t xml:space="preserve">and the </w:t>
      </w:r>
      <w:r w:rsidR="00FB5911">
        <w:rPr>
          <w:rFonts w:cs="Tahoma"/>
          <w:szCs w:val="24"/>
        </w:rPr>
        <w:t>CEO (or other individual</w:t>
      </w:r>
      <w:r w:rsidR="0045282A">
        <w:rPr>
          <w:rFonts w:cs="Tahoma"/>
          <w:szCs w:val="24"/>
        </w:rPr>
        <w:t xml:space="preserve"> responsible for environmental compliance</w:t>
      </w:r>
      <w:r w:rsidR="00FB5911">
        <w:rPr>
          <w:rFonts w:cs="Tahoma"/>
          <w:szCs w:val="24"/>
        </w:rPr>
        <w:t xml:space="preserve"> i.e. “Responsible Officer”)</w:t>
      </w:r>
      <w:r w:rsidR="0045282A">
        <w:rPr>
          <w:rFonts w:cs="Tahoma"/>
          <w:szCs w:val="24"/>
        </w:rPr>
        <w:t xml:space="preserve"> </w:t>
      </w:r>
      <w:r w:rsidRPr="001D6961">
        <w:rPr>
          <w:rFonts w:cs="Tahoma"/>
          <w:szCs w:val="24"/>
        </w:rPr>
        <w:t xml:space="preserve">must be obtained before any emission allowance transaction is valid and requisite for </w:t>
      </w:r>
      <w:r w:rsidR="00071162">
        <w:rPr>
          <w:rFonts w:cs="Tahoma"/>
          <w:szCs w:val="24"/>
        </w:rPr>
        <w:t>KYMEA</w:t>
      </w:r>
      <w:r w:rsidRPr="001D6961">
        <w:rPr>
          <w:rFonts w:cs="Tahoma"/>
          <w:szCs w:val="24"/>
        </w:rPr>
        <w:t xml:space="preserve">.  Documentation of all analysis and calculations will be provided to the </w:t>
      </w:r>
      <w:r w:rsidR="00C1596C">
        <w:rPr>
          <w:rFonts w:cs="Tahoma"/>
          <w:szCs w:val="24"/>
        </w:rPr>
        <w:t>IRMC</w:t>
      </w:r>
      <w:r w:rsidRPr="001D6961">
        <w:rPr>
          <w:rFonts w:cs="Tahoma"/>
          <w:szCs w:val="24"/>
        </w:rPr>
        <w:t xml:space="preserve"> for review prior to approval.</w:t>
      </w:r>
    </w:p>
    <w:p w14:paraId="1D67F2B2" w14:textId="77777777" w:rsidR="00FC3FF8" w:rsidRPr="001D6961" w:rsidRDefault="00FC3FF8">
      <w:pPr>
        <w:jc w:val="both"/>
        <w:rPr>
          <w:rFonts w:cs="Tahoma"/>
          <w:szCs w:val="24"/>
        </w:rPr>
      </w:pPr>
    </w:p>
    <w:p w14:paraId="37D656A7" w14:textId="77777777" w:rsidR="00FC3FF8" w:rsidRPr="001D6961" w:rsidRDefault="00FC3FF8">
      <w:pPr>
        <w:jc w:val="both"/>
        <w:rPr>
          <w:rFonts w:cs="Tahoma"/>
          <w:szCs w:val="24"/>
        </w:rPr>
      </w:pPr>
      <w:r w:rsidRPr="001D6961">
        <w:rPr>
          <w:rFonts w:cs="Tahoma"/>
          <w:szCs w:val="24"/>
        </w:rPr>
        <w:t>All emission allowance transactions will be documented by an agreement signed by authorized representatives of all parties.</w:t>
      </w:r>
    </w:p>
    <w:p w14:paraId="34C72327" w14:textId="77777777" w:rsidR="009451BD" w:rsidRDefault="009451BD">
      <w:pPr>
        <w:jc w:val="both"/>
        <w:rPr>
          <w:rFonts w:ascii="Book Antiqua" w:hAnsi="Book Antiqua"/>
          <w:sz w:val="22"/>
          <w:szCs w:val="22"/>
        </w:rPr>
      </w:pPr>
    </w:p>
    <w:p w14:paraId="569C6AE1" w14:textId="3FA01E35" w:rsidR="0044499A" w:rsidRDefault="007C4A02">
      <w:pPr>
        <w:jc w:val="both"/>
        <w:rPr>
          <w:rFonts w:ascii="Book Antiqua" w:hAnsi="Book Antiqua"/>
          <w:sz w:val="22"/>
          <w:szCs w:val="22"/>
        </w:rPr>
      </w:pPr>
      <w:r w:rsidRPr="00771B09">
        <w:rPr>
          <w:rFonts w:cs="Tahoma"/>
          <w:szCs w:val="24"/>
        </w:rPr>
        <w:t xml:space="preserve">On a quarterly basis </w:t>
      </w:r>
      <w:r>
        <w:rPr>
          <w:rFonts w:cs="Tahoma"/>
          <w:szCs w:val="24"/>
        </w:rPr>
        <w:t>an</w:t>
      </w:r>
      <w:r w:rsidRPr="00771B09">
        <w:rPr>
          <w:rFonts w:cs="Tahoma"/>
          <w:szCs w:val="24"/>
        </w:rPr>
        <w:t xml:space="preserve"> </w:t>
      </w:r>
      <w:r>
        <w:rPr>
          <w:rFonts w:cs="Tahoma"/>
          <w:szCs w:val="24"/>
        </w:rPr>
        <w:t>Environmental Emission Allowance</w:t>
      </w:r>
      <w:r w:rsidRPr="00771B09">
        <w:rPr>
          <w:rFonts w:cs="Tahoma"/>
          <w:szCs w:val="24"/>
        </w:rPr>
        <w:t xml:space="preserve"> </w:t>
      </w:r>
      <w:r>
        <w:rPr>
          <w:rFonts w:cs="Tahoma"/>
          <w:szCs w:val="24"/>
        </w:rPr>
        <w:t>report including current balances and actual consumption along with forecasted consumption and future balances</w:t>
      </w:r>
      <w:r w:rsidRPr="00771B09">
        <w:rPr>
          <w:rFonts w:cs="Tahoma"/>
          <w:szCs w:val="24"/>
        </w:rPr>
        <w:t xml:space="preserve"> will </w:t>
      </w:r>
      <w:r>
        <w:rPr>
          <w:rFonts w:cs="Tahoma"/>
          <w:szCs w:val="24"/>
        </w:rPr>
        <w:t xml:space="preserve">be provided to </w:t>
      </w:r>
      <w:r w:rsidRPr="00771B09">
        <w:rPr>
          <w:rFonts w:cs="Tahoma"/>
          <w:szCs w:val="24"/>
        </w:rPr>
        <w:t xml:space="preserve">the </w:t>
      </w:r>
      <w:r w:rsidR="0035727B">
        <w:rPr>
          <w:rFonts w:cs="Tahoma"/>
          <w:szCs w:val="24"/>
        </w:rPr>
        <w:t>IRMC</w:t>
      </w:r>
      <w:r>
        <w:rPr>
          <w:rFonts w:cs="Tahoma"/>
          <w:szCs w:val="24"/>
        </w:rPr>
        <w:t>.</w:t>
      </w:r>
    </w:p>
    <w:p w14:paraId="49BD202A" w14:textId="77777777" w:rsidR="009451BD" w:rsidRDefault="009451BD">
      <w:pPr>
        <w:jc w:val="both"/>
        <w:rPr>
          <w:rFonts w:ascii="Book Antiqua" w:hAnsi="Book Antiqua"/>
          <w:sz w:val="22"/>
          <w:szCs w:val="22"/>
        </w:rPr>
      </w:pPr>
    </w:p>
    <w:p w14:paraId="7787D0B5" w14:textId="77777777" w:rsidR="009451BD" w:rsidRDefault="006B2256" w:rsidP="009451BD">
      <w:pPr>
        <w:pStyle w:val="Heading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t>Renewable Energy</w:t>
      </w:r>
      <w:r w:rsidR="009451BD">
        <w:t xml:space="preserve"> Attributes Limit</w:t>
      </w:r>
    </w:p>
    <w:p w14:paraId="305EADB6" w14:textId="77777777" w:rsidR="009451BD" w:rsidRDefault="009451BD" w:rsidP="009451B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3B3ADFA2" w14:textId="37C9BC08" w:rsidR="009451BD" w:rsidRPr="001D6961" w:rsidRDefault="00071162" w:rsidP="009451BD">
      <w:pPr>
        <w:jc w:val="both"/>
        <w:rPr>
          <w:rFonts w:cs="Tahoma"/>
          <w:szCs w:val="24"/>
        </w:rPr>
      </w:pPr>
      <w:r>
        <w:rPr>
          <w:rFonts w:cs="Tahoma"/>
          <w:szCs w:val="24"/>
        </w:rPr>
        <w:t>KYMEA</w:t>
      </w:r>
      <w:r w:rsidR="009451BD" w:rsidRPr="001D6961">
        <w:rPr>
          <w:rFonts w:cs="Tahoma"/>
          <w:szCs w:val="24"/>
        </w:rPr>
        <w:t xml:space="preserve"> may buy, sell or trade </w:t>
      </w:r>
      <w:r w:rsidR="006B2256" w:rsidRPr="00C84B7D">
        <w:rPr>
          <w:rFonts w:cs="Tahoma"/>
          <w:szCs w:val="24"/>
        </w:rPr>
        <w:t>Renewable Energy</w:t>
      </w:r>
      <w:r w:rsidR="006B2256">
        <w:rPr>
          <w:rFonts w:cs="Tahoma"/>
          <w:szCs w:val="24"/>
        </w:rPr>
        <w:t xml:space="preserve"> Attributes</w:t>
      </w:r>
      <w:r w:rsidR="009451BD" w:rsidRPr="001D6961">
        <w:rPr>
          <w:rFonts w:cs="Tahoma"/>
          <w:szCs w:val="24"/>
        </w:rPr>
        <w:t xml:space="preserve"> to </w:t>
      </w:r>
      <w:r w:rsidR="001D6961">
        <w:rPr>
          <w:rFonts w:cs="Tahoma"/>
          <w:szCs w:val="24"/>
        </w:rPr>
        <w:t>provide</w:t>
      </w:r>
      <w:r w:rsidR="009451BD" w:rsidRPr="001D6961">
        <w:rPr>
          <w:rFonts w:cs="Tahoma"/>
          <w:szCs w:val="24"/>
        </w:rPr>
        <w:t xml:space="preserve"> financial benefit to </w:t>
      </w:r>
      <w:r>
        <w:rPr>
          <w:rFonts w:cs="Tahoma"/>
          <w:szCs w:val="24"/>
        </w:rPr>
        <w:t>KYMEA</w:t>
      </w:r>
      <w:r w:rsidR="009451BD" w:rsidRPr="001D6961">
        <w:rPr>
          <w:rFonts w:cs="Tahoma"/>
          <w:szCs w:val="24"/>
        </w:rPr>
        <w:t xml:space="preserve"> and to </w:t>
      </w:r>
      <w:r w:rsidR="00C945A3" w:rsidRPr="001D6961">
        <w:rPr>
          <w:rFonts w:cs="Tahoma"/>
          <w:szCs w:val="24"/>
        </w:rPr>
        <w:t>assure</w:t>
      </w:r>
      <w:r w:rsidR="009451BD" w:rsidRPr="001D6961">
        <w:rPr>
          <w:rFonts w:cs="Tahoma"/>
          <w:szCs w:val="24"/>
        </w:rPr>
        <w:t xml:space="preserve"> compliance with any </w:t>
      </w:r>
      <w:r w:rsidR="006B2256">
        <w:rPr>
          <w:rFonts w:cs="Tahoma"/>
          <w:szCs w:val="24"/>
        </w:rPr>
        <w:t>applicable regulations or</w:t>
      </w:r>
      <w:r w:rsidR="00125C8D">
        <w:rPr>
          <w:rFonts w:cs="Tahoma"/>
          <w:szCs w:val="24"/>
        </w:rPr>
        <w:t xml:space="preserve"> standards</w:t>
      </w:r>
      <w:r w:rsidR="009451BD" w:rsidRPr="001D6961">
        <w:rPr>
          <w:rFonts w:cs="Tahoma"/>
          <w:szCs w:val="24"/>
        </w:rPr>
        <w:t xml:space="preserve"> that may be implemented.  If a mandated </w:t>
      </w:r>
      <w:r w:rsidR="00125C8D">
        <w:rPr>
          <w:rFonts w:cs="Tahoma"/>
          <w:szCs w:val="24"/>
        </w:rPr>
        <w:t>renewable energy standard</w:t>
      </w:r>
      <w:r w:rsidR="009451BD" w:rsidRPr="001D6961">
        <w:rPr>
          <w:rFonts w:cs="Tahoma"/>
          <w:szCs w:val="24"/>
        </w:rPr>
        <w:t xml:space="preserve"> is </w:t>
      </w:r>
      <w:r w:rsidR="00C945A3" w:rsidRPr="001D6961">
        <w:rPr>
          <w:rFonts w:cs="Tahoma"/>
          <w:szCs w:val="24"/>
        </w:rPr>
        <w:t>implemented</w:t>
      </w:r>
      <w:r w:rsidR="009451BD" w:rsidRPr="001D6961">
        <w:rPr>
          <w:rFonts w:cs="Tahoma"/>
          <w:szCs w:val="24"/>
        </w:rPr>
        <w:t xml:space="preserve">, </w:t>
      </w:r>
      <w:r>
        <w:rPr>
          <w:rFonts w:cs="Tahoma"/>
          <w:szCs w:val="24"/>
        </w:rPr>
        <w:t>KYMEA</w:t>
      </w:r>
      <w:r w:rsidR="009451BD" w:rsidRPr="001D6961">
        <w:rPr>
          <w:rFonts w:cs="Tahoma"/>
          <w:szCs w:val="24"/>
        </w:rPr>
        <w:t xml:space="preserve"> will maintain a sufficient quantity of </w:t>
      </w:r>
      <w:r w:rsidR="006B2256">
        <w:rPr>
          <w:rFonts w:cs="Tahoma"/>
          <w:szCs w:val="24"/>
        </w:rPr>
        <w:t>A</w:t>
      </w:r>
      <w:r w:rsidR="009451BD" w:rsidRPr="001D6961">
        <w:rPr>
          <w:rFonts w:cs="Tahoma"/>
          <w:szCs w:val="24"/>
        </w:rPr>
        <w:t>ttributes necessary to comply with the standard.</w:t>
      </w:r>
    </w:p>
    <w:p w14:paraId="5CA20C63" w14:textId="77777777" w:rsidR="00C945A3" w:rsidRDefault="00C945A3" w:rsidP="009451BD">
      <w:pPr>
        <w:jc w:val="both"/>
        <w:rPr>
          <w:rFonts w:cs="Tahoma"/>
          <w:szCs w:val="24"/>
        </w:rPr>
      </w:pPr>
    </w:p>
    <w:p w14:paraId="4FC21731" w14:textId="68CD4860" w:rsidR="0056023E" w:rsidRDefault="00F20850" w:rsidP="00F06FE0">
      <w:pPr>
        <w:jc w:val="both"/>
        <w:rPr>
          <w:rFonts w:cs="Tahoma"/>
          <w:szCs w:val="24"/>
        </w:rPr>
      </w:pPr>
      <w:r w:rsidRPr="00771B09">
        <w:rPr>
          <w:rFonts w:cs="Tahoma"/>
          <w:szCs w:val="24"/>
        </w:rPr>
        <w:t xml:space="preserve">The </w:t>
      </w:r>
      <w:r w:rsidR="00FB5911">
        <w:rPr>
          <w:rFonts w:cs="Tahoma"/>
          <w:szCs w:val="24"/>
        </w:rPr>
        <w:t>Vice President of Market Analytics</w:t>
      </w:r>
      <w:r w:rsidR="00B54D81" w:rsidRPr="00771B09">
        <w:rPr>
          <w:rFonts w:cs="Tahoma"/>
          <w:szCs w:val="24"/>
        </w:rPr>
        <w:t xml:space="preserve"> </w:t>
      </w:r>
      <w:r w:rsidR="00FB5911">
        <w:rPr>
          <w:rFonts w:cs="Tahoma"/>
          <w:szCs w:val="24"/>
        </w:rPr>
        <w:t xml:space="preserve">or Responsible Officer </w:t>
      </w:r>
      <w:r w:rsidR="00F06FE0" w:rsidRPr="00771B09">
        <w:rPr>
          <w:rFonts w:cs="Tahoma"/>
          <w:szCs w:val="24"/>
        </w:rPr>
        <w:t xml:space="preserve">will have responsibility for maintaining </w:t>
      </w:r>
      <w:r w:rsidR="00071162">
        <w:rPr>
          <w:rFonts w:cs="Tahoma"/>
          <w:szCs w:val="24"/>
        </w:rPr>
        <w:t>KYMEA</w:t>
      </w:r>
      <w:r w:rsidR="00F06FE0" w:rsidRPr="00771B09">
        <w:rPr>
          <w:rFonts w:cs="Tahoma"/>
          <w:szCs w:val="24"/>
        </w:rPr>
        <w:t xml:space="preserve">’s </w:t>
      </w:r>
      <w:r w:rsidR="00DB3FDC" w:rsidRPr="00771B09">
        <w:rPr>
          <w:rFonts w:cs="Tahoma"/>
          <w:szCs w:val="24"/>
        </w:rPr>
        <w:t>Renewable Attributes</w:t>
      </w:r>
      <w:r w:rsidR="00F06FE0" w:rsidRPr="00771B09">
        <w:rPr>
          <w:rFonts w:cs="Tahoma"/>
          <w:szCs w:val="24"/>
        </w:rPr>
        <w:t xml:space="preserve"> inventory from all sources</w:t>
      </w:r>
      <w:r w:rsidR="0056023E">
        <w:rPr>
          <w:rFonts w:cs="Tahoma"/>
          <w:szCs w:val="24"/>
        </w:rPr>
        <w:t xml:space="preserve"> and making </w:t>
      </w:r>
      <w:r w:rsidR="0056023E" w:rsidRPr="00771B09">
        <w:rPr>
          <w:rFonts w:cs="Tahoma"/>
          <w:szCs w:val="24"/>
        </w:rPr>
        <w:t>recommendation</w:t>
      </w:r>
      <w:r w:rsidR="0056023E">
        <w:rPr>
          <w:rFonts w:cs="Tahoma"/>
          <w:szCs w:val="24"/>
        </w:rPr>
        <w:t>s</w:t>
      </w:r>
      <w:r w:rsidR="0056023E" w:rsidRPr="00771B09">
        <w:rPr>
          <w:rFonts w:cs="Tahoma"/>
          <w:szCs w:val="24"/>
        </w:rPr>
        <w:t xml:space="preserve"> to hold, buy</w:t>
      </w:r>
      <w:r w:rsidR="00E65512">
        <w:rPr>
          <w:rFonts w:cs="Tahoma"/>
          <w:szCs w:val="24"/>
        </w:rPr>
        <w:t>,</w:t>
      </w:r>
      <w:r w:rsidR="0056023E" w:rsidRPr="00771B09">
        <w:rPr>
          <w:rFonts w:cs="Tahoma"/>
          <w:szCs w:val="24"/>
        </w:rPr>
        <w:t xml:space="preserve"> or sell Attributes</w:t>
      </w:r>
      <w:r w:rsidR="00F06FE0" w:rsidRPr="00771B09">
        <w:rPr>
          <w:rFonts w:cs="Tahoma"/>
          <w:szCs w:val="24"/>
        </w:rPr>
        <w:t xml:space="preserve">.  </w:t>
      </w:r>
      <w:r w:rsidR="00C84BFA">
        <w:rPr>
          <w:rFonts w:cs="Tahoma"/>
          <w:szCs w:val="24"/>
        </w:rPr>
        <w:t>Renewable Attribute</w:t>
      </w:r>
      <w:r w:rsidR="00F06FE0" w:rsidRPr="00771B09">
        <w:rPr>
          <w:rFonts w:cs="Tahoma"/>
          <w:szCs w:val="24"/>
        </w:rPr>
        <w:t xml:space="preserve"> sources may include, but are not limited to:  landfill gas, solar, wind, biomass, and other generation sources.  </w:t>
      </w:r>
    </w:p>
    <w:p w14:paraId="64009BD9" w14:textId="77777777" w:rsidR="0056023E" w:rsidRDefault="0056023E" w:rsidP="00F06FE0">
      <w:pPr>
        <w:jc w:val="both"/>
        <w:rPr>
          <w:rFonts w:cs="Tahoma"/>
          <w:szCs w:val="24"/>
        </w:rPr>
      </w:pPr>
    </w:p>
    <w:p w14:paraId="0667C700" w14:textId="77777777" w:rsidR="0056023E" w:rsidRDefault="0056023E" w:rsidP="00F06FE0">
      <w:pPr>
        <w:jc w:val="both"/>
        <w:rPr>
          <w:rFonts w:cs="Tahoma"/>
          <w:szCs w:val="24"/>
        </w:rPr>
      </w:pPr>
    </w:p>
    <w:p w14:paraId="564A0571" w14:textId="15E568A6" w:rsidR="00F06FE0" w:rsidRPr="00771B09" w:rsidRDefault="00F06FE0" w:rsidP="00F06FE0">
      <w:pPr>
        <w:jc w:val="both"/>
        <w:rPr>
          <w:rFonts w:cs="Tahoma"/>
          <w:szCs w:val="24"/>
        </w:rPr>
      </w:pPr>
      <w:r w:rsidRPr="00771B09">
        <w:rPr>
          <w:rFonts w:cs="Tahoma"/>
          <w:szCs w:val="24"/>
        </w:rPr>
        <w:t>On a quarte</w:t>
      </w:r>
      <w:r w:rsidR="00F20850" w:rsidRPr="00771B09">
        <w:rPr>
          <w:rFonts w:cs="Tahoma"/>
          <w:szCs w:val="24"/>
        </w:rPr>
        <w:t xml:space="preserve">rly basis </w:t>
      </w:r>
      <w:r w:rsidR="00FB5911">
        <w:rPr>
          <w:rFonts w:cs="Tahoma"/>
          <w:szCs w:val="24"/>
        </w:rPr>
        <w:t>the Vice President of Market Analytics or Responsible Officer</w:t>
      </w:r>
      <w:r w:rsidRPr="00771B09">
        <w:rPr>
          <w:rFonts w:cs="Tahoma"/>
          <w:szCs w:val="24"/>
        </w:rPr>
        <w:t xml:space="preserve"> will </w:t>
      </w:r>
      <w:r w:rsidR="0056023E">
        <w:rPr>
          <w:rFonts w:cs="Tahoma"/>
          <w:szCs w:val="24"/>
        </w:rPr>
        <w:t xml:space="preserve">report to </w:t>
      </w:r>
      <w:r w:rsidRPr="00771B09">
        <w:rPr>
          <w:rFonts w:cs="Tahoma"/>
          <w:szCs w:val="24"/>
        </w:rPr>
        <w:t xml:space="preserve">the </w:t>
      </w:r>
      <w:r w:rsidR="0035727B">
        <w:rPr>
          <w:rFonts w:cs="Tahoma"/>
          <w:szCs w:val="24"/>
        </w:rPr>
        <w:t>IRMC</w:t>
      </w:r>
      <w:r w:rsidRPr="00771B09">
        <w:rPr>
          <w:rFonts w:cs="Tahoma"/>
          <w:szCs w:val="24"/>
        </w:rPr>
        <w:t xml:space="preserve"> Committee</w:t>
      </w:r>
      <w:r w:rsidR="00C84BFA">
        <w:rPr>
          <w:rFonts w:cs="Tahoma"/>
          <w:szCs w:val="24"/>
        </w:rPr>
        <w:t>:</w:t>
      </w:r>
      <w:r w:rsidRPr="00771B09">
        <w:rPr>
          <w:rFonts w:cs="Tahoma"/>
          <w:szCs w:val="24"/>
        </w:rPr>
        <w:t xml:space="preserve"> </w:t>
      </w:r>
      <w:r w:rsidR="0056023E">
        <w:rPr>
          <w:rFonts w:cs="Tahoma"/>
          <w:szCs w:val="24"/>
        </w:rPr>
        <w:t xml:space="preserve"> </w:t>
      </w:r>
      <w:r w:rsidR="00071162">
        <w:rPr>
          <w:rFonts w:cs="Tahoma"/>
          <w:szCs w:val="24"/>
        </w:rPr>
        <w:t>KYMEA</w:t>
      </w:r>
      <w:r w:rsidRPr="00771B09">
        <w:rPr>
          <w:rFonts w:cs="Tahoma"/>
          <w:szCs w:val="24"/>
        </w:rPr>
        <w:t xml:space="preserve">’s </w:t>
      </w:r>
      <w:r w:rsidR="00C733F6" w:rsidRPr="00771B09">
        <w:rPr>
          <w:rFonts w:cs="Tahoma"/>
          <w:szCs w:val="24"/>
        </w:rPr>
        <w:t>Renewable</w:t>
      </w:r>
      <w:r w:rsidR="00125C8D" w:rsidRPr="00771B09">
        <w:rPr>
          <w:rFonts w:cs="Tahoma"/>
          <w:szCs w:val="24"/>
        </w:rPr>
        <w:t xml:space="preserve"> Attributes</w:t>
      </w:r>
      <w:r w:rsidRPr="00771B09">
        <w:rPr>
          <w:rFonts w:cs="Tahoma"/>
          <w:szCs w:val="24"/>
        </w:rPr>
        <w:t xml:space="preserve"> inventory and make a recommendation to hold</w:t>
      </w:r>
      <w:r w:rsidR="00C733F6" w:rsidRPr="00771B09">
        <w:rPr>
          <w:rFonts w:cs="Tahoma"/>
          <w:szCs w:val="24"/>
        </w:rPr>
        <w:t>, buy or sell Attributes</w:t>
      </w:r>
      <w:r w:rsidRPr="00771B09">
        <w:rPr>
          <w:rFonts w:cs="Tahoma"/>
          <w:szCs w:val="24"/>
        </w:rPr>
        <w:t xml:space="preserve">.  If a recommendation to </w:t>
      </w:r>
      <w:r w:rsidR="00C733F6" w:rsidRPr="00771B09">
        <w:rPr>
          <w:rFonts w:cs="Tahoma"/>
          <w:szCs w:val="24"/>
        </w:rPr>
        <w:t>buy or sell Attributes is made</w:t>
      </w:r>
      <w:r w:rsidR="00F20850" w:rsidRPr="00771B09">
        <w:rPr>
          <w:rFonts w:cs="Tahoma"/>
          <w:szCs w:val="24"/>
        </w:rPr>
        <w:t xml:space="preserve">, the Renewables </w:t>
      </w:r>
      <w:r w:rsidR="001528F4" w:rsidRPr="00771B09">
        <w:rPr>
          <w:rFonts w:cs="Tahoma"/>
          <w:szCs w:val="24"/>
        </w:rPr>
        <w:t>division</w:t>
      </w:r>
      <w:r w:rsidRPr="00771B09">
        <w:rPr>
          <w:rFonts w:cs="Tahoma"/>
          <w:szCs w:val="24"/>
        </w:rPr>
        <w:t xml:space="preserve"> will provide all necessary documentation for cons</w:t>
      </w:r>
      <w:r w:rsidR="00E469AA" w:rsidRPr="00771B09">
        <w:rPr>
          <w:rFonts w:cs="Tahoma"/>
          <w:szCs w:val="24"/>
        </w:rPr>
        <w:t xml:space="preserve">ideration by the </w:t>
      </w:r>
      <w:r w:rsidR="0035727B">
        <w:rPr>
          <w:rFonts w:cs="Tahoma"/>
          <w:szCs w:val="24"/>
        </w:rPr>
        <w:t>IRMC</w:t>
      </w:r>
      <w:r w:rsidRPr="00771B09">
        <w:rPr>
          <w:rFonts w:cs="Tahoma"/>
          <w:szCs w:val="24"/>
        </w:rPr>
        <w:t xml:space="preserve">.  </w:t>
      </w:r>
    </w:p>
    <w:p w14:paraId="70BFB3F6" w14:textId="77777777" w:rsidR="00F06FE0" w:rsidRPr="001D6961" w:rsidRDefault="00F06FE0" w:rsidP="009451BD">
      <w:pPr>
        <w:jc w:val="both"/>
        <w:rPr>
          <w:rFonts w:cs="Tahoma"/>
          <w:szCs w:val="24"/>
        </w:rPr>
      </w:pPr>
    </w:p>
    <w:p w14:paraId="0567E480" w14:textId="0CF2FD5B" w:rsidR="00C945A3" w:rsidRPr="001D6961" w:rsidRDefault="00C945A3" w:rsidP="00C945A3">
      <w:pPr>
        <w:jc w:val="both"/>
        <w:rPr>
          <w:rFonts w:cs="Tahoma"/>
          <w:szCs w:val="24"/>
        </w:rPr>
      </w:pPr>
      <w:r w:rsidRPr="001D6961">
        <w:rPr>
          <w:rFonts w:cs="Tahoma"/>
          <w:szCs w:val="24"/>
        </w:rPr>
        <w:t xml:space="preserve">Written approvals by the </w:t>
      </w:r>
      <w:r w:rsidR="0045282A">
        <w:rPr>
          <w:rFonts w:cs="Tahoma"/>
          <w:szCs w:val="24"/>
        </w:rPr>
        <w:t xml:space="preserve">Vice President </w:t>
      </w:r>
      <w:r w:rsidR="00B54D81">
        <w:rPr>
          <w:rFonts w:cs="Tahoma"/>
          <w:szCs w:val="24"/>
        </w:rPr>
        <w:t xml:space="preserve">of Electric &amp; Water Production </w:t>
      </w:r>
      <w:r w:rsidRPr="001D6961">
        <w:rPr>
          <w:rFonts w:cs="Tahoma"/>
          <w:szCs w:val="24"/>
        </w:rPr>
        <w:t xml:space="preserve">and the </w:t>
      </w:r>
      <w:r w:rsidR="0045282A">
        <w:rPr>
          <w:rFonts w:cs="Tahoma"/>
          <w:szCs w:val="24"/>
        </w:rPr>
        <w:t xml:space="preserve">Vice President responsible for Renewable </w:t>
      </w:r>
      <w:r w:rsidR="00B54D81">
        <w:rPr>
          <w:rFonts w:cs="Tahoma"/>
          <w:szCs w:val="24"/>
        </w:rPr>
        <w:t xml:space="preserve">Energy </w:t>
      </w:r>
      <w:r w:rsidR="0045282A">
        <w:rPr>
          <w:rFonts w:cs="Tahoma"/>
          <w:szCs w:val="24"/>
        </w:rPr>
        <w:t>Attributes</w:t>
      </w:r>
      <w:r w:rsidRPr="001D6961">
        <w:rPr>
          <w:rFonts w:cs="Tahoma"/>
          <w:szCs w:val="24"/>
        </w:rPr>
        <w:t xml:space="preserve"> must be obtained </w:t>
      </w:r>
      <w:r w:rsidR="009469B8">
        <w:rPr>
          <w:rFonts w:cs="Tahoma"/>
          <w:szCs w:val="24"/>
        </w:rPr>
        <w:t xml:space="preserve">first </w:t>
      </w:r>
      <w:r w:rsidRPr="001D6961">
        <w:rPr>
          <w:rFonts w:cs="Tahoma"/>
          <w:szCs w:val="24"/>
        </w:rPr>
        <w:t xml:space="preserve">before any </w:t>
      </w:r>
      <w:r w:rsidR="00A645BF">
        <w:rPr>
          <w:rFonts w:cs="Tahoma"/>
          <w:szCs w:val="24"/>
        </w:rPr>
        <w:t>Renewable</w:t>
      </w:r>
      <w:r w:rsidRPr="001D6961">
        <w:rPr>
          <w:rFonts w:cs="Tahoma"/>
          <w:szCs w:val="24"/>
        </w:rPr>
        <w:t xml:space="preserve"> </w:t>
      </w:r>
      <w:r w:rsidR="00B54D81">
        <w:rPr>
          <w:rFonts w:cs="Tahoma"/>
          <w:szCs w:val="24"/>
        </w:rPr>
        <w:t xml:space="preserve">Energy </w:t>
      </w:r>
      <w:r w:rsidR="00A645BF">
        <w:rPr>
          <w:rFonts w:cs="Tahoma"/>
          <w:szCs w:val="24"/>
        </w:rPr>
        <w:t>A</w:t>
      </w:r>
      <w:r w:rsidRPr="001D6961">
        <w:rPr>
          <w:rFonts w:cs="Tahoma"/>
          <w:szCs w:val="24"/>
        </w:rPr>
        <w:t xml:space="preserve">ttributes transaction is </w:t>
      </w:r>
      <w:r w:rsidR="009469B8">
        <w:rPr>
          <w:rFonts w:cs="Tahoma"/>
          <w:szCs w:val="24"/>
        </w:rPr>
        <w:t xml:space="preserve">presented to </w:t>
      </w:r>
      <w:r w:rsidR="0035727B">
        <w:rPr>
          <w:rFonts w:cs="Tahoma"/>
          <w:szCs w:val="24"/>
        </w:rPr>
        <w:t>IRMC</w:t>
      </w:r>
      <w:r w:rsidRPr="001D6961">
        <w:rPr>
          <w:rFonts w:cs="Tahoma"/>
          <w:szCs w:val="24"/>
        </w:rPr>
        <w:t xml:space="preserve">.  </w:t>
      </w:r>
      <w:r w:rsidR="009469B8">
        <w:rPr>
          <w:rFonts w:cs="Tahoma"/>
          <w:szCs w:val="24"/>
        </w:rPr>
        <w:t>Once this approval is obtained, d</w:t>
      </w:r>
      <w:r w:rsidRPr="001D6961">
        <w:rPr>
          <w:rFonts w:cs="Tahoma"/>
          <w:szCs w:val="24"/>
        </w:rPr>
        <w:t xml:space="preserve">ocumentation of all analysis and calculations will be provided to the </w:t>
      </w:r>
      <w:r w:rsidR="00C1596C">
        <w:rPr>
          <w:rFonts w:cs="Tahoma"/>
          <w:szCs w:val="24"/>
        </w:rPr>
        <w:t>IRMC</w:t>
      </w:r>
      <w:r w:rsidRPr="001D6961">
        <w:rPr>
          <w:rFonts w:cs="Tahoma"/>
          <w:szCs w:val="24"/>
        </w:rPr>
        <w:t xml:space="preserve"> </w:t>
      </w:r>
      <w:r w:rsidR="009469B8">
        <w:rPr>
          <w:rFonts w:cs="Tahoma"/>
          <w:szCs w:val="24"/>
        </w:rPr>
        <w:t xml:space="preserve">and a request for </w:t>
      </w:r>
      <w:r w:rsidR="0035727B">
        <w:rPr>
          <w:rFonts w:cs="Tahoma"/>
          <w:szCs w:val="24"/>
        </w:rPr>
        <w:t>IRMC</w:t>
      </w:r>
      <w:r w:rsidR="009469B8">
        <w:rPr>
          <w:rFonts w:cs="Tahoma"/>
          <w:szCs w:val="24"/>
        </w:rPr>
        <w:t xml:space="preserve"> approval of the transaction will be requested by the</w:t>
      </w:r>
      <w:r w:rsidR="00F20850">
        <w:rPr>
          <w:rFonts w:cs="Tahoma"/>
          <w:szCs w:val="24"/>
        </w:rPr>
        <w:t xml:space="preserve"> </w:t>
      </w:r>
      <w:r w:rsidR="00B54D81">
        <w:rPr>
          <w:rFonts w:cs="Tahoma"/>
          <w:szCs w:val="24"/>
        </w:rPr>
        <w:t>Sustainable Services business unit</w:t>
      </w:r>
      <w:r w:rsidRPr="001D6961">
        <w:rPr>
          <w:rFonts w:cs="Tahoma"/>
          <w:szCs w:val="24"/>
        </w:rPr>
        <w:t>.</w:t>
      </w:r>
    </w:p>
    <w:p w14:paraId="7DB5A6FD" w14:textId="77777777" w:rsidR="00C945A3" w:rsidRDefault="00C945A3" w:rsidP="00C945A3">
      <w:pPr>
        <w:jc w:val="both"/>
        <w:rPr>
          <w:rFonts w:cs="Tahoma"/>
          <w:szCs w:val="24"/>
        </w:rPr>
      </w:pPr>
    </w:p>
    <w:p w14:paraId="3CD4235C" w14:textId="77777777" w:rsidR="00F06FE0" w:rsidRPr="001D6961" w:rsidRDefault="00F06FE0" w:rsidP="00C945A3">
      <w:pPr>
        <w:jc w:val="both"/>
        <w:rPr>
          <w:rFonts w:cs="Tahoma"/>
          <w:szCs w:val="24"/>
        </w:rPr>
      </w:pPr>
    </w:p>
    <w:p w14:paraId="315D462E" w14:textId="77777777" w:rsidR="00C945A3" w:rsidRPr="001D6961" w:rsidRDefault="00C945A3" w:rsidP="00C945A3">
      <w:pPr>
        <w:jc w:val="both"/>
        <w:rPr>
          <w:rFonts w:cs="Tahoma"/>
          <w:szCs w:val="24"/>
        </w:rPr>
      </w:pPr>
      <w:r w:rsidRPr="001D6961">
        <w:rPr>
          <w:rFonts w:cs="Tahoma"/>
          <w:szCs w:val="24"/>
        </w:rPr>
        <w:t xml:space="preserve">All </w:t>
      </w:r>
      <w:r w:rsidR="0044499A">
        <w:rPr>
          <w:rFonts w:cs="Tahoma"/>
          <w:szCs w:val="24"/>
        </w:rPr>
        <w:t>Renewable</w:t>
      </w:r>
      <w:r w:rsidR="0044499A" w:rsidRPr="001D6961">
        <w:rPr>
          <w:rFonts w:cs="Tahoma"/>
          <w:szCs w:val="24"/>
        </w:rPr>
        <w:t xml:space="preserve"> </w:t>
      </w:r>
      <w:r w:rsidR="0044499A">
        <w:rPr>
          <w:rFonts w:cs="Tahoma"/>
          <w:szCs w:val="24"/>
        </w:rPr>
        <w:t>A</w:t>
      </w:r>
      <w:r w:rsidR="0044499A" w:rsidRPr="001D6961">
        <w:rPr>
          <w:rFonts w:cs="Tahoma"/>
          <w:szCs w:val="24"/>
        </w:rPr>
        <w:t xml:space="preserve">ttributes </w:t>
      </w:r>
      <w:r w:rsidRPr="001D6961">
        <w:rPr>
          <w:rFonts w:cs="Tahoma"/>
          <w:szCs w:val="24"/>
        </w:rPr>
        <w:t>transactions will be documented by an agreement signed by authorized representatives of all parties.</w:t>
      </w:r>
    </w:p>
    <w:p w14:paraId="625A30AB" w14:textId="77777777" w:rsidR="00FC3FF8" w:rsidRDefault="00FC3FF8"/>
    <w:p w14:paraId="390A07C8" w14:textId="77777777" w:rsidR="00FC3FF8" w:rsidRDefault="00FC3FF8">
      <w:pPr>
        <w:pStyle w:val="Heading3"/>
      </w:pPr>
      <w:r>
        <w:t>INTERNAL CONTROLS</w:t>
      </w:r>
    </w:p>
    <w:p w14:paraId="50D96091" w14:textId="77777777" w:rsidR="00FC3FF8" w:rsidRDefault="00FC3FF8"/>
    <w:p w14:paraId="3E5A7D82" w14:textId="24A1F705" w:rsidR="00FC3FF8" w:rsidRDefault="00FC3FF8">
      <w:r>
        <w:t xml:space="preserve">In addition to the authorization of acceptable instruments, limits, and credit standards, a segregation of departmental responsibilities shall be established to verify and reconcile the integrity of </w:t>
      </w:r>
      <w:r w:rsidR="00071162">
        <w:t>KYMEA</w:t>
      </w:r>
      <w:r>
        <w:t xml:space="preserve">’s risk management activities. </w:t>
      </w:r>
    </w:p>
    <w:p w14:paraId="308DAE1B" w14:textId="10D2E0D8" w:rsidR="00FC3FF8" w:rsidRDefault="004C58FE">
      <w:r>
        <w:t>The Risk</w:t>
      </w:r>
      <w:r w:rsidR="00FC3FF8">
        <w:t xml:space="preserve"> Management Operati</w:t>
      </w:r>
      <w:r w:rsidR="00D340B8">
        <w:t>ng and Administrative Procedures</w:t>
      </w:r>
      <w:r w:rsidR="00FC3FF8">
        <w:t xml:space="preserve"> </w:t>
      </w:r>
      <w:r w:rsidR="00D340B8">
        <w:t>m</w:t>
      </w:r>
      <w:r w:rsidR="00FC3FF8">
        <w:t xml:space="preserve">anual shall specify a clear separation between transacting, credit review and approval, margining and cash settlements, and accounting.  </w:t>
      </w:r>
    </w:p>
    <w:p w14:paraId="465D1F65" w14:textId="77777777" w:rsidR="00FC3FF8" w:rsidRDefault="00FC3FF8"/>
    <w:p w14:paraId="7D8A3A82" w14:textId="77777777" w:rsidR="00FC3FF8" w:rsidRDefault="00FC3FF8">
      <w:pPr>
        <w:pStyle w:val="Heading3"/>
      </w:pPr>
      <w:r>
        <w:t>CONFLICTS OF INTEREST</w:t>
      </w:r>
    </w:p>
    <w:p w14:paraId="3AF37EBE" w14:textId="77777777" w:rsidR="00FC3FF8" w:rsidRDefault="00FC3FF8">
      <w:pPr>
        <w:rPr>
          <w:b/>
        </w:rPr>
      </w:pPr>
    </w:p>
    <w:p w14:paraId="2A52200F" w14:textId="650E1713" w:rsidR="00FC3FF8" w:rsidRDefault="00FC3FF8">
      <w:r>
        <w:t xml:space="preserve">Personnel responsible for executing and managing </w:t>
      </w:r>
      <w:r w:rsidR="00071162">
        <w:t>KYMEA</w:t>
      </w:r>
      <w:r>
        <w:t xml:space="preserve">’s trading activity will not engage in nor give the appearance of engaging in personal business activity that could conflict with the proper execution of the Energy Risk Management Program or which could impair their ability to make impartial energy risk management decisions.  These personnel shall disclose to the Chief Financial Officer any </w:t>
      </w:r>
      <w:r w:rsidR="005B7807">
        <w:t xml:space="preserve">material </w:t>
      </w:r>
      <w:r>
        <w:t xml:space="preserve">financial interests in financial institutions that conduct business with </w:t>
      </w:r>
      <w:r w:rsidR="00071162">
        <w:t>KYMEA</w:t>
      </w:r>
      <w:r>
        <w:t xml:space="preserve">, and they shall further disclose any </w:t>
      </w:r>
      <w:r w:rsidRPr="005B7807">
        <w:t>large</w:t>
      </w:r>
      <w:r>
        <w:t xml:space="preserve"> personal investment positions that could be related to the performance of </w:t>
      </w:r>
      <w:r w:rsidR="00071162">
        <w:t>KYMEA</w:t>
      </w:r>
      <w:r>
        <w:t>.</w:t>
      </w:r>
    </w:p>
    <w:p w14:paraId="2BA49B8B" w14:textId="77777777" w:rsidR="00FC3FF8" w:rsidRDefault="00FC3FF8">
      <w:pPr>
        <w:rPr>
          <w:i/>
        </w:rPr>
      </w:pPr>
      <w:r>
        <w:rPr>
          <w:i/>
        </w:rPr>
        <w:br w:type="page"/>
      </w:r>
    </w:p>
    <w:p w14:paraId="64EFF0E5" w14:textId="77777777" w:rsidR="00FC3FF8" w:rsidRDefault="00FC3FF8">
      <w:pPr>
        <w:pStyle w:val="Heading3"/>
      </w:pPr>
      <w:r>
        <w:t>POLICY REVIEW</w:t>
      </w:r>
    </w:p>
    <w:p w14:paraId="63F97361" w14:textId="77777777" w:rsidR="00FC3FF8" w:rsidRDefault="00FC3FF8">
      <w:pPr>
        <w:pStyle w:val="Header"/>
        <w:tabs>
          <w:tab w:val="clear" w:pos="4320"/>
          <w:tab w:val="clear" w:pos="8640"/>
        </w:tabs>
        <w:ind w:firstLine="720"/>
        <w:rPr>
          <w:b/>
        </w:rPr>
      </w:pPr>
    </w:p>
    <w:p w14:paraId="73CC498B" w14:textId="05DB3068" w:rsidR="00FC3FF8" w:rsidRDefault="00FC3FF8">
      <w:r>
        <w:t>At least once during the first 12 months followin</w:t>
      </w:r>
      <w:r w:rsidR="00251DF2">
        <w:t xml:space="preserve">g approval of this ERMP Policy </w:t>
      </w:r>
      <w:r>
        <w:t xml:space="preserve">and on an annual basis subsequently, the </w:t>
      </w:r>
      <w:r w:rsidR="0035727B">
        <w:t>IRMC</w:t>
      </w:r>
      <w:r>
        <w:t xml:space="preserve"> will review this policy and jointly make a recommendation to the </w:t>
      </w:r>
      <w:r w:rsidR="0035727B">
        <w:t xml:space="preserve">Board Risk </w:t>
      </w:r>
      <w:r w:rsidR="004C58FE">
        <w:t>Oversight</w:t>
      </w:r>
      <w:r>
        <w:t xml:space="preserve"> Committee on the adequacy of the policy and any necessary changes.</w:t>
      </w:r>
      <w:r w:rsidR="00242421">
        <w:t xml:space="preserve"> Any recommended changes</w:t>
      </w:r>
      <w:r w:rsidR="005E58CA">
        <w:t xml:space="preserve"> to the policy will be brought to the Board of KYMEA by the </w:t>
      </w:r>
      <w:r w:rsidR="0035727B">
        <w:t xml:space="preserve">Board Risk </w:t>
      </w:r>
      <w:r w:rsidR="004C58FE">
        <w:t>Oversight</w:t>
      </w:r>
      <w:r w:rsidR="005E58CA">
        <w:t xml:space="preserve"> Committee for approval.</w:t>
      </w:r>
    </w:p>
    <w:p w14:paraId="7F2E5C9E" w14:textId="77777777" w:rsidR="00FC3FF8" w:rsidRDefault="00FC3FF8"/>
    <w:p w14:paraId="30A414CE" w14:textId="77777777" w:rsidR="00FC3FF8" w:rsidRDefault="00FC3FF8"/>
    <w:p w14:paraId="21BF02F9" w14:textId="77777777" w:rsidR="00FC3FF8" w:rsidRDefault="00FC3FF8"/>
    <w:p w14:paraId="37E1BFA8" w14:textId="77777777" w:rsidR="00FC3FF8" w:rsidRDefault="00FC3FF8">
      <w:pPr>
        <w:pStyle w:val="Header"/>
        <w:tabs>
          <w:tab w:val="clear" w:pos="4320"/>
          <w:tab w:val="clear" w:pos="8640"/>
        </w:tabs>
      </w:pPr>
    </w:p>
    <w:p w14:paraId="6A826885" w14:textId="77777777" w:rsidR="00FC3FF8" w:rsidRDefault="00FC3FF8">
      <w:pPr>
        <w:rPr>
          <w:i/>
        </w:rPr>
      </w:pPr>
    </w:p>
    <w:sectPr w:rsidR="00FC3FF8">
      <w:foot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4B199" w14:textId="77777777" w:rsidR="00BD0476" w:rsidRDefault="00BD0476">
      <w:r>
        <w:separator/>
      </w:r>
    </w:p>
  </w:endnote>
  <w:endnote w:type="continuationSeparator" w:id="0">
    <w:p w14:paraId="6A2E1B68" w14:textId="77777777" w:rsidR="00BD0476" w:rsidRDefault="00BD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3B9E" w14:textId="77777777" w:rsidR="00697867" w:rsidRDefault="00697867">
    <w:pPr>
      <w:pStyle w:val="Footer"/>
      <w:rPr>
        <w:rFonts w:ascii="Book Antiqua" w:hAnsi="Book Antiqua"/>
        <w:color w:val="808080"/>
        <w:sz w:val="18"/>
      </w:rPr>
    </w:pPr>
  </w:p>
  <w:p w14:paraId="4463E827" w14:textId="1E325F09" w:rsidR="00697867" w:rsidRDefault="00980AE8">
    <w:pPr>
      <w:pStyle w:val="Footer"/>
      <w:rPr>
        <w:rFonts w:ascii="Book Antiqua" w:hAnsi="Book Antiqua"/>
        <w:color w:val="808080"/>
        <w:sz w:val="18"/>
      </w:rPr>
    </w:pPr>
    <w:r>
      <w:rPr>
        <w:rFonts w:ascii="Book Antiqua" w:hAnsi="Book Antiqua"/>
        <w:noProof/>
        <w:color w:val="808080"/>
        <w:sz w:val="18"/>
      </w:rPr>
      <mc:AlternateContent>
        <mc:Choice Requires="wps">
          <w:drawing>
            <wp:anchor distT="0" distB="0" distL="114300" distR="114300" simplePos="0" relativeHeight="251657216" behindDoc="0" locked="0" layoutInCell="0" allowOverlap="1" wp14:anchorId="46189511" wp14:editId="381B8751">
              <wp:simplePos x="0" y="0"/>
              <wp:positionH relativeFrom="column">
                <wp:posOffset>-45720</wp:posOffset>
              </wp:positionH>
              <wp:positionV relativeFrom="paragraph">
                <wp:posOffset>-24765</wp:posOffset>
              </wp:positionV>
              <wp:extent cx="55778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325C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5pt" to="43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5Eg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" o:allowincell="f" strokeweight="1.5pt"/>
          </w:pict>
        </mc:Fallback>
      </mc:AlternateContent>
    </w:r>
    <w:r w:rsidR="00697867">
      <w:rPr>
        <w:rFonts w:ascii="Book Antiqua" w:hAnsi="Book Antiqua"/>
        <w:color w:val="808080"/>
        <w:sz w:val="18"/>
      </w:rPr>
      <w:t>En</w:t>
    </w:r>
    <w:r w:rsidR="005B7807">
      <w:rPr>
        <w:rFonts w:ascii="Book Antiqua" w:hAnsi="Book Antiqua"/>
        <w:color w:val="808080"/>
        <w:sz w:val="18"/>
      </w:rPr>
      <w:t>terprise</w:t>
    </w:r>
    <w:r w:rsidR="00697867">
      <w:rPr>
        <w:rFonts w:ascii="Book Antiqua" w:hAnsi="Book Antiqua"/>
        <w:color w:val="808080"/>
        <w:sz w:val="18"/>
      </w:rPr>
      <w:t xml:space="preserve"> Risk Management Program Policy</w:t>
    </w:r>
    <w:r w:rsidR="00697867">
      <w:rPr>
        <w:rFonts w:ascii="Book Antiqua" w:hAnsi="Book Antiqua"/>
        <w:color w:val="808080"/>
        <w:sz w:val="18"/>
      </w:rPr>
      <w:tab/>
    </w:r>
    <w:r w:rsidR="00697867">
      <w:rPr>
        <w:rFonts w:ascii="Book Antiqua" w:hAnsi="Book Antiqua"/>
        <w:color w:val="808080"/>
        <w:sz w:val="18"/>
      </w:rPr>
      <w:tab/>
    </w:r>
    <w:r w:rsidR="00071162">
      <w:rPr>
        <w:rFonts w:ascii="Book Antiqua" w:hAnsi="Book Antiqua"/>
        <w:color w:val="808080"/>
        <w:sz w:val="18"/>
      </w:rPr>
      <w:t>KYMEA</w:t>
    </w:r>
    <w:r w:rsidR="00697867">
      <w:rPr>
        <w:rFonts w:ascii="Book Antiqua" w:hAnsi="Book Antiqua"/>
        <w:color w:val="808080"/>
        <w:sz w:val="18"/>
      </w:rPr>
      <w:tab/>
    </w:r>
    <w:r w:rsidR="00697867">
      <w:rPr>
        <w:rFonts w:ascii="Book Antiqua" w:hAnsi="Book Antiqua"/>
        <w:color w:val="808080"/>
        <w:sz w:val="18"/>
      </w:rPr>
      <w:tab/>
    </w:r>
  </w:p>
  <w:p w14:paraId="47CDEC25" w14:textId="7D6F3CF5" w:rsidR="00697867" w:rsidRDefault="00697867" w:rsidP="00643BB3">
    <w:pPr>
      <w:pStyle w:val="Footer"/>
      <w:jc w:val="center"/>
      <w:rPr>
        <w:rFonts w:ascii="Book Antiqua" w:hAnsi="Book Antiqua"/>
        <w:sz w:val="18"/>
      </w:rPr>
    </w:pPr>
    <w:r>
      <w:rPr>
        <w:rFonts w:ascii="Book Antiqua" w:hAnsi="Book Antiqua"/>
        <w:color w:val="808080"/>
        <w:sz w:val="18"/>
      </w:rPr>
      <w:t xml:space="preserve">Page </w:t>
    </w:r>
    <w:r>
      <w:rPr>
        <w:rStyle w:val="PageNumber"/>
        <w:rFonts w:ascii="Book Antiqua" w:hAnsi="Book Antiqua"/>
        <w:color w:val="808080"/>
        <w:sz w:val="18"/>
      </w:rPr>
      <w:fldChar w:fldCharType="begin"/>
    </w:r>
    <w:r>
      <w:rPr>
        <w:rStyle w:val="PageNumber"/>
        <w:rFonts w:ascii="Book Antiqua" w:hAnsi="Book Antiqua"/>
        <w:color w:val="808080"/>
        <w:sz w:val="18"/>
      </w:rPr>
      <w:instrText xml:space="preserve"> PAGE </w:instrText>
    </w:r>
    <w:r>
      <w:rPr>
        <w:rStyle w:val="PageNumber"/>
        <w:rFonts w:ascii="Book Antiqua" w:hAnsi="Book Antiqua"/>
        <w:color w:val="808080"/>
        <w:sz w:val="18"/>
      </w:rPr>
      <w:fldChar w:fldCharType="separate"/>
    </w:r>
    <w:r w:rsidR="00365136">
      <w:rPr>
        <w:rStyle w:val="PageNumber"/>
        <w:rFonts w:ascii="Book Antiqua" w:hAnsi="Book Antiqua"/>
        <w:noProof/>
        <w:color w:val="808080"/>
        <w:sz w:val="18"/>
      </w:rPr>
      <w:t>12</w:t>
    </w:r>
    <w:r>
      <w:rPr>
        <w:rStyle w:val="PageNumber"/>
        <w:rFonts w:ascii="Book Antiqua" w:hAnsi="Book Antiqua"/>
        <w:color w:val="808080"/>
        <w:sz w:val="18"/>
      </w:rPr>
      <w:fldChar w:fldCharType="end"/>
    </w:r>
    <w:r w:rsidR="004B1B61">
      <w:rPr>
        <w:rStyle w:val="PageNumber"/>
        <w:rFonts w:ascii="Book Antiqua" w:hAnsi="Book Antiqua"/>
        <w:color w:val="808080"/>
        <w:sz w:val="18"/>
      </w:rPr>
      <w:tab/>
      <w:t xml:space="preserve">                                         </w:t>
    </w:r>
    <w:r w:rsidR="004B1B61">
      <w:rPr>
        <w:rStyle w:val="PageNumber"/>
        <w:rFonts w:ascii="Book Antiqua" w:hAnsi="Book Antiqua"/>
        <w:color w:val="808080"/>
        <w:sz w:val="18"/>
      </w:rPr>
      <w:tab/>
      <w:t xml:space="preserve"> </w:t>
    </w:r>
    <w:r w:rsidR="00071162">
      <w:rPr>
        <w:rStyle w:val="PageNumber"/>
        <w:rFonts w:ascii="Book Antiqua" w:hAnsi="Book Antiqua"/>
        <w:color w:val="808080"/>
        <w:sz w:val="18"/>
      </w:rPr>
      <w:t>02/25/</w:t>
    </w:r>
    <w:r w:rsidR="005B7807">
      <w:rPr>
        <w:rStyle w:val="PageNumber"/>
        <w:rFonts w:ascii="Book Antiqua" w:hAnsi="Book Antiqua"/>
        <w:color w:val="808080"/>
        <w:sz w:val="18"/>
      </w:rPr>
      <w:t>19</w:t>
    </w:r>
    <w:r>
      <w:rPr>
        <w:rStyle w:val="PageNumber"/>
        <w:rFonts w:ascii="Book Antiqua" w:hAnsi="Book Antiqua"/>
        <w:color w:val="808080"/>
        <w:sz w:val="18"/>
      </w:rPr>
      <w:tab/>
    </w:r>
    <w:r>
      <w:rPr>
        <w:rFonts w:ascii="Book Antiqua" w:hAnsi="Book Antiqua"/>
        <w:color w:val="808080"/>
        <w:sz w:val="18"/>
      </w:rPr>
      <w:tab/>
    </w:r>
  </w:p>
  <w:p w14:paraId="41E92853" w14:textId="77777777" w:rsidR="00697867" w:rsidRDefault="00697867">
    <w:pPr>
      <w:pStyle w:val="Footer"/>
    </w:pPr>
    <w:r>
      <w:rPr>
        <w:rFonts w:ascii="Book Antiqua" w:hAnsi="Book Antiqua"/>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B8CE" w14:textId="77777777" w:rsidR="00BD0476" w:rsidRDefault="00BD0476">
      <w:r>
        <w:separator/>
      </w:r>
    </w:p>
  </w:footnote>
  <w:footnote w:type="continuationSeparator" w:id="0">
    <w:p w14:paraId="0F2267AB" w14:textId="77777777" w:rsidR="00BD0476" w:rsidRDefault="00BD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8C9"/>
    <w:multiLevelType w:val="hybridMultilevel"/>
    <w:tmpl w:val="A9D4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C25A6"/>
    <w:multiLevelType w:val="hybridMultilevel"/>
    <w:tmpl w:val="0F849CEE"/>
    <w:lvl w:ilvl="0" w:tplc="CC927F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72142D"/>
    <w:multiLevelType w:val="singleLevel"/>
    <w:tmpl w:val="5F4C65C0"/>
    <w:lvl w:ilvl="0">
      <w:start w:val="1"/>
      <w:numFmt w:val="decimal"/>
      <w:lvlText w:val="(%1)"/>
      <w:lvlJc w:val="left"/>
      <w:pPr>
        <w:tabs>
          <w:tab w:val="num" w:pos="2196"/>
        </w:tabs>
        <w:ind w:left="2196" w:hanging="396"/>
      </w:pPr>
      <w:rPr>
        <w:rFonts w:hint="default"/>
      </w:rPr>
    </w:lvl>
  </w:abstractNum>
  <w:abstractNum w:abstractNumId="3">
    <w:nsid w:val="2B6619FA"/>
    <w:multiLevelType w:val="hybridMultilevel"/>
    <w:tmpl w:val="82BA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0B0C72"/>
    <w:multiLevelType w:val="singleLevel"/>
    <w:tmpl w:val="11008DC8"/>
    <w:lvl w:ilvl="0">
      <w:start w:val="1"/>
      <w:numFmt w:val="decimal"/>
      <w:pStyle w:val="Heading3"/>
      <w:lvlText w:val="%1."/>
      <w:lvlJc w:val="left"/>
      <w:pPr>
        <w:tabs>
          <w:tab w:val="num" w:pos="360"/>
        </w:tabs>
        <w:ind w:left="360" w:hanging="360"/>
      </w:pPr>
    </w:lvl>
  </w:abstractNum>
  <w:abstractNum w:abstractNumId="5">
    <w:nsid w:val="607E1212"/>
    <w:multiLevelType w:val="singleLevel"/>
    <w:tmpl w:val="E2C8BE80"/>
    <w:lvl w:ilvl="0">
      <w:start w:val="1"/>
      <w:numFmt w:val="decimal"/>
      <w:lvlText w:val="%1."/>
      <w:lvlJc w:val="left"/>
      <w:pPr>
        <w:tabs>
          <w:tab w:val="num" w:pos="2520"/>
        </w:tabs>
        <w:ind w:left="2520" w:hanging="360"/>
      </w:pPr>
      <w:rPr>
        <w:rFonts w:hint="default"/>
      </w:rPr>
    </w:lvl>
  </w:abstractNum>
  <w:abstractNum w:abstractNumId="6">
    <w:nsid w:val="6C861CCE"/>
    <w:multiLevelType w:val="singleLevel"/>
    <w:tmpl w:val="5118A080"/>
    <w:lvl w:ilvl="0">
      <w:start w:val="1"/>
      <w:numFmt w:val="decimal"/>
      <w:pStyle w:val="Heading8"/>
      <w:lvlText w:val="%1"/>
      <w:lvlJc w:val="left"/>
      <w:pPr>
        <w:tabs>
          <w:tab w:val="num" w:pos="720"/>
        </w:tabs>
        <w:ind w:left="720" w:hanging="720"/>
      </w:pPr>
      <w:rPr>
        <w:rFont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3F"/>
    <w:rsid w:val="000048B6"/>
    <w:rsid w:val="00020AF8"/>
    <w:rsid w:val="000336D2"/>
    <w:rsid w:val="0004180B"/>
    <w:rsid w:val="000444E6"/>
    <w:rsid w:val="00047EEF"/>
    <w:rsid w:val="00071162"/>
    <w:rsid w:val="000C333F"/>
    <w:rsid w:val="000C4014"/>
    <w:rsid w:val="000D12D1"/>
    <w:rsid w:val="000D4F7B"/>
    <w:rsid w:val="000E751C"/>
    <w:rsid w:val="000F2334"/>
    <w:rsid w:val="00125C8D"/>
    <w:rsid w:val="00133FBD"/>
    <w:rsid w:val="001528F4"/>
    <w:rsid w:val="00157966"/>
    <w:rsid w:val="00160C76"/>
    <w:rsid w:val="0019270C"/>
    <w:rsid w:val="001A3DE0"/>
    <w:rsid w:val="001C3FF4"/>
    <w:rsid w:val="001C68B0"/>
    <w:rsid w:val="001D0AF8"/>
    <w:rsid w:val="001D61C5"/>
    <w:rsid w:val="001D6961"/>
    <w:rsid w:val="001D70FC"/>
    <w:rsid w:val="002000C4"/>
    <w:rsid w:val="002004CD"/>
    <w:rsid w:val="0020388C"/>
    <w:rsid w:val="00204D77"/>
    <w:rsid w:val="002362A0"/>
    <w:rsid w:val="00242421"/>
    <w:rsid w:val="00242D80"/>
    <w:rsid w:val="0024722C"/>
    <w:rsid w:val="00251DF2"/>
    <w:rsid w:val="002633CB"/>
    <w:rsid w:val="00266679"/>
    <w:rsid w:val="00284BE1"/>
    <w:rsid w:val="00297F50"/>
    <w:rsid w:val="002A1400"/>
    <w:rsid w:val="002A320E"/>
    <w:rsid w:val="002A79DB"/>
    <w:rsid w:val="002B6194"/>
    <w:rsid w:val="002C06D8"/>
    <w:rsid w:val="002C70A5"/>
    <w:rsid w:val="002F45C8"/>
    <w:rsid w:val="003115F3"/>
    <w:rsid w:val="003170C9"/>
    <w:rsid w:val="00330CAB"/>
    <w:rsid w:val="00330DF0"/>
    <w:rsid w:val="00355B98"/>
    <w:rsid w:val="0035727B"/>
    <w:rsid w:val="00357C8D"/>
    <w:rsid w:val="00362D07"/>
    <w:rsid w:val="00365136"/>
    <w:rsid w:val="003C05B6"/>
    <w:rsid w:val="003C155C"/>
    <w:rsid w:val="003D3DAA"/>
    <w:rsid w:val="003E3C24"/>
    <w:rsid w:val="004137D3"/>
    <w:rsid w:val="00422751"/>
    <w:rsid w:val="004341A1"/>
    <w:rsid w:val="0044499A"/>
    <w:rsid w:val="0045282A"/>
    <w:rsid w:val="00456B00"/>
    <w:rsid w:val="00464917"/>
    <w:rsid w:val="00490971"/>
    <w:rsid w:val="004B1B61"/>
    <w:rsid w:val="004C0584"/>
    <w:rsid w:val="004C58FE"/>
    <w:rsid w:val="004F197A"/>
    <w:rsid w:val="005012BB"/>
    <w:rsid w:val="005028D1"/>
    <w:rsid w:val="00513041"/>
    <w:rsid w:val="00516BFD"/>
    <w:rsid w:val="0056023E"/>
    <w:rsid w:val="00572564"/>
    <w:rsid w:val="00577F92"/>
    <w:rsid w:val="00582602"/>
    <w:rsid w:val="005B7807"/>
    <w:rsid w:val="005B78E8"/>
    <w:rsid w:val="005C20DE"/>
    <w:rsid w:val="005C21EF"/>
    <w:rsid w:val="005C3303"/>
    <w:rsid w:val="005E189C"/>
    <w:rsid w:val="005E3F5D"/>
    <w:rsid w:val="005E58CA"/>
    <w:rsid w:val="00612B9F"/>
    <w:rsid w:val="00617BDE"/>
    <w:rsid w:val="00623F77"/>
    <w:rsid w:val="006411AE"/>
    <w:rsid w:val="00643BB3"/>
    <w:rsid w:val="006467C8"/>
    <w:rsid w:val="006651BC"/>
    <w:rsid w:val="00697867"/>
    <w:rsid w:val="006B2256"/>
    <w:rsid w:val="006B7396"/>
    <w:rsid w:val="006C1CC0"/>
    <w:rsid w:val="00722829"/>
    <w:rsid w:val="00744501"/>
    <w:rsid w:val="00771B09"/>
    <w:rsid w:val="007C2298"/>
    <w:rsid w:val="007C4A02"/>
    <w:rsid w:val="007D013F"/>
    <w:rsid w:val="007E7482"/>
    <w:rsid w:val="00821992"/>
    <w:rsid w:val="00835414"/>
    <w:rsid w:val="00835F48"/>
    <w:rsid w:val="00840E71"/>
    <w:rsid w:val="00865388"/>
    <w:rsid w:val="00871D42"/>
    <w:rsid w:val="00884715"/>
    <w:rsid w:val="0088686D"/>
    <w:rsid w:val="00895052"/>
    <w:rsid w:val="008A36F8"/>
    <w:rsid w:val="008B5B42"/>
    <w:rsid w:val="008B5C3B"/>
    <w:rsid w:val="008C058E"/>
    <w:rsid w:val="008D1CFB"/>
    <w:rsid w:val="008F679A"/>
    <w:rsid w:val="00914E92"/>
    <w:rsid w:val="00924209"/>
    <w:rsid w:val="009451BD"/>
    <w:rsid w:val="009469B8"/>
    <w:rsid w:val="00952BF6"/>
    <w:rsid w:val="009552F2"/>
    <w:rsid w:val="0097008A"/>
    <w:rsid w:val="00975A5B"/>
    <w:rsid w:val="00980AE8"/>
    <w:rsid w:val="0098367D"/>
    <w:rsid w:val="00983DEF"/>
    <w:rsid w:val="0099246A"/>
    <w:rsid w:val="009B695B"/>
    <w:rsid w:val="009C6556"/>
    <w:rsid w:val="00A03510"/>
    <w:rsid w:val="00A03B4E"/>
    <w:rsid w:val="00A04177"/>
    <w:rsid w:val="00A0503F"/>
    <w:rsid w:val="00A21A23"/>
    <w:rsid w:val="00A22D7F"/>
    <w:rsid w:val="00A31ECF"/>
    <w:rsid w:val="00A51622"/>
    <w:rsid w:val="00A61DF5"/>
    <w:rsid w:val="00A64365"/>
    <w:rsid w:val="00A645BF"/>
    <w:rsid w:val="00A85BCC"/>
    <w:rsid w:val="00AB5F01"/>
    <w:rsid w:val="00B01E5B"/>
    <w:rsid w:val="00B32611"/>
    <w:rsid w:val="00B54D81"/>
    <w:rsid w:val="00B56E17"/>
    <w:rsid w:val="00B70364"/>
    <w:rsid w:val="00B84109"/>
    <w:rsid w:val="00B925A6"/>
    <w:rsid w:val="00B94C5C"/>
    <w:rsid w:val="00BB041C"/>
    <w:rsid w:val="00BD0476"/>
    <w:rsid w:val="00BE1A2C"/>
    <w:rsid w:val="00BF41B7"/>
    <w:rsid w:val="00C1596C"/>
    <w:rsid w:val="00C31F09"/>
    <w:rsid w:val="00C4187E"/>
    <w:rsid w:val="00C47EFB"/>
    <w:rsid w:val="00C733F6"/>
    <w:rsid w:val="00C746EE"/>
    <w:rsid w:val="00C761CE"/>
    <w:rsid w:val="00C84B7D"/>
    <w:rsid w:val="00C84BFA"/>
    <w:rsid w:val="00C90F1B"/>
    <w:rsid w:val="00C945A3"/>
    <w:rsid w:val="00CA2CAF"/>
    <w:rsid w:val="00CA4C5D"/>
    <w:rsid w:val="00CD3886"/>
    <w:rsid w:val="00D13D9B"/>
    <w:rsid w:val="00D340B8"/>
    <w:rsid w:val="00D44477"/>
    <w:rsid w:val="00D4665A"/>
    <w:rsid w:val="00D933F4"/>
    <w:rsid w:val="00DB3637"/>
    <w:rsid w:val="00DB3FDC"/>
    <w:rsid w:val="00DB75EB"/>
    <w:rsid w:val="00DD222E"/>
    <w:rsid w:val="00DD2381"/>
    <w:rsid w:val="00E15E30"/>
    <w:rsid w:val="00E469AA"/>
    <w:rsid w:val="00E52744"/>
    <w:rsid w:val="00E607A7"/>
    <w:rsid w:val="00E612AE"/>
    <w:rsid w:val="00E62BA4"/>
    <w:rsid w:val="00E65512"/>
    <w:rsid w:val="00E71246"/>
    <w:rsid w:val="00E80DBE"/>
    <w:rsid w:val="00E9109C"/>
    <w:rsid w:val="00E96DEA"/>
    <w:rsid w:val="00EB659D"/>
    <w:rsid w:val="00EC26C3"/>
    <w:rsid w:val="00EC76E0"/>
    <w:rsid w:val="00EE6F4B"/>
    <w:rsid w:val="00F06FE0"/>
    <w:rsid w:val="00F16B9A"/>
    <w:rsid w:val="00F20850"/>
    <w:rsid w:val="00F34038"/>
    <w:rsid w:val="00F76890"/>
    <w:rsid w:val="00F85730"/>
    <w:rsid w:val="00F95020"/>
    <w:rsid w:val="00FB51DA"/>
    <w:rsid w:val="00FB5911"/>
    <w:rsid w:val="00FC3FF8"/>
    <w:rsid w:val="00FF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52A94"/>
  <w15:docId w15:val="{E7E96A6D-871E-412A-A216-74D0ED7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numPr>
        <w:numId w:val="4"/>
      </w:numPr>
      <w:tabs>
        <w:tab w:val="clear" w:pos="360"/>
        <w:tab w:val="num" w:pos="720"/>
      </w:tabs>
      <w:outlineLvl w:val="2"/>
    </w:pPr>
    <w:rPr>
      <w:b/>
      <w:color w:val="000080"/>
      <w:u w:val="single"/>
    </w:rPr>
  </w:style>
  <w:style w:type="paragraph" w:styleId="Heading4">
    <w:name w:val="heading 4"/>
    <w:basedOn w:val="Normal"/>
    <w:next w:val="Normal"/>
    <w:qFormat/>
    <w:pPr>
      <w:keepNext/>
      <w:jc w:val="center"/>
      <w:outlineLvl w:val="3"/>
    </w:pPr>
    <w:rPr>
      <w:b/>
      <w:color w:val="808080"/>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color w:val="000080"/>
      <w:u w:val="single"/>
    </w:rPr>
  </w:style>
  <w:style w:type="paragraph" w:styleId="Heading7">
    <w:name w:val="heading 7"/>
    <w:basedOn w:val="Normal"/>
    <w:next w:val="Normal"/>
    <w:qFormat/>
    <w:pPr>
      <w:keepNext/>
      <w:jc w:val="center"/>
      <w:outlineLvl w:val="6"/>
    </w:pPr>
    <w:rPr>
      <w:i/>
    </w:rPr>
  </w:style>
  <w:style w:type="paragraph" w:styleId="Heading8">
    <w:name w:val="heading 8"/>
    <w:basedOn w:val="Normal"/>
    <w:next w:val="Normal"/>
    <w:qFormat/>
    <w:pPr>
      <w:keepNext/>
      <w:numPr>
        <w:numId w:val="1"/>
      </w:numPr>
      <w:outlineLvl w:val="7"/>
    </w:pPr>
    <w:rPr>
      <w:u w:val="single"/>
    </w:rPr>
  </w:style>
  <w:style w:type="paragraph" w:styleId="Heading9">
    <w:name w:val="heading 9"/>
    <w:basedOn w:val="Normal"/>
    <w:next w:val="Normal"/>
    <w:qFormat/>
    <w:pPr>
      <w:keepNext/>
      <w:ind w:left="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ind w:left="900"/>
    </w:pPr>
  </w:style>
  <w:style w:type="paragraph" w:styleId="BodyTextIndent2">
    <w:name w:val="Body Text Indent 2"/>
    <w:basedOn w:val="Normal"/>
    <w:pPr>
      <w:ind w:left="900" w:hanging="180"/>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color w:val="FFFFFF"/>
      <w:sz w:val="16"/>
    </w:rPr>
  </w:style>
  <w:style w:type="paragraph" w:styleId="BodyText2">
    <w:name w:val="Body Text 2"/>
    <w:basedOn w:val="Normal"/>
    <w:pPr>
      <w:jc w:val="center"/>
    </w:pPr>
    <w:rPr>
      <w:sz w:val="12"/>
    </w:rPr>
  </w:style>
  <w:style w:type="paragraph" w:styleId="Title">
    <w:name w:val="Title"/>
    <w:basedOn w:val="Normal"/>
    <w:qFormat/>
    <w:pPr>
      <w:jc w:val="center"/>
    </w:pPr>
    <w:rPr>
      <w:b/>
      <w:color w:val="808080"/>
    </w:rPr>
  </w:style>
  <w:style w:type="paragraph" w:styleId="BalloonText">
    <w:name w:val="Balloon Text"/>
    <w:basedOn w:val="Normal"/>
    <w:semiHidden/>
    <w:rPr>
      <w:rFonts w:cs="Tahoma"/>
      <w:sz w:val="16"/>
      <w:szCs w:val="16"/>
    </w:rPr>
  </w:style>
  <w:style w:type="character" w:styleId="CommentReference">
    <w:name w:val="annotation reference"/>
    <w:semiHidden/>
    <w:rsid w:val="000D12D1"/>
    <w:rPr>
      <w:sz w:val="16"/>
      <w:szCs w:val="16"/>
    </w:rPr>
  </w:style>
  <w:style w:type="paragraph" w:styleId="CommentText">
    <w:name w:val="annotation text"/>
    <w:basedOn w:val="Normal"/>
    <w:semiHidden/>
    <w:rsid w:val="000D12D1"/>
    <w:rPr>
      <w:sz w:val="20"/>
    </w:rPr>
  </w:style>
  <w:style w:type="paragraph" w:styleId="CommentSubject">
    <w:name w:val="annotation subject"/>
    <w:basedOn w:val="CommentText"/>
    <w:next w:val="CommentText"/>
    <w:semiHidden/>
    <w:rsid w:val="000D12D1"/>
    <w:rPr>
      <w:b/>
      <w:bCs/>
    </w:rPr>
  </w:style>
  <w:style w:type="paragraph" w:styleId="Revision">
    <w:name w:val="Revision"/>
    <w:hidden/>
    <w:uiPriority w:val="99"/>
    <w:semiHidden/>
    <w:rsid w:val="00895052"/>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FCB5981B6164AA47525A2C48DA5E1" ma:contentTypeVersion="8" ma:contentTypeDescription="Create a new document." ma:contentTypeScope="" ma:versionID="314a7d87d52c499e3d8888e78e81e93b">
  <xsd:schema xmlns:xsd="http://www.w3.org/2001/XMLSchema" xmlns:xs="http://www.w3.org/2001/XMLSchema" xmlns:p="http://schemas.microsoft.com/office/2006/metadata/properties" xmlns:ns2="444fad00-ec21-46cc-a133-d70aaec15ab6" xmlns:ns3="1fa53526-6d3b-4fe0-a02b-5a59034c5b11" targetNamespace="http://schemas.microsoft.com/office/2006/metadata/properties" ma:root="true" ma:fieldsID="6fcc54e64f9e5268ac87c918e0dbd05e" ns2:_="" ns3:_="">
    <xsd:import namespace="444fad00-ec21-46cc-a133-d70aaec15ab6"/>
    <xsd:import namespace="1fa53526-6d3b-4fe0-a02b-5a59034c5b1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ad00-ec21-46cc-a133-d70aaec15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53526-6d3b-4fe0-a02b-5a59034c5b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E531-778C-4828-A6C2-DDC93B4A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ad00-ec21-46cc-a133-d70aaec15ab6"/>
    <ds:schemaRef ds:uri="1fa53526-6d3b-4fe0-a02b-5a59034c5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95CD7-514F-43BC-8F9B-62CA45818300}">
  <ds:schemaRefs>
    <ds:schemaRef ds:uri="http://schemas.microsoft.com/sharepoint/v3/contenttype/forms"/>
  </ds:schemaRefs>
</ds:datastoreItem>
</file>

<file path=customXml/itemProps3.xml><?xml version="1.0" encoding="utf-8"?>
<ds:datastoreItem xmlns:ds="http://schemas.openxmlformats.org/officeDocument/2006/customXml" ds:itemID="{A46A16F5-4BE0-464B-9E38-C5AD657727B2}">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444fad00-ec21-46cc-a133-d70aaec15ab6"/>
    <ds:schemaRef ds:uri="http://purl.org/dc/elements/1.1/"/>
    <ds:schemaRef ds:uri="http://purl.org/dc/dcmitype/"/>
    <ds:schemaRef ds:uri="1fa53526-6d3b-4fe0-a02b-5a59034c5b11"/>
    <ds:schemaRef ds:uri="http://schemas.microsoft.com/office/2006/metadata/properties"/>
  </ds:schemaRefs>
</ds:datastoreItem>
</file>

<file path=customXml/itemProps4.xml><?xml version="1.0" encoding="utf-8"?>
<ds:datastoreItem xmlns:ds="http://schemas.openxmlformats.org/officeDocument/2006/customXml" ds:itemID="{4E1C7D50-30B1-4B37-B0F0-A203551F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2735</Words>
  <Characters>15806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MADISON GAS &amp; ELECTRIC</vt:lpstr>
    </vt:vector>
  </TitlesOfParts>
  <Company>RMI</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GAS &amp; ELECTRIC</dc:title>
  <dc:creator>Michele</dc:creator>
  <cp:lastModifiedBy>Charlie Musson</cp:lastModifiedBy>
  <cp:revision>2</cp:revision>
  <cp:lastPrinted>2018-07-02T16:30:00Z</cp:lastPrinted>
  <dcterms:created xsi:type="dcterms:W3CDTF">2019-02-26T22:27:00Z</dcterms:created>
  <dcterms:modified xsi:type="dcterms:W3CDTF">2019-02-26T22:27:00Z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0x010100B23FCB5981B6164AA47525A2C48DA5E1</vt:lpwstr>
  </property>
</Properties>
</file>