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B6" w:rsidRPr="00663CB6" w:rsidRDefault="00945C6D" w:rsidP="00564414">
      <w:pPr>
        <w:pStyle w:val="BodyText"/>
        <w:numPr>
          <w:ilvl w:val="0"/>
          <w:numId w:val="0"/>
        </w:numPr>
        <w:jc w:val="center"/>
        <w:rPr>
          <w:b/>
          <w:color w:val="050505"/>
          <w:szCs w:val="24"/>
        </w:rPr>
      </w:pPr>
      <w:bookmarkStart w:id="0" w:name="_GoBack"/>
      <w:bookmarkEnd w:id="0"/>
      <w:r>
        <w:rPr>
          <w:b/>
          <w:color w:val="050505"/>
          <w:szCs w:val="24"/>
        </w:rPr>
        <w:t>RE</w:t>
      </w:r>
      <w:r w:rsidR="00663CB6" w:rsidRPr="00663CB6">
        <w:rPr>
          <w:b/>
          <w:color w:val="050505"/>
          <w:szCs w:val="24"/>
        </w:rPr>
        <w:t>SOLUTION</w:t>
      </w:r>
      <w:r w:rsidR="00564414">
        <w:rPr>
          <w:b/>
          <w:color w:val="050505"/>
          <w:szCs w:val="24"/>
        </w:rPr>
        <w:t xml:space="preserve"> ESTABLISHING RATE SCHEDULES</w:t>
      </w:r>
    </w:p>
    <w:p w:rsidR="00663CB6" w:rsidRPr="00663CB6" w:rsidRDefault="00663CB6" w:rsidP="00564414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3CB6">
        <w:rPr>
          <w:rFonts w:ascii="Times New Roman" w:hAnsi="Times New Roman" w:cs="Times New Roman"/>
          <w:sz w:val="24"/>
          <w:szCs w:val="24"/>
        </w:rPr>
        <w:t xml:space="preserve">WHEREAS, </w:t>
      </w:r>
      <w:r>
        <w:rPr>
          <w:rFonts w:ascii="Times New Roman" w:hAnsi="Times New Roman" w:cs="Times New Roman"/>
          <w:sz w:val="24"/>
          <w:szCs w:val="24"/>
        </w:rPr>
        <w:t>the Kentucky Municipal Energy Agency (“K</w:t>
      </w:r>
      <w:r w:rsidR="005E095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MEA”) has entered into A</w:t>
      </w:r>
      <w:r w:rsidRPr="00663CB6">
        <w:rPr>
          <w:rFonts w:ascii="Times New Roman" w:hAnsi="Times New Roman" w:cs="Times New Roman"/>
          <w:sz w:val="24"/>
          <w:szCs w:val="24"/>
        </w:rPr>
        <w:t xml:space="preserve">ll Requirements Power Sales </w:t>
      </w:r>
      <w:r w:rsidR="00945C6D">
        <w:rPr>
          <w:rFonts w:ascii="Times New Roman" w:hAnsi="Times New Roman" w:cs="Times New Roman"/>
          <w:sz w:val="24"/>
          <w:szCs w:val="24"/>
        </w:rPr>
        <w:t>Contracts</w:t>
      </w:r>
      <w:r w:rsidRPr="00663CB6">
        <w:rPr>
          <w:rFonts w:ascii="Times New Roman" w:hAnsi="Times New Roman" w:cs="Times New Roman"/>
          <w:sz w:val="24"/>
          <w:szCs w:val="24"/>
        </w:rPr>
        <w:t xml:space="preserve"> (the “AR </w:t>
      </w:r>
      <w:r w:rsidR="00945C6D">
        <w:rPr>
          <w:rFonts w:ascii="Times New Roman" w:hAnsi="Times New Roman" w:cs="Times New Roman"/>
          <w:sz w:val="24"/>
          <w:szCs w:val="24"/>
        </w:rPr>
        <w:t>Contracts</w:t>
      </w:r>
      <w:r w:rsidRPr="00663CB6">
        <w:rPr>
          <w:rFonts w:ascii="Times New Roman" w:hAnsi="Times New Roman" w:cs="Times New Roman"/>
          <w:sz w:val="24"/>
          <w:szCs w:val="24"/>
        </w:rPr>
        <w:t>”)</w:t>
      </w:r>
      <w:r>
        <w:rPr>
          <w:rFonts w:ascii="Times New Roman" w:hAnsi="Times New Roman" w:cs="Times New Roman"/>
          <w:sz w:val="24"/>
          <w:szCs w:val="24"/>
        </w:rPr>
        <w:t xml:space="preserve"> with certain of its Members (the “AR Members”)</w:t>
      </w:r>
      <w:r w:rsidRPr="00663CB6">
        <w:rPr>
          <w:rFonts w:ascii="Times New Roman" w:hAnsi="Times New Roman" w:cs="Times New Roman"/>
          <w:snapToGrid w:val="0"/>
          <w:sz w:val="24"/>
          <w:szCs w:val="24"/>
        </w:rPr>
        <w:t xml:space="preserve"> for the purpose of setting forth the terms and conditions relating to the proposed sale of electric power and energy requirements by K</w:t>
      </w:r>
      <w:r w:rsidR="005E095C">
        <w:rPr>
          <w:rFonts w:ascii="Times New Roman" w:hAnsi="Times New Roman" w:cs="Times New Roman"/>
          <w:snapToGrid w:val="0"/>
          <w:sz w:val="24"/>
          <w:szCs w:val="24"/>
        </w:rPr>
        <w:t>Y</w:t>
      </w:r>
      <w:r w:rsidRPr="00663CB6">
        <w:rPr>
          <w:rFonts w:ascii="Times New Roman" w:hAnsi="Times New Roman" w:cs="Times New Roman"/>
          <w:snapToGrid w:val="0"/>
          <w:sz w:val="24"/>
          <w:szCs w:val="24"/>
        </w:rPr>
        <w:t xml:space="preserve">MEA to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the AR </w:t>
      </w:r>
      <w:r w:rsidRPr="00663CB6">
        <w:rPr>
          <w:rFonts w:ascii="Times New Roman" w:hAnsi="Times New Roman" w:cs="Times New Roman"/>
          <w:snapToGrid w:val="0"/>
          <w:sz w:val="24"/>
          <w:szCs w:val="24"/>
        </w:rPr>
        <w:t xml:space="preserve">Members; and </w:t>
      </w:r>
    </w:p>
    <w:p w:rsidR="00A734BE" w:rsidRDefault="00663CB6" w:rsidP="00564414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</w:rPr>
      </w:pPr>
      <w:r>
        <w:rPr>
          <w:rFonts w:ascii="Times New Roman" w:hAnsi="Times New Roman" w:cs="Times New Roman"/>
          <w:color w:val="050505"/>
          <w:sz w:val="24"/>
          <w:szCs w:val="24"/>
        </w:rPr>
        <w:tab/>
        <w:t xml:space="preserve">WHEREAS </w:t>
      </w:r>
      <w:r w:rsidR="00A734BE">
        <w:rPr>
          <w:rFonts w:ascii="Times New Roman" w:hAnsi="Times New Roman" w:cs="Times New Roman"/>
          <w:color w:val="050505"/>
          <w:sz w:val="24"/>
          <w:szCs w:val="24"/>
        </w:rPr>
        <w:t xml:space="preserve">pursuant to the AR </w:t>
      </w:r>
      <w:r w:rsidR="00945C6D">
        <w:rPr>
          <w:rFonts w:ascii="Times New Roman" w:hAnsi="Times New Roman" w:cs="Times New Roman"/>
          <w:color w:val="050505"/>
          <w:sz w:val="24"/>
          <w:szCs w:val="24"/>
        </w:rPr>
        <w:t>Contracts</w:t>
      </w:r>
      <w:r w:rsidR="00A734BE">
        <w:rPr>
          <w:rFonts w:ascii="Times New Roman" w:hAnsi="Times New Roman" w:cs="Times New Roman"/>
          <w:color w:val="050505"/>
          <w:sz w:val="24"/>
          <w:szCs w:val="24"/>
        </w:rPr>
        <w:t xml:space="preserve">, the 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 xml:space="preserve">All Requirements Project Committee </w:t>
      </w:r>
      <w:r w:rsidR="00A734BE">
        <w:rPr>
          <w:rFonts w:ascii="Times New Roman" w:hAnsi="Times New Roman" w:cs="Times New Roman"/>
          <w:color w:val="050505"/>
          <w:sz w:val="24"/>
          <w:szCs w:val="24"/>
        </w:rPr>
        <w:t>(the “AR Project Committee”) consisting of all AR Members is tasked with the responsibility of d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 xml:space="preserve">eveloping and designing the rates in accordance with generally accepted ratemaking principles and procedures to provide revenues to meet the anticipated </w:t>
      </w:r>
      <w:r w:rsidR="00A734BE">
        <w:rPr>
          <w:rFonts w:ascii="Times New Roman" w:hAnsi="Times New Roman" w:cs="Times New Roman"/>
          <w:color w:val="050505"/>
          <w:sz w:val="24"/>
          <w:szCs w:val="24"/>
        </w:rPr>
        <w:t>r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 xml:space="preserve">evenue </w:t>
      </w:r>
      <w:r w:rsidR="00A734BE">
        <w:rPr>
          <w:rFonts w:ascii="Times New Roman" w:hAnsi="Times New Roman" w:cs="Times New Roman"/>
          <w:color w:val="050505"/>
          <w:sz w:val="24"/>
          <w:szCs w:val="24"/>
        </w:rPr>
        <w:t>r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equirements</w:t>
      </w:r>
      <w:r w:rsidR="00A734BE">
        <w:rPr>
          <w:rFonts w:ascii="Times New Roman" w:hAnsi="Times New Roman" w:cs="Times New Roman"/>
          <w:color w:val="050505"/>
          <w:sz w:val="24"/>
          <w:szCs w:val="24"/>
        </w:rPr>
        <w:t xml:space="preserve"> of K</w:t>
      </w:r>
      <w:r w:rsidR="005E095C">
        <w:rPr>
          <w:rFonts w:ascii="Times New Roman" w:hAnsi="Times New Roman" w:cs="Times New Roman"/>
          <w:color w:val="050505"/>
          <w:sz w:val="24"/>
          <w:szCs w:val="24"/>
        </w:rPr>
        <w:t>Y</w:t>
      </w:r>
      <w:r w:rsidR="00A734BE">
        <w:rPr>
          <w:rFonts w:ascii="Times New Roman" w:hAnsi="Times New Roman" w:cs="Times New Roman"/>
          <w:color w:val="050505"/>
          <w:sz w:val="24"/>
          <w:szCs w:val="24"/>
        </w:rPr>
        <w:t>MEA (the “Revenue Requirements”) to furnish electric power and energy to the AR Members; and</w:t>
      </w:r>
    </w:p>
    <w:p w:rsidR="00A734BE" w:rsidRDefault="00A734BE" w:rsidP="00564414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</w:rPr>
      </w:pPr>
      <w:r w:rsidRPr="00663CB6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WHEREAS,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pursuant to the AR </w:t>
      </w:r>
      <w:r w:rsidR="00945C6D">
        <w:rPr>
          <w:rFonts w:ascii="Times New Roman" w:hAnsi="Times New Roman" w:cs="Times New Roman"/>
          <w:snapToGrid w:val="0"/>
          <w:sz w:val="24"/>
          <w:szCs w:val="24"/>
        </w:rPr>
        <w:t>Contracts</w:t>
      </w:r>
      <w:r>
        <w:rPr>
          <w:rFonts w:ascii="Times New Roman" w:hAnsi="Times New Roman" w:cs="Times New Roman"/>
          <w:snapToGrid w:val="0"/>
          <w:sz w:val="24"/>
          <w:szCs w:val="24"/>
        </w:rPr>
        <w:t>, t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h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1C1C1C"/>
          <w:sz w:val="24"/>
          <w:szCs w:val="24"/>
        </w:rPr>
        <w:t>K</w:t>
      </w:r>
      <w:r w:rsidR="005E095C">
        <w:rPr>
          <w:rFonts w:ascii="Times New Roman" w:hAnsi="Times New Roman" w:cs="Times New Roman"/>
          <w:color w:val="1C1C1C"/>
          <w:sz w:val="24"/>
          <w:szCs w:val="24"/>
        </w:rPr>
        <w:t>Y</w:t>
      </w:r>
      <w:r>
        <w:rPr>
          <w:rFonts w:ascii="Times New Roman" w:hAnsi="Times New Roman" w:cs="Times New Roman"/>
          <w:color w:val="1C1C1C"/>
          <w:sz w:val="24"/>
          <w:szCs w:val="24"/>
        </w:rPr>
        <w:t xml:space="preserve">MEA 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Board of Directors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 xml:space="preserve"> s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 xml:space="preserve">hall 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es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ta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b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l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is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h and m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a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int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ai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 xml:space="preserve">n 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ra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t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 xml:space="preserve">es </w:t>
      </w:r>
      <w:r>
        <w:rPr>
          <w:rFonts w:ascii="Times New Roman" w:hAnsi="Times New Roman" w:cs="Times New Roman"/>
          <w:color w:val="1C1C1C"/>
          <w:sz w:val="24"/>
          <w:szCs w:val="24"/>
        </w:rPr>
        <w:t xml:space="preserve">under the AR Contracts 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that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w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ill provi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 xml:space="preserve">de 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r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eve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nu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 xml:space="preserve">es 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whi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c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 xml:space="preserve">h 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ar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 xml:space="preserve">e 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su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ffi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cie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n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t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, bu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 xml:space="preserve">t 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onl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 xml:space="preserve">y 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su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ff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i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c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ien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t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 xml:space="preserve">, 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 xml:space="preserve">to 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 xml:space="preserve">meet 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t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 xml:space="preserve">he 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 xml:space="preserve">anticipated 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Re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ve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n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 xml:space="preserve">ue 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R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e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q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u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ir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e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m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e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>nt</w:t>
      </w:r>
      <w:r w:rsidRPr="00663CB6">
        <w:rPr>
          <w:rFonts w:ascii="Times New Roman" w:hAnsi="Times New Roman" w:cs="Times New Roman"/>
          <w:color w:val="1C1C1C"/>
          <w:sz w:val="24"/>
          <w:szCs w:val="24"/>
        </w:rPr>
        <w:t>s o</w:t>
      </w:r>
      <w:r w:rsidRPr="00663CB6">
        <w:rPr>
          <w:rFonts w:ascii="Times New Roman" w:hAnsi="Times New Roman" w:cs="Times New Roman"/>
          <w:color w:val="050505"/>
          <w:sz w:val="24"/>
          <w:szCs w:val="24"/>
        </w:rPr>
        <w:t xml:space="preserve">f </w:t>
      </w:r>
      <w:r>
        <w:rPr>
          <w:rFonts w:ascii="Times New Roman" w:hAnsi="Times New Roman" w:cs="Times New Roman"/>
          <w:color w:val="050505"/>
          <w:sz w:val="24"/>
          <w:szCs w:val="24"/>
        </w:rPr>
        <w:t>K</w:t>
      </w:r>
      <w:r w:rsidR="005E095C">
        <w:rPr>
          <w:rFonts w:ascii="Times New Roman" w:hAnsi="Times New Roman" w:cs="Times New Roman"/>
          <w:color w:val="050505"/>
          <w:sz w:val="24"/>
          <w:szCs w:val="24"/>
        </w:rPr>
        <w:t>Y</w:t>
      </w:r>
      <w:r>
        <w:rPr>
          <w:rFonts w:ascii="Times New Roman" w:hAnsi="Times New Roman" w:cs="Times New Roman"/>
          <w:color w:val="050505"/>
          <w:sz w:val="24"/>
          <w:szCs w:val="24"/>
        </w:rPr>
        <w:t xml:space="preserve">MEA in providing electric power and energy to its AR Members; and </w:t>
      </w:r>
    </w:p>
    <w:p w:rsidR="00945C6D" w:rsidRDefault="00945C6D" w:rsidP="00945C6D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ab/>
        <w:t>WHERAS, the KYMEA Board of Directors</w:t>
      </w:r>
      <w:r w:rsidRPr="00A734BE">
        <w:rPr>
          <w:rFonts w:ascii="Times New Roman" w:hAnsi="Times New Roman" w:cs="Times New Roman"/>
          <w:color w:val="050505"/>
          <w:sz w:val="24"/>
          <w:szCs w:val="24"/>
        </w:rPr>
        <w:t xml:space="preserve"> shall not unreasonably withhold its approval and establishment of </w:t>
      </w:r>
      <w:r>
        <w:rPr>
          <w:rFonts w:ascii="Times New Roman" w:hAnsi="Times New Roman" w:cs="Times New Roman"/>
          <w:color w:val="050505"/>
          <w:sz w:val="24"/>
          <w:szCs w:val="24"/>
        </w:rPr>
        <w:t xml:space="preserve">all requirements </w:t>
      </w:r>
      <w:r w:rsidRPr="00A734BE">
        <w:rPr>
          <w:rFonts w:ascii="Times New Roman" w:hAnsi="Times New Roman" w:cs="Times New Roman"/>
          <w:color w:val="050505"/>
          <w:sz w:val="24"/>
          <w:szCs w:val="24"/>
        </w:rPr>
        <w:t>rates developed by the AR Project Committee</w:t>
      </w:r>
      <w:r>
        <w:rPr>
          <w:rFonts w:ascii="Times New Roman" w:hAnsi="Times New Roman" w:cs="Times New Roman"/>
          <w:color w:val="050505"/>
          <w:sz w:val="24"/>
          <w:szCs w:val="24"/>
        </w:rPr>
        <w:t xml:space="preserve">; and </w:t>
      </w:r>
    </w:p>
    <w:p w:rsidR="00A734BE" w:rsidRDefault="00A734BE" w:rsidP="00564414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050505"/>
          <w:sz w:val="24"/>
          <w:szCs w:val="24"/>
        </w:rPr>
        <w:tab/>
        <w:t xml:space="preserve">WHEREAS, </w:t>
      </w:r>
      <w:r w:rsidR="00945C6D">
        <w:rPr>
          <w:rFonts w:ascii="Times New Roman" w:hAnsi="Times New Roman" w:cs="Times New Roman"/>
          <w:color w:val="050505"/>
          <w:sz w:val="24"/>
          <w:szCs w:val="24"/>
        </w:rPr>
        <w:t xml:space="preserve">additionally, </w:t>
      </w:r>
      <w:r>
        <w:rPr>
          <w:rFonts w:ascii="Times New Roman" w:hAnsi="Times New Roman" w:cs="Times New Roman"/>
          <w:color w:val="050505"/>
          <w:sz w:val="24"/>
          <w:szCs w:val="24"/>
        </w:rPr>
        <w:t>the K</w:t>
      </w:r>
      <w:r w:rsidR="005E095C">
        <w:rPr>
          <w:rFonts w:ascii="Times New Roman" w:hAnsi="Times New Roman" w:cs="Times New Roman"/>
          <w:color w:val="050505"/>
          <w:sz w:val="24"/>
          <w:szCs w:val="24"/>
        </w:rPr>
        <w:t>Y</w:t>
      </w:r>
      <w:r>
        <w:rPr>
          <w:rFonts w:ascii="Times New Roman" w:hAnsi="Times New Roman" w:cs="Times New Roman"/>
          <w:color w:val="050505"/>
          <w:sz w:val="24"/>
          <w:szCs w:val="24"/>
        </w:rPr>
        <w:t xml:space="preserve">MEA </w:t>
      </w:r>
      <w:r w:rsidR="00663CB6" w:rsidRPr="00663CB6">
        <w:rPr>
          <w:rFonts w:ascii="Times New Roman" w:hAnsi="Times New Roman" w:cs="Times New Roman"/>
          <w:color w:val="050505"/>
          <w:sz w:val="24"/>
          <w:szCs w:val="24"/>
        </w:rPr>
        <w:t xml:space="preserve">Board </w:t>
      </w:r>
      <w:r w:rsidR="00663CB6" w:rsidRPr="00A734BE">
        <w:rPr>
          <w:rFonts w:ascii="Times New Roman" w:hAnsi="Times New Roman" w:cs="Times New Roman"/>
          <w:color w:val="050505"/>
          <w:sz w:val="24"/>
          <w:szCs w:val="24"/>
        </w:rPr>
        <w:t xml:space="preserve">of Directors </w:t>
      </w:r>
      <w:r>
        <w:rPr>
          <w:rFonts w:ascii="Times New Roman" w:hAnsi="Times New Roman" w:cs="Times New Roman"/>
          <w:color w:val="050505"/>
          <w:sz w:val="24"/>
          <w:szCs w:val="24"/>
        </w:rPr>
        <w:t xml:space="preserve">shall </w:t>
      </w:r>
      <w:r w:rsidRPr="00A734BE">
        <w:rPr>
          <w:rFonts w:ascii="Times New Roman" w:hAnsi="Times New Roman" w:cs="Times New Roman"/>
          <w:color w:val="1C1C1C"/>
          <w:sz w:val="24"/>
          <w:szCs w:val="24"/>
        </w:rPr>
        <w:t>e</w:t>
      </w:r>
      <w:r w:rsidRPr="00A734BE">
        <w:rPr>
          <w:rFonts w:ascii="Times New Roman" w:hAnsi="Times New Roman" w:cs="Times New Roman"/>
          <w:color w:val="050505"/>
          <w:sz w:val="24"/>
          <w:szCs w:val="24"/>
        </w:rPr>
        <w:t>st</w:t>
      </w:r>
      <w:r w:rsidRPr="00A734BE">
        <w:rPr>
          <w:rFonts w:ascii="Times New Roman" w:hAnsi="Times New Roman" w:cs="Times New Roman"/>
          <w:color w:val="1C1C1C"/>
          <w:sz w:val="24"/>
          <w:szCs w:val="24"/>
        </w:rPr>
        <w:t>a</w:t>
      </w:r>
      <w:r w:rsidRPr="00A734BE">
        <w:rPr>
          <w:rFonts w:ascii="Times New Roman" w:hAnsi="Times New Roman" w:cs="Times New Roman"/>
          <w:color w:val="050505"/>
          <w:sz w:val="24"/>
          <w:szCs w:val="24"/>
        </w:rPr>
        <w:t>bli</w:t>
      </w:r>
      <w:r w:rsidRPr="00A734BE">
        <w:rPr>
          <w:rFonts w:ascii="Times New Roman" w:hAnsi="Times New Roman" w:cs="Times New Roman"/>
          <w:color w:val="1C1C1C"/>
          <w:sz w:val="24"/>
          <w:szCs w:val="24"/>
        </w:rPr>
        <w:t>s</w:t>
      </w:r>
      <w:r w:rsidRPr="00A734BE">
        <w:rPr>
          <w:rFonts w:ascii="Times New Roman" w:hAnsi="Times New Roman" w:cs="Times New Roman"/>
          <w:color w:val="050505"/>
          <w:sz w:val="24"/>
          <w:szCs w:val="24"/>
        </w:rPr>
        <w:t xml:space="preserve">h </w:t>
      </w:r>
      <w:r w:rsidRPr="00A734BE">
        <w:rPr>
          <w:rFonts w:ascii="Times New Roman" w:hAnsi="Times New Roman" w:cs="Times New Roman"/>
          <w:color w:val="1C1C1C"/>
          <w:sz w:val="24"/>
          <w:szCs w:val="24"/>
        </w:rPr>
        <w:t>ra</w:t>
      </w:r>
      <w:r w:rsidRPr="00A734BE">
        <w:rPr>
          <w:rFonts w:ascii="Times New Roman" w:hAnsi="Times New Roman" w:cs="Times New Roman"/>
          <w:color w:val="050505"/>
          <w:sz w:val="24"/>
          <w:szCs w:val="24"/>
        </w:rPr>
        <w:t>t</w:t>
      </w:r>
      <w:r w:rsidRPr="00A734BE">
        <w:rPr>
          <w:rFonts w:ascii="Times New Roman" w:hAnsi="Times New Roman" w:cs="Times New Roman"/>
          <w:color w:val="1C1C1C"/>
          <w:sz w:val="24"/>
          <w:szCs w:val="24"/>
        </w:rPr>
        <w:t xml:space="preserve">es and charges for all products and services </w:t>
      </w:r>
      <w:r>
        <w:rPr>
          <w:rFonts w:ascii="Times New Roman" w:hAnsi="Times New Roman" w:cs="Times New Roman"/>
          <w:color w:val="1C1C1C"/>
          <w:sz w:val="24"/>
          <w:szCs w:val="24"/>
        </w:rPr>
        <w:t>K</w:t>
      </w:r>
      <w:r w:rsidR="005E095C">
        <w:rPr>
          <w:rFonts w:ascii="Times New Roman" w:hAnsi="Times New Roman" w:cs="Times New Roman"/>
          <w:color w:val="1C1C1C"/>
          <w:sz w:val="24"/>
          <w:szCs w:val="24"/>
        </w:rPr>
        <w:t>Y</w:t>
      </w:r>
      <w:r>
        <w:rPr>
          <w:rFonts w:ascii="Times New Roman" w:hAnsi="Times New Roman" w:cs="Times New Roman"/>
          <w:color w:val="1C1C1C"/>
          <w:sz w:val="24"/>
          <w:szCs w:val="24"/>
        </w:rPr>
        <w:t>MEA</w:t>
      </w:r>
      <w:r w:rsidRPr="00A734BE">
        <w:rPr>
          <w:rFonts w:ascii="Times New Roman" w:hAnsi="Times New Roman" w:cs="Times New Roman"/>
          <w:color w:val="1C1C1C"/>
          <w:sz w:val="24"/>
          <w:szCs w:val="24"/>
        </w:rPr>
        <w:t xml:space="preserve"> provides to its </w:t>
      </w:r>
      <w:r>
        <w:rPr>
          <w:rFonts w:ascii="Times New Roman" w:hAnsi="Times New Roman" w:cs="Times New Roman"/>
          <w:color w:val="1C1C1C"/>
          <w:sz w:val="24"/>
          <w:szCs w:val="24"/>
        </w:rPr>
        <w:t>M</w:t>
      </w:r>
      <w:r w:rsidRPr="00A734BE">
        <w:rPr>
          <w:rFonts w:ascii="Times New Roman" w:hAnsi="Times New Roman" w:cs="Times New Roman"/>
          <w:color w:val="1C1C1C"/>
          <w:sz w:val="24"/>
          <w:szCs w:val="24"/>
        </w:rPr>
        <w:t xml:space="preserve">embers </w:t>
      </w:r>
      <w:r w:rsidR="00BF0BFA">
        <w:rPr>
          <w:rFonts w:ascii="Times New Roman" w:hAnsi="Times New Roman" w:cs="Times New Roman"/>
          <w:color w:val="1C1C1C"/>
          <w:sz w:val="24"/>
          <w:szCs w:val="24"/>
        </w:rPr>
        <w:t xml:space="preserve">which </w:t>
      </w:r>
      <w:r w:rsidRPr="00A734BE">
        <w:rPr>
          <w:rFonts w:ascii="Times New Roman" w:hAnsi="Times New Roman" w:cs="Times New Roman"/>
          <w:color w:val="050505"/>
          <w:sz w:val="24"/>
          <w:szCs w:val="24"/>
        </w:rPr>
        <w:t>shall b</w:t>
      </w:r>
      <w:r w:rsidRPr="00A734BE">
        <w:rPr>
          <w:rFonts w:ascii="Times New Roman" w:hAnsi="Times New Roman" w:cs="Times New Roman"/>
          <w:color w:val="1C1C1C"/>
          <w:sz w:val="24"/>
          <w:szCs w:val="24"/>
        </w:rPr>
        <w:t xml:space="preserve">e </w:t>
      </w:r>
      <w:r w:rsidRPr="00A734BE">
        <w:rPr>
          <w:rFonts w:ascii="Times New Roman" w:hAnsi="Times New Roman" w:cs="Times New Roman"/>
          <w:color w:val="050505"/>
          <w:sz w:val="24"/>
          <w:szCs w:val="24"/>
        </w:rPr>
        <w:t>c</w:t>
      </w:r>
      <w:r w:rsidRPr="00A734BE">
        <w:rPr>
          <w:rFonts w:ascii="Times New Roman" w:hAnsi="Times New Roman" w:cs="Times New Roman"/>
          <w:color w:val="1C1C1C"/>
          <w:sz w:val="24"/>
          <w:szCs w:val="24"/>
        </w:rPr>
        <w:t>o</w:t>
      </w:r>
      <w:r w:rsidRPr="00A734BE">
        <w:rPr>
          <w:rFonts w:ascii="Times New Roman" w:hAnsi="Times New Roman" w:cs="Times New Roman"/>
          <w:color w:val="050505"/>
          <w:sz w:val="24"/>
          <w:szCs w:val="24"/>
        </w:rPr>
        <w:t>nsi</w:t>
      </w:r>
      <w:r w:rsidRPr="00A734BE">
        <w:rPr>
          <w:rFonts w:ascii="Times New Roman" w:hAnsi="Times New Roman" w:cs="Times New Roman"/>
          <w:color w:val="1C1C1C"/>
          <w:sz w:val="24"/>
          <w:szCs w:val="24"/>
        </w:rPr>
        <w:t>s</w:t>
      </w:r>
      <w:r w:rsidRPr="00A734BE">
        <w:rPr>
          <w:rFonts w:ascii="Times New Roman" w:hAnsi="Times New Roman" w:cs="Times New Roman"/>
          <w:color w:val="050505"/>
          <w:sz w:val="24"/>
          <w:szCs w:val="24"/>
        </w:rPr>
        <w:t>t</w:t>
      </w:r>
      <w:r w:rsidRPr="00A734BE">
        <w:rPr>
          <w:rFonts w:ascii="Times New Roman" w:hAnsi="Times New Roman" w:cs="Times New Roman"/>
          <w:color w:val="1C1C1C"/>
          <w:sz w:val="24"/>
          <w:szCs w:val="24"/>
        </w:rPr>
        <w:t>e</w:t>
      </w:r>
      <w:r w:rsidRPr="00A734BE">
        <w:rPr>
          <w:rFonts w:ascii="Times New Roman" w:hAnsi="Times New Roman" w:cs="Times New Roman"/>
          <w:color w:val="050505"/>
          <w:sz w:val="24"/>
          <w:szCs w:val="24"/>
        </w:rPr>
        <w:t>n</w:t>
      </w:r>
      <w:r w:rsidRPr="00A734BE">
        <w:rPr>
          <w:rFonts w:ascii="Times New Roman" w:hAnsi="Times New Roman" w:cs="Times New Roman"/>
          <w:color w:val="1C1C1C"/>
          <w:sz w:val="24"/>
          <w:szCs w:val="24"/>
        </w:rPr>
        <w:t>t w</w:t>
      </w:r>
      <w:r w:rsidRPr="00A734BE">
        <w:rPr>
          <w:rFonts w:ascii="Times New Roman" w:hAnsi="Times New Roman" w:cs="Times New Roman"/>
          <w:color w:val="050505"/>
          <w:sz w:val="24"/>
          <w:szCs w:val="24"/>
        </w:rPr>
        <w:t>i</w:t>
      </w:r>
      <w:r w:rsidRPr="00A734BE">
        <w:rPr>
          <w:rFonts w:ascii="Times New Roman" w:hAnsi="Times New Roman" w:cs="Times New Roman"/>
          <w:color w:val="1C1C1C"/>
          <w:sz w:val="24"/>
          <w:szCs w:val="24"/>
        </w:rPr>
        <w:t>t</w:t>
      </w:r>
      <w:r w:rsidRPr="00A734BE">
        <w:rPr>
          <w:rFonts w:ascii="Times New Roman" w:hAnsi="Times New Roman" w:cs="Times New Roman"/>
          <w:color w:val="050505"/>
          <w:sz w:val="24"/>
          <w:szCs w:val="24"/>
        </w:rPr>
        <w:t xml:space="preserve">h </w:t>
      </w:r>
      <w:r w:rsidR="00945C6D">
        <w:rPr>
          <w:rFonts w:ascii="Times New Roman" w:hAnsi="Times New Roman" w:cs="Times New Roman"/>
          <w:color w:val="050505"/>
          <w:sz w:val="24"/>
          <w:szCs w:val="24"/>
        </w:rPr>
        <w:t>p</w:t>
      </w:r>
      <w:r w:rsidRPr="00A734BE">
        <w:rPr>
          <w:rFonts w:ascii="Times New Roman" w:hAnsi="Times New Roman" w:cs="Times New Roman"/>
          <w:color w:val="050505"/>
          <w:sz w:val="24"/>
          <w:szCs w:val="24"/>
        </w:rPr>
        <w:t>ru</w:t>
      </w:r>
      <w:r w:rsidRPr="00A734BE">
        <w:rPr>
          <w:rFonts w:ascii="Times New Roman" w:hAnsi="Times New Roman" w:cs="Times New Roman"/>
          <w:color w:val="1C1C1C"/>
          <w:sz w:val="24"/>
          <w:szCs w:val="24"/>
        </w:rPr>
        <w:t>d</w:t>
      </w:r>
      <w:r w:rsidRPr="00A734BE">
        <w:rPr>
          <w:rFonts w:ascii="Times New Roman" w:hAnsi="Times New Roman" w:cs="Times New Roman"/>
          <w:color w:val="050505"/>
          <w:sz w:val="24"/>
          <w:szCs w:val="24"/>
        </w:rPr>
        <w:t>en</w:t>
      </w:r>
      <w:r w:rsidRPr="00A734BE">
        <w:rPr>
          <w:rFonts w:ascii="Times New Roman" w:hAnsi="Times New Roman" w:cs="Times New Roman"/>
          <w:color w:val="1C1C1C"/>
          <w:sz w:val="24"/>
          <w:szCs w:val="24"/>
        </w:rPr>
        <w:t xml:space="preserve">t </w:t>
      </w:r>
      <w:r w:rsidR="00945C6D">
        <w:rPr>
          <w:rFonts w:ascii="Times New Roman" w:hAnsi="Times New Roman" w:cs="Times New Roman"/>
          <w:color w:val="1C1C1C"/>
          <w:sz w:val="24"/>
          <w:szCs w:val="24"/>
        </w:rPr>
        <w:t>u</w:t>
      </w:r>
      <w:r w:rsidRPr="00A734BE">
        <w:rPr>
          <w:rFonts w:ascii="Times New Roman" w:hAnsi="Times New Roman" w:cs="Times New Roman"/>
          <w:color w:val="050505"/>
          <w:sz w:val="24"/>
          <w:szCs w:val="24"/>
        </w:rPr>
        <w:t xml:space="preserve">tility </w:t>
      </w:r>
      <w:r w:rsidR="00945C6D">
        <w:rPr>
          <w:rFonts w:ascii="Times New Roman" w:hAnsi="Times New Roman" w:cs="Times New Roman"/>
          <w:color w:val="050505"/>
          <w:sz w:val="24"/>
          <w:szCs w:val="24"/>
        </w:rPr>
        <w:t>p</w:t>
      </w:r>
      <w:r w:rsidRPr="00A734BE">
        <w:rPr>
          <w:rFonts w:ascii="Times New Roman" w:hAnsi="Times New Roman" w:cs="Times New Roman"/>
          <w:color w:val="050505"/>
          <w:sz w:val="24"/>
          <w:szCs w:val="24"/>
        </w:rPr>
        <w:t>ractic</w:t>
      </w:r>
      <w:r w:rsidRPr="00A734BE">
        <w:rPr>
          <w:rFonts w:ascii="Times New Roman" w:hAnsi="Times New Roman" w:cs="Times New Roman"/>
          <w:color w:val="2F2F2F"/>
          <w:sz w:val="24"/>
          <w:szCs w:val="24"/>
        </w:rPr>
        <w:t>e</w:t>
      </w:r>
      <w:r>
        <w:rPr>
          <w:rFonts w:ascii="Times New Roman" w:hAnsi="Times New Roman" w:cs="Times New Roman"/>
          <w:color w:val="2F2F2F"/>
          <w:sz w:val="24"/>
          <w:szCs w:val="24"/>
        </w:rPr>
        <w:t>;</w:t>
      </w:r>
    </w:p>
    <w:p w:rsidR="000272EC" w:rsidRPr="000272EC" w:rsidRDefault="000272EC" w:rsidP="00564414">
      <w:pPr>
        <w:tabs>
          <w:tab w:val="left" w:pos="720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272EC">
        <w:rPr>
          <w:rFonts w:ascii="Times New Roman" w:hAnsi="Times New Roman" w:cs="Times New Roman"/>
          <w:snapToGrid w:val="0"/>
          <w:sz w:val="24"/>
          <w:szCs w:val="24"/>
        </w:rPr>
        <w:tab/>
        <w:t>NOW THEREFORE BE IT RESOLVED:</w:t>
      </w:r>
    </w:p>
    <w:p w:rsidR="00BF0BFA" w:rsidRDefault="000272EC" w:rsidP="00564414">
      <w:pPr>
        <w:tabs>
          <w:tab w:val="left" w:pos="720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0272EC">
        <w:rPr>
          <w:rFonts w:ascii="Times New Roman" w:hAnsi="Times New Roman" w:cs="Times New Roman"/>
          <w:b/>
          <w:snapToGrid w:val="0"/>
          <w:sz w:val="24"/>
          <w:szCs w:val="24"/>
        </w:rPr>
        <w:t>S</w:t>
      </w:r>
      <w:r w:rsidR="005E095C">
        <w:rPr>
          <w:rFonts w:ascii="Times New Roman" w:hAnsi="Times New Roman" w:cs="Times New Roman"/>
          <w:b/>
          <w:snapToGrid w:val="0"/>
          <w:sz w:val="24"/>
          <w:szCs w:val="24"/>
        </w:rPr>
        <w:t>ection 1.</w:t>
      </w:r>
      <w:r w:rsidR="005E095C">
        <w:rPr>
          <w:rFonts w:ascii="Times New Roman" w:hAnsi="Times New Roman" w:cs="Times New Roman"/>
          <w:b/>
          <w:snapToGrid w:val="0"/>
          <w:sz w:val="24"/>
          <w:szCs w:val="24"/>
        </w:rPr>
        <w:tab/>
        <w:t xml:space="preserve">AR Project Committee </w:t>
      </w:r>
      <w:r w:rsidRPr="000272E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Rate </w:t>
      </w:r>
      <w:r w:rsidR="005E095C">
        <w:rPr>
          <w:rFonts w:ascii="Times New Roman" w:hAnsi="Times New Roman" w:cs="Times New Roman"/>
          <w:b/>
          <w:snapToGrid w:val="0"/>
          <w:sz w:val="24"/>
          <w:szCs w:val="24"/>
        </w:rPr>
        <w:t>Schedule</w:t>
      </w:r>
      <w:r w:rsidRPr="000272EC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The AR Project Committee has designed and developed a</w:t>
      </w:r>
      <w:r w:rsidR="005E095C">
        <w:rPr>
          <w:rFonts w:ascii="Times New Roman" w:hAnsi="Times New Roman" w:cs="Times New Roman"/>
          <w:snapToGrid w:val="0"/>
          <w:sz w:val="24"/>
          <w:szCs w:val="24"/>
        </w:rPr>
        <w:t xml:space="preserve"> rate schedule,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budget proposal </w:t>
      </w:r>
      <w:r w:rsidR="00BF0BFA">
        <w:rPr>
          <w:rFonts w:ascii="Times New Roman" w:hAnsi="Times New Roman" w:cs="Times New Roman"/>
          <w:snapToGrid w:val="0"/>
          <w:sz w:val="24"/>
          <w:szCs w:val="24"/>
        </w:rPr>
        <w:t xml:space="preserve">and the methodology </w:t>
      </w:r>
      <w:r w:rsidR="004802CC">
        <w:rPr>
          <w:rFonts w:ascii="Times New Roman" w:hAnsi="Times New Roman" w:cs="Times New Roman"/>
          <w:snapToGrid w:val="0"/>
          <w:sz w:val="24"/>
          <w:szCs w:val="24"/>
        </w:rPr>
        <w:t xml:space="preserve">for recovery of </w:t>
      </w:r>
      <w:r w:rsidR="00945C6D">
        <w:rPr>
          <w:rFonts w:ascii="Times New Roman" w:hAnsi="Times New Roman" w:cs="Times New Roman"/>
          <w:snapToGrid w:val="0"/>
          <w:sz w:val="24"/>
          <w:szCs w:val="24"/>
        </w:rPr>
        <w:t>the costs and expenses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associated with the provision of electric power and energy requirements under the AR </w:t>
      </w:r>
      <w:r w:rsidR="00945C6D">
        <w:rPr>
          <w:rFonts w:ascii="Times New Roman" w:hAnsi="Times New Roman" w:cs="Times New Roman"/>
          <w:snapToGrid w:val="0"/>
          <w:sz w:val="24"/>
          <w:szCs w:val="24"/>
        </w:rPr>
        <w:t>Contracts</w:t>
      </w:r>
      <w:r w:rsidR="00BF0BFA">
        <w:rPr>
          <w:rFonts w:ascii="Times New Roman" w:hAnsi="Times New Roman" w:cs="Times New Roman"/>
          <w:snapToGrid w:val="0"/>
          <w:sz w:val="24"/>
          <w:szCs w:val="24"/>
        </w:rPr>
        <w:t xml:space="preserve"> and has submitted </w:t>
      </w:r>
      <w:r w:rsidR="00945C6D">
        <w:rPr>
          <w:rFonts w:ascii="Times New Roman" w:hAnsi="Times New Roman" w:cs="Times New Roman"/>
          <w:snapToGrid w:val="0"/>
          <w:sz w:val="24"/>
          <w:szCs w:val="24"/>
        </w:rPr>
        <w:t>said</w:t>
      </w:r>
      <w:r w:rsidR="00C646F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E095C">
        <w:rPr>
          <w:rFonts w:ascii="Times New Roman" w:hAnsi="Times New Roman" w:cs="Times New Roman"/>
          <w:snapToGrid w:val="0"/>
          <w:sz w:val="24"/>
          <w:szCs w:val="24"/>
        </w:rPr>
        <w:t>Rate Schedule</w:t>
      </w:r>
      <w:r w:rsidR="00C646F2">
        <w:rPr>
          <w:rFonts w:ascii="Times New Roman" w:hAnsi="Times New Roman" w:cs="Times New Roman"/>
          <w:snapToGrid w:val="0"/>
          <w:sz w:val="24"/>
          <w:szCs w:val="24"/>
        </w:rPr>
        <w:t xml:space="preserve"> to the K</w:t>
      </w:r>
      <w:r w:rsidR="005E095C">
        <w:rPr>
          <w:rFonts w:ascii="Times New Roman" w:hAnsi="Times New Roman" w:cs="Times New Roman"/>
          <w:snapToGrid w:val="0"/>
          <w:sz w:val="24"/>
          <w:szCs w:val="24"/>
        </w:rPr>
        <w:t>Y</w:t>
      </w:r>
      <w:r w:rsidR="00C646F2">
        <w:rPr>
          <w:rFonts w:ascii="Times New Roman" w:hAnsi="Times New Roman" w:cs="Times New Roman"/>
          <w:snapToGrid w:val="0"/>
          <w:sz w:val="24"/>
          <w:szCs w:val="24"/>
        </w:rPr>
        <w:t>MEA Board of Directors for approval.</w:t>
      </w:r>
      <w:r w:rsidR="00BF0BFA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C646F2" w:rsidRDefault="00BF0BFA" w:rsidP="00564414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BF0BFA">
        <w:rPr>
          <w:rFonts w:ascii="Times New Roman" w:hAnsi="Times New Roman" w:cs="Times New Roman"/>
          <w:b/>
          <w:snapToGrid w:val="0"/>
          <w:sz w:val="24"/>
          <w:szCs w:val="24"/>
        </w:rPr>
        <w:t>Section 2.</w:t>
      </w:r>
      <w:r w:rsidRPr="00BF0BFA">
        <w:rPr>
          <w:rFonts w:ascii="Times New Roman" w:hAnsi="Times New Roman" w:cs="Times New Roman"/>
          <w:b/>
          <w:snapToGrid w:val="0"/>
          <w:sz w:val="24"/>
          <w:szCs w:val="24"/>
        </w:rPr>
        <w:tab/>
        <w:t xml:space="preserve">Approval of </w:t>
      </w:r>
      <w:r w:rsidR="005E095C">
        <w:rPr>
          <w:rFonts w:ascii="Times New Roman" w:hAnsi="Times New Roman" w:cs="Times New Roman"/>
          <w:b/>
          <w:snapToGrid w:val="0"/>
          <w:sz w:val="24"/>
          <w:szCs w:val="24"/>
        </w:rPr>
        <w:t>AR</w:t>
      </w:r>
      <w:r w:rsidRPr="00BF0BF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Rate </w:t>
      </w:r>
      <w:r w:rsidR="005E095C">
        <w:rPr>
          <w:rFonts w:ascii="Times New Roman" w:hAnsi="Times New Roman" w:cs="Times New Roman"/>
          <w:b/>
          <w:snapToGrid w:val="0"/>
          <w:sz w:val="24"/>
          <w:szCs w:val="24"/>
        </w:rPr>
        <w:t>Schedule</w:t>
      </w:r>
      <w:r w:rsidRPr="00BF0BFA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5E095C">
        <w:rPr>
          <w:rFonts w:ascii="Times New Roman" w:hAnsi="Times New Roman" w:cs="Times New Roman"/>
          <w:snapToGrid w:val="0"/>
          <w:sz w:val="24"/>
          <w:szCs w:val="24"/>
        </w:rPr>
        <w:t xml:space="preserve">After </w:t>
      </w:r>
      <w:r w:rsidR="00C646F2">
        <w:rPr>
          <w:rFonts w:ascii="Times New Roman" w:hAnsi="Times New Roman" w:cs="Times New Roman"/>
          <w:snapToGrid w:val="0"/>
          <w:sz w:val="24"/>
          <w:szCs w:val="24"/>
        </w:rPr>
        <w:t>review</w:t>
      </w:r>
      <w:r w:rsidR="005E095C">
        <w:rPr>
          <w:rFonts w:ascii="Times New Roman" w:hAnsi="Times New Roman" w:cs="Times New Roman"/>
          <w:snapToGrid w:val="0"/>
          <w:sz w:val="24"/>
          <w:szCs w:val="24"/>
        </w:rPr>
        <w:t xml:space="preserve"> of</w:t>
      </w:r>
      <w:r w:rsidR="00C646F2">
        <w:rPr>
          <w:rFonts w:ascii="Times New Roman" w:hAnsi="Times New Roman" w:cs="Times New Roman"/>
          <w:snapToGrid w:val="0"/>
          <w:sz w:val="24"/>
          <w:szCs w:val="24"/>
        </w:rPr>
        <w:t xml:space="preserve"> the </w:t>
      </w:r>
      <w:r w:rsidR="005E095C">
        <w:rPr>
          <w:rFonts w:ascii="Times New Roman" w:hAnsi="Times New Roman" w:cs="Times New Roman"/>
          <w:snapToGrid w:val="0"/>
          <w:sz w:val="24"/>
          <w:szCs w:val="24"/>
        </w:rPr>
        <w:t>A</w:t>
      </w:r>
      <w:r w:rsidR="00047EE7">
        <w:rPr>
          <w:rFonts w:ascii="Times New Roman" w:hAnsi="Times New Roman" w:cs="Times New Roman"/>
          <w:snapToGrid w:val="0"/>
          <w:sz w:val="24"/>
          <w:szCs w:val="24"/>
        </w:rPr>
        <w:t>ll Requirements Project – Wholesale Power Rate Schedule</w:t>
      </w:r>
      <w:r w:rsidR="004802CC">
        <w:rPr>
          <w:rFonts w:ascii="Times New Roman" w:hAnsi="Times New Roman" w:cs="Times New Roman"/>
          <w:snapToGrid w:val="0"/>
          <w:sz w:val="24"/>
          <w:szCs w:val="24"/>
        </w:rPr>
        <w:t xml:space="preserve"> attached hereto as Exhibit A</w:t>
      </w:r>
      <w:r w:rsidR="00047EE7">
        <w:rPr>
          <w:rFonts w:ascii="Times New Roman" w:hAnsi="Times New Roman" w:cs="Times New Roman"/>
          <w:snapToGrid w:val="0"/>
          <w:sz w:val="24"/>
          <w:szCs w:val="24"/>
        </w:rPr>
        <w:t xml:space="preserve"> (the “AR Rate Schedule”)</w:t>
      </w:r>
      <w:r w:rsidR="005E095C">
        <w:rPr>
          <w:rFonts w:ascii="Times New Roman" w:hAnsi="Times New Roman" w:cs="Times New Roman"/>
          <w:snapToGrid w:val="0"/>
          <w:sz w:val="24"/>
          <w:szCs w:val="24"/>
        </w:rPr>
        <w:t xml:space="preserve">, the KYMEA Board of Directors </w:t>
      </w:r>
      <w:r w:rsidR="00C646F2">
        <w:rPr>
          <w:rFonts w:ascii="Times New Roman" w:hAnsi="Times New Roman" w:cs="Times New Roman"/>
          <w:snapToGrid w:val="0"/>
          <w:sz w:val="24"/>
          <w:szCs w:val="24"/>
        </w:rPr>
        <w:t>h</w:t>
      </w:r>
      <w:r w:rsidR="005E095C">
        <w:rPr>
          <w:rFonts w:ascii="Times New Roman" w:hAnsi="Times New Roman" w:cs="Times New Roman"/>
          <w:snapToGrid w:val="0"/>
          <w:sz w:val="24"/>
          <w:szCs w:val="24"/>
        </w:rPr>
        <w:t>ereby</w:t>
      </w:r>
      <w:r w:rsidR="00C646F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24A86">
        <w:rPr>
          <w:rFonts w:ascii="Times New Roman" w:hAnsi="Times New Roman" w:cs="Times New Roman"/>
          <w:snapToGrid w:val="0"/>
          <w:sz w:val="24"/>
          <w:szCs w:val="24"/>
        </w:rPr>
        <w:t>(</w:t>
      </w:r>
      <w:proofErr w:type="spellStart"/>
      <w:r w:rsidR="00C24A86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spellEnd"/>
      <w:r w:rsidR="00C24A86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="00C646F2">
        <w:rPr>
          <w:rFonts w:ascii="Times New Roman" w:hAnsi="Times New Roman" w:cs="Times New Roman"/>
          <w:snapToGrid w:val="0"/>
          <w:sz w:val="24"/>
          <w:szCs w:val="24"/>
        </w:rPr>
        <w:t>determine</w:t>
      </w:r>
      <w:r w:rsidR="005E095C">
        <w:rPr>
          <w:rFonts w:ascii="Times New Roman" w:hAnsi="Times New Roman" w:cs="Times New Roman"/>
          <w:snapToGrid w:val="0"/>
          <w:sz w:val="24"/>
          <w:szCs w:val="24"/>
        </w:rPr>
        <w:t>s</w:t>
      </w:r>
      <w:r w:rsidR="00C646F2">
        <w:rPr>
          <w:rFonts w:ascii="Times New Roman" w:hAnsi="Times New Roman" w:cs="Times New Roman"/>
          <w:snapToGrid w:val="0"/>
          <w:sz w:val="24"/>
          <w:szCs w:val="24"/>
        </w:rPr>
        <w:t xml:space="preserve"> that the </w:t>
      </w:r>
      <w:r w:rsidR="005E095C">
        <w:rPr>
          <w:rFonts w:ascii="Times New Roman" w:hAnsi="Times New Roman" w:cs="Times New Roman"/>
          <w:snapToGrid w:val="0"/>
          <w:sz w:val="24"/>
          <w:szCs w:val="24"/>
        </w:rPr>
        <w:t xml:space="preserve">AR </w:t>
      </w:r>
      <w:r w:rsidR="00C646F2">
        <w:rPr>
          <w:rFonts w:ascii="Times New Roman" w:hAnsi="Times New Roman" w:cs="Times New Roman"/>
          <w:snapToGrid w:val="0"/>
          <w:sz w:val="24"/>
          <w:szCs w:val="24"/>
        </w:rPr>
        <w:t xml:space="preserve">Rate </w:t>
      </w:r>
      <w:r w:rsidR="005E095C">
        <w:rPr>
          <w:rFonts w:ascii="Times New Roman" w:hAnsi="Times New Roman" w:cs="Times New Roman"/>
          <w:snapToGrid w:val="0"/>
          <w:sz w:val="24"/>
          <w:szCs w:val="24"/>
        </w:rPr>
        <w:t>Schedule</w:t>
      </w:r>
      <w:r w:rsidR="00C646F2">
        <w:rPr>
          <w:rFonts w:ascii="Times New Roman" w:hAnsi="Times New Roman" w:cs="Times New Roman"/>
          <w:snapToGrid w:val="0"/>
          <w:sz w:val="24"/>
          <w:szCs w:val="24"/>
        </w:rPr>
        <w:t xml:space="preserve"> has been developed in accordance with </w:t>
      </w:r>
      <w:r w:rsidR="00C646F2" w:rsidRPr="00663CB6">
        <w:rPr>
          <w:rFonts w:ascii="Times New Roman" w:hAnsi="Times New Roman" w:cs="Times New Roman"/>
          <w:color w:val="050505"/>
          <w:sz w:val="24"/>
          <w:szCs w:val="24"/>
        </w:rPr>
        <w:t>generally accepted ratemaking principles and procedures</w:t>
      </w:r>
      <w:r w:rsidR="00C646F2">
        <w:rPr>
          <w:rFonts w:ascii="Times New Roman" w:hAnsi="Times New Roman" w:cs="Times New Roman"/>
          <w:color w:val="050505"/>
          <w:sz w:val="24"/>
          <w:szCs w:val="24"/>
        </w:rPr>
        <w:t xml:space="preserve"> and is consistent with </w:t>
      </w:r>
      <w:r w:rsidR="00945C6D">
        <w:rPr>
          <w:rFonts w:ascii="Times New Roman" w:hAnsi="Times New Roman" w:cs="Times New Roman"/>
          <w:color w:val="050505"/>
          <w:sz w:val="24"/>
          <w:szCs w:val="24"/>
        </w:rPr>
        <w:t>p</w:t>
      </w:r>
      <w:r w:rsidR="00C646F2">
        <w:rPr>
          <w:rFonts w:ascii="Times New Roman" w:hAnsi="Times New Roman" w:cs="Times New Roman"/>
          <w:color w:val="050505"/>
          <w:sz w:val="24"/>
          <w:szCs w:val="24"/>
        </w:rPr>
        <w:t xml:space="preserve">rudent </w:t>
      </w:r>
      <w:r w:rsidR="00945C6D">
        <w:rPr>
          <w:rFonts w:ascii="Times New Roman" w:hAnsi="Times New Roman" w:cs="Times New Roman"/>
          <w:color w:val="050505"/>
          <w:sz w:val="24"/>
          <w:szCs w:val="24"/>
        </w:rPr>
        <w:t>u</w:t>
      </w:r>
      <w:r w:rsidR="00C646F2">
        <w:rPr>
          <w:rFonts w:ascii="Times New Roman" w:hAnsi="Times New Roman" w:cs="Times New Roman"/>
          <w:color w:val="050505"/>
          <w:sz w:val="24"/>
          <w:szCs w:val="24"/>
        </w:rPr>
        <w:t xml:space="preserve">tility </w:t>
      </w:r>
      <w:r w:rsidR="00945C6D">
        <w:rPr>
          <w:rFonts w:ascii="Times New Roman" w:hAnsi="Times New Roman" w:cs="Times New Roman"/>
          <w:color w:val="050505"/>
          <w:sz w:val="24"/>
          <w:szCs w:val="24"/>
        </w:rPr>
        <w:t>p</w:t>
      </w:r>
      <w:r w:rsidR="00C646F2">
        <w:rPr>
          <w:rFonts w:ascii="Times New Roman" w:hAnsi="Times New Roman" w:cs="Times New Roman"/>
          <w:color w:val="050505"/>
          <w:sz w:val="24"/>
          <w:szCs w:val="24"/>
        </w:rPr>
        <w:t xml:space="preserve">ractice and will </w:t>
      </w:r>
      <w:r w:rsidR="00C646F2" w:rsidRPr="00663CB6">
        <w:rPr>
          <w:rFonts w:ascii="Times New Roman" w:hAnsi="Times New Roman" w:cs="Times New Roman"/>
          <w:color w:val="050505"/>
          <w:sz w:val="24"/>
          <w:szCs w:val="24"/>
        </w:rPr>
        <w:t>provi</w:t>
      </w:r>
      <w:r w:rsidR="00C646F2" w:rsidRPr="00663CB6">
        <w:rPr>
          <w:rFonts w:ascii="Times New Roman" w:hAnsi="Times New Roman" w:cs="Times New Roman"/>
          <w:color w:val="1C1C1C"/>
          <w:sz w:val="24"/>
          <w:szCs w:val="24"/>
        </w:rPr>
        <w:t xml:space="preserve">de </w:t>
      </w:r>
      <w:r w:rsidR="00C646F2" w:rsidRPr="00663CB6">
        <w:rPr>
          <w:rFonts w:ascii="Times New Roman" w:hAnsi="Times New Roman" w:cs="Times New Roman"/>
          <w:color w:val="050505"/>
          <w:sz w:val="24"/>
          <w:szCs w:val="24"/>
        </w:rPr>
        <w:t>r</w:t>
      </w:r>
      <w:r w:rsidR="00C646F2" w:rsidRPr="00663CB6">
        <w:rPr>
          <w:rFonts w:ascii="Times New Roman" w:hAnsi="Times New Roman" w:cs="Times New Roman"/>
          <w:color w:val="1C1C1C"/>
          <w:sz w:val="24"/>
          <w:szCs w:val="24"/>
        </w:rPr>
        <w:t>eve</w:t>
      </w:r>
      <w:r w:rsidR="00C646F2" w:rsidRPr="00663CB6">
        <w:rPr>
          <w:rFonts w:ascii="Times New Roman" w:hAnsi="Times New Roman" w:cs="Times New Roman"/>
          <w:color w:val="050505"/>
          <w:sz w:val="24"/>
          <w:szCs w:val="24"/>
        </w:rPr>
        <w:t>nu</w:t>
      </w:r>
      <w:r w:rsidR="00C646F2" w:rsidRPr="00663CB6">
        <w:rPr>
          <w:rFonts w:ascii="Times New Roman" w:hAnsi="Times New Roman" w:cs="Times New Roman"/>
          <w:color w:val="1C1C1C"/>
          <w:sz w:val="24"/>
          <w:szCs w:val="24"/>
        </w:rPr>
        <w:t xml:space="preserve">es </w:t>
      </w:r>
      <w:r w:rsidR="00C646F2" w:rsidRPr="00663CB6">
        <w:rPr>
          <w:rFonts w:ascii="Times New Roman" w:hAnsi="Times New Roman" w:cs="Times New Roman"/>
          <w:color w:val="050505"/>
          <w:sz w:val="24"/>
          <w:szCs w:val="24"/>
        </w:rPr>
        <w:t>whi</w:t>
      </w:r>
      <w:r w:rsidR="00C646F2" w:rsidRPr="00663CB6">
        <w:rPr>
          <w:rFonts w:ascii="Times New Roman" w:hAnsi="Times New Roman" w:cs="Times New Roman"/>
          <w:color w:val="1C1C1C"/>
          <w:sz w:val="24"/>
          <w:szCs w:val="24"/>
        </w:rPr>
        <w:t>c</w:t>
      </w:r>
      <w:r w:rsidR="00C646F2" w:rsidRPr="00663CB6">
        <w:rPr>
          <w:rFonts w:ascii="Times New Roman" w:hAnsi="Times New Roman" w:cs="Times New Roman"/>
          <w:color w:val="050505"/>
          <w:sz w:val="24"/>
          <w:szCs w:val="24"/>
        </w:rPr>
        <w:t xml:space="preserve">h </w:t>
      </w:r>
      <w:r w:rsidR="00C646F2" w:rsidRPr="00663CB6">
        <w:rPr>
          <w:rFonts w:ascii="Times New Roman" w:hAnsi="Times New Roman" w:cs="Times New Roman"/>
          <w:color w:val="1C1C1C"/>
          <w:sz w:val="24"/>
          <w:szCs w:val="24"/>
        </w:rPr>
        <w:t>ar</w:t>
      </w:r>
      <w:r w:rsidR="00C646F2" w:rsidRPr="00663CB6">
        <w:rPr>
          <w:rFonts w:ascii="Times New Roman" w:hAnsi="Times New Roman" w:cs="Times New Roman"/>
          <w:color w:val="050505"/>
          <w:sz w:val="24"/>
          <w:szCs w:val="24"/>
        </w:rPr>
        <w:t xml:space="preserve">e </w:t>
      </w:r>
      <w:r w:rsidR="00C646F2" w:rsidRPr="00663CB6">
        <w:rPr>
          <w:rFonts w:ascii="Times New Roman" w:hAnsi="Times New Roman" w:cs="Times New Roman"/>
          <w:color w:val="1C1C1C"/>
          <w:sz w:val="24"/>
          <w:szCs w:val="24"/>
        </w:rPr>
        <w:t>su</w:t>
      </w:r>
      <w:r w:rsidR="00C646F2" w:rsidRPr="00663CB6">
        <w:rPr>
          <w:rFonts w:ascii="Times New Roman" w:hAnsi="Times New Roman" w:cs="Times New Roman"/>
          <w:color w:val="050505"/>
          <w:sz w:val="24"/>
          <w:szCs w:val="24"/>
        </w:rPr>
        <w:t>ffi</w:t>
      </w:r>
      <w:r w:rsidR="00C646F2" w:rsidRPr="00663CB6">
        <w:rPr>
          <w:rFonts w:ascii="Times New Roman" w:hAnsi="Times New Roman" w:cs="Times New Roman"/>
          <w:color w:val="1C1C1C"/>
          <w:sz w:val="24"/>
          <w:szCs w:val="24"/>
        </w:rPr>
        <w:t>cie</w:t>
      </w:r>
      <w:r w:rsidR="00C646F2" w:rsidRPr="00663CB6">
        <w:rPr>
          <w:rFonts w:ascii="Times New Roman" w:hAnsi="Times New Roman" w:cs="Times New Roman"/>
          <w:color w:val="050505"/>
          <w:sz w:val="24"/>
          <w:szCs w:val="24"/>
        </w:rPr>
        <w:t>n</w:t>
      </w:r>
      <w:r w:rsidR="00C646F2" w:rsidRPr="00663CB6">
        <w:rPr>
          <w:rFonts w:ascii="Times New Roman" w:hAnsi="Times New Roman" w:cs="Times New Roman"/>
          <w:color w:val="1C1C1C"/>
          <w:sz w:val="24"/>
          <w:szCs w:val="24"/>
        </w:rPr>
        <w:t>t</w:t>
      </w:r>
      <w:r w:rsidR="00C646F2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="00C646F2" w:rsidRPr="00663CB6">
        <w:rPr>
          <w:rFonts w:ascii="Times New Roman" w:hAnsi="Times New Roman" w:cs="Times New Roman"/>
          <w:color w:val="1C1C1C"/>
          <w:sz w:val="24"/>
          <w:szCs w:val="24"/>
        </w:rPr>
        <w:t xml:space="preserve">to </w:t>
      </w:r>
      <w:r w:rsidR="00C646F2" w:rsidRPr="00663CB6">
        <w:rPr>
          <w:rFonts w:ascii="Times New Roman" w:hAnsi="Times New Roman" w:cs="Times New Roman"/>
          <w:color w:val="050505"/>
          <w:sz w:val="24"/>
          <w:szCs w:val="24"/>
        </w:rPr>
        <w:t xml:space="preserve">meet </w:t>
      </w:r>
      <w:r w:rsidR="00C646F2" w:rsidRPr="00663CB6">
        <w:rPr>
          <w:rFonts w:ascii="Times New Roman" w:hAnsi="Times New Roman" w:cs="Times New Roman"/>
          <w:color w:val="1C1C1C"/>
          <w:sz w:val="24"/>
          <w:szCs w:val="24"/>
        </w:rPr>
        <w:t>t</w:t>
      </w:r>
      <w:r w:rsidR="00C646F2" w:rsidRPr="00663CB6">
        <w:rPr>
          <w:rFonts w:ascii="Times New Roman" w:hAnsi="Times New Roman" w:cs="Times New Roman"/>
          <w:color w:val="050505"/>
          <w:sz w:val="24"/>
          <w:szCs w:val="24"/>
        </w:rPr>
        <w:t xml:space="preserve">he </w:t>
      </w:r>
      <w:r w:rsidR="00C646F2" w:rsidRPr="00663CB6">
        <w:rPr>
          <w:rFonts w:ascii="Times New Roman" w:hAnsi="Times New Roman" w:cs="Times New Roman"/>
          <w:color w:val="1C1C1C"/>
          <w:sz w:val="24"/>
          <w:szCs w:val="24"/>
        </w:rPr>
        <w:t xml:space="preserve">anticipated </w:t>
      </w:r>
      <w:r w:rsidR="00C646F2" w:rsidRPr="00663CB6">
        <w:rPr>
          <w:rFonts w:ascii="Times New Roman" w:hAnsi="Times New Roman" w:cs="Times New Roman"/>
          <w:color w:val="050505"/>
          <w:sz w:val="24"/>
          <w:szCs w:val="24"/>
        </w:rPr>
        <w:t>Re</w:t>
      </w:r>
      <w:r w:rsidR="00C646F2" w:rsidRPr="00663CB6">
        <w:rPr>
          <w:rFonts w:ascii="Times New Roman" w:hAnsi="Times New Roman" w:cs="Times New Roman"/>
          <w:color w:val="1C1C1C"/>
          <w:sz w:val="24"/>
          <w:szCs w:val="24"/>
        </w:rPr>
        <w:t>ve</w:t>
      </w:r>
      <w:r w:rsidR="00C646F2" w:rsidRPr="00663CB6">
        <w:rPr>
          <w:rFonts w:ascii="Times New Roman" w:hAnsi="Times New Roman" w:cs="Times New Roman"/>
          <w:color w:val="050505"/>
          <w:sz w:val="24"/>
          <w:szCs w:val="24"/>
        </w:rPr>
        <w:t>n</w:t>
      </w:r>
      <w:r w:rsidR="00C646F2" w:rsidRPr="00663CB6">
        <w:rPr>
          <w:rFonts w:ascii="Times New Roman" w:hAnsi="Times New Roman" w:cs="Times New Roman"/>
          <w:color w:val="1C1C1C"/>
          <w:sz w:val="24"/>
          <w:szCs w:val="24"/>
        </w:rPr>
        <w:t xml:space="preserve">ue </w:t>
      </w:r>
      <w:r w:rsidR="00C646F2" w:rsidRPr="00663CB6">
        <w:rPr>
          <w:rFonts w:ascii="Times New Roman" w:hAnsi="Times New Roman" w:cs="Times New Roman"/>
          <w:color w:val="050505"/>
          <w:sz w:val="24"/>
          <w:szCs w:val="24"/>
        </w:rPr>
        <w:t>R</w:t>
      </w:r>
      <w:r w:rsidR="00C646F2" w:rsidRPr="00663CB6">
        <w:rPr>
          <w:rFonts w:ascii="Times New Roman" w:hAnsi="Times New Roman" w:cs="Times New Roman"/>
          <w:color w:val="1C1C1C"/>
          <w:sz w:val="24"/>
          <w:szCs w:val="24"/>
        </w:rPr>
        <w:t>e</w:t>
      </w:r>
      <w:r w:rsidR="00C646F2" w:rsidRPr="00663CB6">
        <w:rPr>
          <w:rFonts w:ascii="Times New Roman" w:hAnsi="Times New Roman" w:cs="Times New Roman"/>
          <w:color w:val="050505"/>
          <w:sz w:val="24"/>
          <w:szCs w:val="24"/>
        </w:rPr>
        <w:t>q</w:t>
      </w:r>
      <w:r w:rsidR="00C646F2" w:rsidRPr="00663CB6">
        <w:rPr>
          <w:rFonts w:ascii="Times New Roman" w:hAnsi="Times New Roman" w:cs="Times New Roman"/>
          <w:color w:val="1C1C1C"/>
          <w:sz w:val="24"/>
          <w:szCs w:val="24"/>
        </w:rPr>
        <w:t>u</w:t>
      </w:r>
      <w:r w:rsidR="00C646F2" w:rsidRPr="00663CB6">
        <w:rPr>
          <w:rFonts w:ascii="Times New Roman" w:hAnsi="Times New Roman" w:cs="Times New Roman"/>
          <w:color w:val="050505"/>
          <w:sz w:val="24"/>
          <w:szCs w:val="24"/>
        </w:rPr>
        <w:t>ir</w:t>
      </w:r>
      <w:r w:rsidR="00C646F2" w:rsidRPr="00663CB6">
        <w:rPr>
          <w:rFonts w:ascii="Times New Roman" w:hAnsi="Times New Roman" w:cs="Times New Roman"/>
          <w:color w:val="1C1C1C"/>
          <w:sz w:val="24"/>
          <w:szCs w:val="24"/>
        </w:rPr>
        <w:t>e</w:t>
      </w:r>
      <w:r w:rsidR="00C646F2" w:rsidRPr="00663CB6">
        <w:rPr>
          <w:rFonts w:ascii="Times New Roman" w:hAnsi="Times New Roman" w:cs="Times New Roman"/>
          <w:color w:val="050505"/>
          <w:sz w:val="24"/>
          <w:szCs w:val="24"/>
        </w:rPr>
        <w:t>m</w:t>
      </w:r>
      <w:r w:rsidR="00C646F2" w:rsidRPr="00663CB6">
        <w:rPr>
          <w:rFonts w:ascii="Times New Roman" w:hAnsi="Times New Roman" w:cs="Times New Roman"/>
          <w:color w:val="1C1C1C"/>
          <w:sz w:val="24"/>
          <w:szCs w:val="24"/>
        </w:rPr>
        <w:t>e</w:t>
      </w:r>
      <w:r w:rsidR="00C646F2" w:rsidRPr="00663CB6">
        <w:rPr>
          <w:rFonts w:ascii="Times New Roman" w:hAnsi="Times New Roman" w:cs="Times New Roman"/>
          <w:color w:val="050505"/>
          <w:sz w:val="24"/>
          <w:szCs w:val="24"/>
        </w:rPr>
        <w:t>nt</w:t>
      </w:r>
      <w:r w:rsidR="00C646F2" w:rsidRPr="00663CB6">
        <w:rPr>
          <w:rFonts w:ascii="Times New Roman" w:hAnsi="Times New Roman" w:cs="Times New Roman"/>
          <w:color w:val="1C1C1C"/>
          <w:sz w:val="24"/>
          <w:szCs w:val="24"/>
        </w:rPr>
        <w:t>s o</w:t>
      </w:r>
      <w:r w:rsidR="00C646F2" w:rsidRPr="00663CB6">
        <w:rPr>
          <w:rFonts w:ascii="Times New Roman" w:hAnsi="Times New Roman" w:cs="Times New Roman"/>
          <w:color w:val="050505"/>
          <w:sz w:val="24"/>
          <w:szCs w:val="24"/>
        </w:rPr>
        <w:t xml:space="preserve">f </w:t>
      </w:r>
      <w:r w:rsidR="00C646F2">
        <w:rPr>
          <w:rFonts w:ascii="Times New Roman" w:hAnsi="Times New Roman" w:cs="Times New Roman"/>
          <w:color w:val="050505"/>
          <w:sz w:val="24"/>
          <w:szCs w:val="24"/>
        </w:rPr>
        <w:t>K</w:t>
      </w:r>
      <w:r w:rsidR="005E095C">
        <w:rPr>
          <w:rFonts w:ascii="Times New Roman" w:hAnsi="Times New Roman" w:cs="Times New Roman"/>
          <w:color w:val="050505"/>
          <w:sz w:val="24"/>
          <w:szCs w:val="24"/>
        </w:rPr>
        <w:t>Y</w:t>
      </w:r>
      <w:r w:rsidR="00C646F2">
        <w:rPr>
          <w:rFonts w:ascii="Times New Roman" w:hAnsi="Times New Roman" w:cs="Times New Roman"/>
          <w:color w:val="050505"/>
          <w:sz w:val="24"/>
          <w:szCs w:val="24"/>
        </w:rPr>
        <w:t>MEA in providing electric power and energy to its AR Members</w:t>
      </w:r>
      <w:r w:rsidR="00C24A86">
        <w:rPr>
          <w:rFonts w:ascii="Times New Roman" w:hAnsi="Times New Roman" w:cs="Times New Roman"/>
          <w:color w:val="050505"/>
          <w:sz w:val="24"/>
          <w:szCs w:val="24"/>
        </w:rPr>
        <w:t xml:space="preserve"> and (ii) approves the AR Rate Schedule and the implementation of the rates set forth therein.</w:t>
      </w:r>
    </w:p>
    <w:p w:rsidR="00564414" w:rsidRDefault="00C646F2" w:rsidP="00564414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r w:rsidR="000272EC" w:rsidRPr="000272EC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0272EC" w:rsidRPr="000272E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Section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3</w:t>
      </w:r>
      <w:r w:rsidR="000272EC" w:rsidRPr="000272EC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  <w:r w:rsidR="000272EC" w:rsidRPr="000272EC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="00C24A86">
        <w:rPr>
          <w:rFonts w:ascii="Times New Roman" w:hAnsi="Times New Roman" w:cs="Times New Roman"/>
          <w:b/>
          <w:snapToGrid w:val="0"/>
          <w:sz w:val="24"/>
          <w:szCs w:val="24"/>
        </w:rPr>
        <w:t>Approval of Rates for Other Member Services and Benefits.</w:t>
      </w:r>
      <w:r w:rsidR="000272EC" w:rsidRPr="000272EC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C24A86">
        <w:rPr>
          <w:rFonts w:ascii="Times New Roman" w:hAnsi="Times New Roman" w:cs="Times New Roman"/>
          <w:snapToGrid w:val="0"/>
          <w:sz w:val="24"/>
          <w:szCs w:val="24"/>
        </w:rPr>
        <w:t>The KYMEA Board of Directors has reviewed and approved a proposed budget for Fiscal Year ending June 30, 2020 and hereby adopts and approves a rate schedule which is attached hereto as Exhibit B (the “Member Rate Schedule”) for services and benefits for those Members who are not AR Members.</w:t>
      </w:r>
    </w:p>
    <w:p w:rsidR="00564414" w:rsidRDefault="00564414" w:rsidP="00564414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564414">
        <w:rPr>
          <w:rFonts w:ascii="Times New Roman" w:hAnsi="Times New Roman" w:cs="Times New Roman"/>
          <w:b/>
          <w:snapToGrid w:val="0"/>
          <w:sz w:val="24"/>
          <w:szCs w:val="24"/>
        </w:rPr>
        <w:t>Section 4.</w:t>
      </w:r>
      <w:r w:rsidRPr="00564414">
        <w:rPr>
          <w:rFonts w:ascii="Times New Roman" w:hAnsi="Times New Roman" w:cs="Times New Roman"/>
          <w:b/>
          <w:snapToGrid w:val="0"/>
          <w:sz w:val="24"/>
          <w:szCs w:val="24"/>
        </w:rPr>
        <w:tab/>
        <w:t>Effective Dates.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The AR Rate Schedule and the Member Rate Schedule shall be effective May 1, 2019 and shall remain </w:t>
      </w:r>
      <w:r w:rsidR="00945C6D">
        <w:rPr>
          <w:rFonts w:ascii="Times New Roman" w:hAnsi="Times New Roman" w:cs="Times New Roman"/>
          <w:snapToGrid w:val="0"/>
          <w:sz w:val="24"/>
          <w:szCs w:val="24"/>
        </w:rPr>
        <w:t>in effect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until amended and revised. </w:t>
      </w:r>
    </w:p>
    <w:p w:rsidR="006B3CE2" w:rsidRDefault="006B3CE2" w:rsidP="00945C6D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646B7" w:rsidRPr="00A734BE" w:rsidRDefault="00564414" w:rsidP="00945C6D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Adopted and approved on </w:t>
      </w:r>
      <w:r w:rsidR="004802CC">
        <w:rPr>
          <w:rFonts w:ascii="Times New Roman" w:hAnsi="Times New Roman" w:cs="Times New Roman"/>
          <w:snapToGrid w:val="0"/>
          <w:sz w:val="24"/>
          <w:szCs w:val="24"/>
        </w:rPr>
        <w:t xml:space="preserve">February </w:t>
      </w:r>
      <w:r>
        <w:rPr>
          <w:rFonts w:ascii="Times New Roman" w:hAnsi="Times New Roman" w:cs="Times New Roman"/>
          <w:snapToGrid w:val="0"/>
          <w:sz w:val="24"/>
          <w:szCs w:val="24"/>
        </w:rPr>
        <w:t>___, 2019</w:t>
      </w:r>
    </w:p>
    <w:sectPr w:rsidR="00E646B7" w:rsidRPr="00A734BE" w:rsidSect="00047EE7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769A7"/>
    <w:multiLevelType w:val="multilevel"/>
    <w:tmpl w:val="03F05298"/>
    <w:lvl w:ilvl="0">
      <w:start w:val="1"/>
      <w:numFmt w:val="decimal"/>
      <w:pStyle w:val="Heading1"/>
      <w:suff w:val="space"/>
      <w:lvlText w:val="SECTION %1."/>
      <w:lvlJc w:val="left"/>
      <w:pPr>
        <w:ind w:left="2970" w:hanging="720"/>
      </w:pPr>
      <w:rPr>
        <w:rFonts w:ascii="Times New Roman Bold" w:hAnsi="Times New Roman Bold" w:hint="default"/>
        <w:b/>
        <w:i w:val="0"/>
        <w:caps/>
        <w:spacing w:val="0"/>
        <w:w w:val="100"/>
        <w:sz w:val="24"/>
      </w:rPr>
    </w:lvl>
    <w:lvl w:ilvl="1">
      <w:start w:val="1"/>
      <w:numFmt w:val="lowerLetter"/>
      <w:pStyle w:val="BodyText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B6"/>
    <w:rsid w:val="000272EC"/>
    <w:rsid w:val="00047EE7"/>
    <w:rsid w:val="004802CC"/>
    <w:rsid w:val="00564414"/>
    <w:rsid w:val="005912D8"/>
    <w:rsid w:val="005E095C"/>
    <w:rsid w:val="00663CB6"/>
    <w:rsid w:val="006B3CE2"/>
    <w:rsid w:val="00945C6D"/>
    <w:rsid w:val="00A734BE"/>
    <w:rsid w:val="00B90C7F"/>
    <w:rsid w:val="00BF0BFA"/>
    <w:rsid w:val="00C24A86"/>
    <w:rsid w:val="00C646F2"/>
    <w:rsid w:val="00F9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ED0A8-91AB-4032-8B4D-D38311EE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CB6"/>
    <w:pPr>
      <w:keepNext/>
      <w:numPr>
        <w:numId w:val="1"/>
      </w:numPr>
      <w:spacing w:after="240" w:line="240" w:lineRule="auto"/>
      <w:outlineLvl w:val="0"/>
    </w:pPr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3CB6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663CB6"/>
    <w:pPr>
      <w:numPr>
        <w:ilvl w:val="1"/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63CB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646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Musson</dc:creator>
  <cp:keywords/>
  <dc:description/>
  <cp:lastModifiedBy>Charlie Musson</cp:lastModifiedBy>
  <cp:revision>5</cp:revision>
  <dcterms:created xsi:type="dcterms:W3CDTF">2019-02-17T15:06:00Z</dcterms:created>
  <dcterms:modified xsi:type="dcterms:W3CDTF">2019-02-26T22:55:00Z</dcterms:modified>
</cp:coreProperties>
</file>