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B783" w14:textId="77777777" w:rsidR="00E75E98" w:rsidRDefault="00E75E98" w:rsidP="00F72709">
      <w:pPr>
        <w:spacing w:after="0" w:line="240" w:lineRule="auto"/>
        <w:jc w:val="both"/>
        <w:rPr>
          <w:u w:val="single"/>
        </w:rPr>
      </w:pPr>
      <w:bookmarkStart w:id="0" w:name="_GoBack"/>
      <w:bookmarkEnd w:id="0"/>
    </w:p>
    <w:p w14:paraId="72F14C14" w14:textId="1D1EC023" w:rsidR="00910906" w:rsidRPr="004A27D0" w:rsidRDefault="00910906" w:rsidP="00F727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4A27D0">
        <w:rPr>
          <w:u w:val="single"/>
        </w:rPr>
        <w:t>Availability</w:t>
      </w:r>
    </w:p>
    <w:p w14:paraId="2E0095B3" w14:textId="77777777" w:rsidR="002F4F4A" w:rsidRDefault="002F4F4A" w:rsidP="00F72709">
      <w:pPr>
        <w:spacing w:after="0" w:line="240" w:lineRule="auto"/>
        <w:jc w:val="both"/>
      </w:pPr>
    </w:p>
    <w:p w14:paraId="677BC65F" w14:textId="5321B985" w:rsidR="00910906" w:rsidRDefault="00910906" w:rsidP="00F72709">
      <w:pPr>
        <w:spacing w:after="0" w:line="240" w:lineRule="auto"/>
        <w:ind w:left="360"/>
        <w:jc w:val="both"/>
      </w:pPr>
      <w:r>
        <w:t xml:space="preserve">This rate schedule for wholesale power is available to Members purchasing power and energy </w:t>
      </w:r>
      <w:r w:rsidR="004804A5">
        <w:t xml:space="preserve">and related </w:t>
      </w:r>
      <w:r w:rsidR="008E5ABB">
        <w:t xml:space="preserve">services </w:t>
      </w:r>
      <w:r>
        <w:t xml:space="preserve">from the Agency under the All Requirements Power Sales Contract (“Contract”). </w:t>
      </w:r>
    </w:p>
    <w:p w14:paraId="25813FB0" w14:textId="77777777" w:rsidR="000E7E18" w:rsidRDefault="000E7E18" w:rsidP="00F72709">
      <w:pPr>
        <w:spacing w:after="0" w:line="240" w:lineRule="auto"/>
        <w:jc w:val="both"/>
      </w:pPr>
    </w:p>
    <w:p w14:paraId="60985CA8" w14:textId="77777777" w:rsidR="00910906" w:rsidRPr="002F4F4A" w:rsidRDefault="00910906" w:rsidP="00F727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2F4F4A">
        <w:rPr>
          <w:u w:val="single"/>
        </w:rPr>
        <w:t>Applicability</w:t>
      </w:r>
    </w:p>
    <w:p w14:paraId="5027920A" w14:textId="77777777" w:rsidR="002F4F4A" w:rsidRDefault="002F4F4A" w:rsidP="00F72709">
      <w:pPr>
        <w:spacing w:after="0" w:line="240" w:lineRule="auto"/>
        <w:jc w:val="both"/>
      </w:pPr>
    </w:p>
    <w:p w14:paraId="191A70E3" w14:textId="4FFB6854" w:rsidR="00910906" w:rsidRDefault="00910906" w:rsidP="00F72709">
      <w:pPr>
        <w:spacing w:after="0" w:line="240" w:lineRule="auto"/>
        <w:ind w:left="360"/>
        <w:jc w:val="both"/>
      </w:pPr>
      <w:r>
        <w:t xml:space="preserve">This </w:t>
      </w:r>
      <w:r w:rsidR="00B80FA5">
        <w:t xml:space="preserve">rate schedule </w:t>
      </w:r>
      <w:r>
        <w:t xml:space="preserve">is applicable to </w:t>
      </w:r>
      <w:r w:rsidR="00B80FA5">
        <w:t>M</w:t>
      </w:r>
      <w:r>
        <w:t>ember</w:t>
      </w:r>
      <w:r w:rsidR="00B80FA5">
        <w:t>s</w:t>
      </w:r>
      <w:r w:rsidR="004804A5">
        <w:t xml:space="preserve"> taking service from the Agency under </w:t>
      </w:r>
      <w:r w:rsidR="00BD4ADA">
        <w:t>the Contract</w:t>
      </w:r>
      <w:r w:rsidR="00482797">
        <w:t xml:space="preserve"> (“AR Members”)</w:t>
      </w:r>
      <w:r>
        <w:t>.</w:t>
      </w:r>
    </w:p>
    <w:p w14:paraId="2669737B" w14:textId="77777777" w:rsidR="002F4F4A" w:rsidRDefault="002F4F4A" w:rsidP="00F72709">
      <w:pPr>
        <w:spacing w:after="0" w:line="240" w:lineRule="auto"/>
        <w:jc w:val="both"/>
      </w:pPr>
    </w:p>
    <w:p w14:paraId="3680064F" w14:textId="77777777" w:rsidR="00B80FA5" w:rsidRPr="002F4F4A" w:rsidRDefault="00B80FA5" w:rsidP="00F727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2F4F4A">
        <w:rPr>
          <w:u w:val="single"/>
        </w:rPr>
        <w:t>Character of Service</w:t>
      </w:r>
    </w:p>
    <w:p w14:paraId="687EC942" w14:textId="77777777" w:rsidR="002F4F4A" w:rsidRDefault="002F4F4A" w:rsidP="00F72709">
      <w:pPr>
        <w:spacing w:after="0" w:line="240" w:lineRule="auto"/>
        <w:jc w:val="both"/>
      </w:pPr>
    </w:p>
    <w:p w14:paraId="62FBCA88" w14:textId="32EA4142" w:rsidR="00B80FA5" w:rsidRDefault="00B80FA5" w:rsidP="00F72709">
      <w:pPr>
        <w:spacing w:after="0" w:line="240" w:lineRule="auto"/>
        <w:ind w:left="360"/>
        <w:jc w:val="both"/>
      </w:pPr>
      <w:r>
        <w:t>Wholesale power furnished under this rate schedule at one or more Points of Delivery as set forth in Schedule A shall be sixty-hertz, three-phase, alternating current.</w:t>
      </w:r>
    </w:p>
    <w:p w14:paraId="7095B046" w14:textId="5AC11281" w:rsidR="002F4F4A" w:rsidRDefault="002F4F4A" w:rsidP="00F72709">
      <w:pPr>
        <w:spacing w:after="0" w:line="240" w:lineRule="auto"/>
        <w:jc w:val="both"/>
      </w:pPr>
    </w:p>
    <w:p w14:paraId="39986AB6" w14:textId="77777777" w:rsidR="00910906" w:rsidRPr="002F4F4A" w:rsidRDefault="00910906" w:rsidP="00F727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2F4F4A">
        <w:rPr>
          <w:u w:val="single"/>
        </w:rPr>
        <w:t>Monthly Rate</w:t>
      </w:r>
      <w:r w:rsidR="00B80FA5" w:rsidRPr="002F4F4A">
        <w:rPr>
          <w:u w:val="single"/>
        </w:rPr>
        <w:t>s and Charges</w:t>
      </w:r>
    </w:p>
    <w:p w14:paraId="27429692" w14:textId="2A3608EE" w:rsidR="002F4F4A" w:rsidRDefault="002F4F4A" w:rsidP="00F72709">
      <w:pPr>
        <w:spacing w:after="0" w:line="240" w:lineRule="auto"/>
        <w:jc w:val="both"/>
      </w:pPr>
    </w:p>
    <w:p w14:paraId="40971955" w14:textId="48309B32" w:rsidR="00B80FA5" w:rsidRDefault="00B80FA5" w:rsidP="00F72709">
      <w:pPr>
        <w:spacing w:after="0" w:line="240" w:lineRule="auto"/>
        <w:ind w:left="360"/>
        <w:jc w:val="both"/>
      </w:pPr>
      <w:r>
        <w:t xml:space="preserve">The Member’s </w:t>
      </w:r>
      <w:r w:rsidR="00BF48A1">
        <w:t xml:space="preserve">monthly </w:t>
      </w:r>
      <w:r>
        <w:t>bill will include the following charges:</w:t>
      </w:r>
    </w:p>
    <w:p w14:paraId="789C9EAB" w14:textId="72A0B155" w:rsidR="00A87A93" w:rsidRDefault="00A87A93" w:rsidP="00F72709">
      <w:pPr>
        <w:spacing w:after="0" w:line="240" w:lineRule="auto"/>
        <w:jc w:val="both"/>
      </w:pPr>
    </w:p>
    <w:p w14:paraId="7C08BB88" w14:textId="5B719E80" w:rsidR="00A87A93" w:rsidRPr="000938A4" w:rsidRDefault="00BF48A1" w:rsidP="00F72709">
      <w:pPr>
        <w:spacing w:after="0" w:line="240" w:lineRule="auto"/>
        <w:ind w:left="720"/>
        <w:jc w:val="both"/>
      </w:pPr>
      <w:r w:rsidRPr="000938A4">
        <w:t>AR Project Charges</w:t>
      </w:r>
    </w:p>
    <w:p w14:paraId="2CA12E91" w14:textId="0589DB68" w:rsidR="00910906" w:rsidRDefault="00D82DF7" w:rsidP="004D63DD">
      <w:pPr>
        <w:tabs>
          <w:tab w:val="left" w:pos="5040"/>
        </w:tabs>
        <w:spacing w:before="120" w:after="0" w:line="240" w:lineRule="auto"/>
        <w:ind w:left="5040" w:hanging="3960"/>
      </w:pPr>
      <w:r>
        <w:t>Demand Charge</w:t>
      </w:r>
      <w:r w:rsidR="00525085">
        <w:tab/>
      </w:r>
      <w:r w:rsidR="00910906">
        <w:t>$</w:t>
      </w:r>
      <w:r w:rsidR="00B80FA5">
        <w:t>1</w:t>
      </w:r>
      <w:r w:rsidR="000938A4">
        <w:t>3</w:t>
      </w:r>
      <w:r w:rsidR="00B80FA5">
        <w:t>.</w:t>
      </w:r>
      <w:r w:rsidR="000938A4">
        <w:t>515</w:t>
      </w:r>
      <w:r w:rsidR="00910906">
        <w:t xml:space="preserve"> per kW </w:t>
      </w:r>
      <w:r w:rsidR="00CB56A2">
        <w:t xml:space="preserve">times </w:t>
      </w:r>
      <w:r w:rsidR="00854F60">
        <w:t>Mon</w:t>
      </w:r>
      <w:r w:rsidR="00AC4188">
        <w:t>thly Billing</w:t>
      </w:r>
      <w:r w:rsidR="00B80FA5">
        <w:t xml:space="preserve"> </w:t>
      </w:r>
      <w:r w:rsidR="00910906">
        <w:t>Demand</w:t>
      </w:r>
    </w:p>
    <w:p w14:paraId="02F2BFB4" w14:textId="14B2D124" w:rsidR="004A27D0" w:rsidRDefault="004A27D0" w:rsidP="004D63DD">
      <w:pPr>
        <w:tabs>
          <w:tab w:val="left" w:pos="5040"/>
        </w:tabs>
        <w:spacing w:before="120" w:after="0" w:line="240" w:lineRule="auto"/>
        <w:ind w:left="5040" w:hanging="3960"/>
      </w:pPr>
      <w:r>
        <w:t xml:space="preserve">Energy </w:t>
      </w:r>
      <w:r w:rsidR="00D82DF7">
        <w:t>Charge</w:t>
      </w:r>
      <w:r w:rsidR="00D82DF7">
        <w:tab/>
      </w:r>
      <w:r w:rsidR="00A87A93">
        <w:t>$0.</w:t>
      </w:r>
      <w:r w:rsidR="00D664CA">
        <w:t xml:space="preserve">024279 </w:t>
      </w:r>
      <w:r w:rsidR="00A87A93">
        <w:t xml:space="preserve">per kWh </w:t>
      </w:r>
      <w:r w:rsidR="00CB56A2">
        <w:t xml:space="preserve">times </w:t>
      </w:r>
      <w:r w:rsidR="004804A5">
        <w:t xml:space="preserve">Monthly Energy </w:t>
      </w:r>
      <w:r w:rsidR="005105D3">
        <w:t>Requirement</w:t>
      </w:r>
      <w:r w:rsidR="00482797">
        <w:t xml:space="preserve"> </w:t>
      </w:r>
    </w:p>
    <w:p w14:paraId="09005B6E" w14:textId="788D28DC" w:rsidR="00D82DF7" w:rsidRDefault="00D82DF7" w:rsidP="004D63DD">
      <w:pPr>
        <w:tabs>
          <w:tab w:val="left" w:pos="5040"/>
        </w:tabs>
        <w:spacing w:before="120" w:after="0" w:line="240" w:lineRule="auto"/>
        <w:ind w:left="5040" w:hanging="3960"/>
      </w:pPr>
      <w:r>
        <w:t>Energy Cost Adjustment (ECA)</w:t>
      </w:r>
      <w:r w:rsidR="00482797">
        <w:t xml:space="preserve"> Charge</w:t>
      </w:r>
      <w:r>
        <w:tab/>
      </w:r>
      <w:r w:rsidR="004D63DD">
        <w:t>A c</w:t>
      </w:r>
      <w:r w:rsidR="00482797">
        <w:t xml:space="preserve">harge </w:t>
      </w:r>
      <w:r w:rsidR="00523842">
        <w:t xml:space="preserve">determined </w:t>
      </w:r>
      <w:r w:rsidR="00B92DB4">
        <w:t xml:space="preserve">monthly per </w:t>
      </w:r>
      <w:r w:rsidR="004A27D0">
        <w:t>Section</w:t>
      </w:r>
      <w:r w:rsidR="000E7E18">
        <w:t xml:space="preserve"> 6</w:t>
      </w:r>
      <w:r w:rsidR="004A27D0">
        <w:t xml:space="preserve"> </w:t>
      </w:r>
      <w:r w:rsidR="00A83F70">
        <w:t>of this Rate Schedule</w:t>
      </w:r>
    </w:p>
    <w:p w14:paraId="71CA170A" w14:textId="7ACA95C7" w:rsidR="00B80FA5" w:rsidRDefault="00B80FA5" w:rsidP="00F72709">
      <w:pPr>
        <w:spacing w:after="0" w:line="240" w:lineRule="auto"/>
        <w:jc w:val="both"/>
      </w:pPr>
    </w:p>
    <w:p w14:paraId="2909D56C" w14:textId="5189BEBD" w:rsidR="00A87A93" w:rsidRDefault="00A87A93" w:rsidP="00F72709">
      <w:pPr>
        <w:spacing w:after="0" w:line="240" w:lineRule="auto"/>
        <w:ind w:left="720"/>
        <w:jc w:val="both"/>
      </w:pPr>
      <w:r>
        <w:t>Transmission</w:t>
      </w:r>
      <w:r w:rsidR="00BF48A1">
        <w:t xml:space="preserve"> Charges</w:t>
      </w:r>
    </w:p>
    <w:p w14:paraId="6FA69731" w14:textId="2B0E19F0" w:rsidR="00CF1DA7" w:rsidRDefault="000938A4" w:rsidP="004D63DD">
      <w:pPr>
        <w:tabs>
          <w:tab w:val="left" w:pos="5040"/>
        </w:tabs>
        <w:spacing w:before="120" w:after="0" w:line="240" w:lineRule="auto"/>
        <w:ind w:left="5040" w:hanging="3960"/>
      </w:pPr>
      <w:r>
        <w:t xml:space="preserve">LGE/KU </w:t>
      </w:r>
      <w:r w:rsidR="00316194">
        <w:t>Transmission Charge</w:t>
      </w:r>
      <w:r w:rsidR="00316194">
        <w:tab/>
        <w:t>$</w:t>
      </w:r>
      <w:r>
        <w:t>2.1061</w:t>
      </w:r>
      <w:r w:rsidR="00316194">
        <w:t xml:space="preserve"> per kW </w:t>
      </w:r>
      <w:r w:rsidR="00CB56A2">
        <w:t xml:space="preserve">times </w:t>
      </w:r>
      <w:r w:rsidR="00482797">
        <w:t xml:space="preserve">Monthly </w:t>
      </w:r>
      <w:r w:rsidR="00316194">
        <w:t>Transmission Billing Demand</w:t>
      </w:r>
    </w:p>
    <w:p w14:paraId="624617BE" w14:textId="61E9D8D0" w:rsidR="00316194" w:rsidRDefault="00316194" w:rsidP="00F72709">
      <w:pPr>
        <w:spacing w:after="0" w:line="240" w:lineRule="auto"/>
        <w:ind w:left="720"/>
        <w:jc w:val="both"/>
      </w:pPr>
    </w:p>
    <w:p w14:paraId="7CE36ACF" w14:textId="2D8C1063" w:rsidR="00CF1DA7" w:rsidRDefault="000371DB" w:rsidP="00F72709">
      <w:pPr>
        <w:spacing w:after="0" w:line="240" w:lineRule="auto"/>
        <w:ind w:left="1080"/>
        <w:jc w:val="both"/>
      </w:pPr>
      <w:r>
        <w:t xml:space="preserve">Applicable to AR </w:t>
      </w:r>
      <w:r w:rsidR="00482797">
        <w:t>M</w:t>
      </w:r>
      <w:r>
        <w:t xml:space="preserve">embers receiving </w:t>
      </w:r>
      <w:r w:rsidR="00482797">
        <w:t xml:space="preserve">service over the LGE/KU </w:t>
      </w:r>
      <w:r>
        <w:t xml:space="preserve">transmission </w:t>
      </w:r>
      <w:r w:rsidR="00482797">
        <w:t xml:space="preserve">system.  </w:t>
      </w:r>
      <w:r w:rsidR="006A7670">
        <w:t xml:space="preserve">The </w:t>
      </w:r>
      <w:r w:rsidR="00DB324C">
        <w:t xml:space="preserve">LGE/KU </w:t>
      </w:r>
      <w:r w:rsidR="003241A9">
        <w:t>Transmission Charge is updated annually effective June 1 and includes LGE/KU’s O</w:t>
      </w:r>
      <w:r w:rsidR="006A7670">
        <w:t>pen Access Transmission Tariff (</w:t>
      </w:r>
      <w:r w:rsidR="003241A9">
        <w:t xml:space="preserve">OATT) </w:t>
      </w:r>
      <w:r w:rsidR="00DB324C">
        <w:t xml:space="preserve">charges under </w:t>
      </w:r>
      <w:r w:rsidR="003241A9">
        <w:t>Schedule 10, Network Integration Transmission Service</w:t>
      </w:r>
      <w:r w:rsidR="00CF1DA7">
        <w:t>,</w:t>
      </w:r>
      <w:r w:rsidR="003241A9">
        <w:t xml:space="preserve"> and Schedule 1, Scheduling, System Control and Dispatch.</w:t>
      </w:r>
    </w:p>
    <w:p w14:paraId="68B900F1" w14:textId="77777777" w:rsidR="00CF1DA7" w:rsidRDefault="00CF1DA7" w:rsidP="00F72709">
      <w:pPr>
        <w:spacing w:after="0" w:line="240" w:lineRule="auto"/>
        <w:ind w:left="1080"/>
        <w:jc w:val="both"/>
      </w:pPr>
    </w:p>
    <w:p w14:paraId="1020EE34" w14:textId="5705C714" w:rsidR="000371DB" w:rsidRDefault="000371DB" w:rsidP="004D63DD">
      <w:pPr>
        <w:tabs>
          <w:tab w:val="left" w:pos="5040"/>
        </w:tabs>
        <w:spacing w:before="120" w:after="0" w:line="240" w:lineRule="auto"/>
        <w:ind w:left="5040" w:hanging="3960"/>
      </w:pPr>
      <w:r>
        <w:t>MISO Transmission Charge</w:t>
      </w:r>
      <w:r>
        <w:tab/>
        <w:t xml:space="preserve">$3.531 per kW </w:t>
      </w:r>
      <w:r w:rsidR="00CB56A2">
        <w:t xml:space="preserve">times </w:t>
      </w:r>
      <w:r w:rsidR="00F85CE3">
        <w:t xml:space="preserve">Monthly </w:t>
      </w:r>
      <w:r>
        <w:t>Non-Coincident Billing Demand</w:t>
      </w:r>
    </w:p>
    <w:p w14:paraId="6954D4B2" w14:textId="77777777" w:rsidR="000371DB" w:rsidRDefault="000371DB" w:rsidP="00F72709">
      <w:pPr>
        <w:spacing w:after="0" w:line="240" w:lineRule="auto"/>
        <w:ind w:left="1080"/>
        <w:jc w:val="both"/>
      </w:pPr>
    </w:p>
    <w:p w14:paraId="06112000" w14:textId="72DC83E8" w:rsidR="000371DB" w:rsidRDefault="000371DB" w:rsidP="00F72709">
      <w:pPr>
        <w:spacing w:after="0" w:line="240" w:lineRule="auto"/>
        <w:ind w:left="1080"/>
        <w:jc w:val="both"/>
      </w:pPr>
      <w:r>
        <w:t xml:space="preserve">Applicable to all AR </w:t>
      </w:r>
      <w:r w:rsidR="00F85CE3">
        <w:t>M</w:t>
      </w:r>
      <w:r>
        <w:t xml:space="preserve">embers.  The </w:t>
      </w:r>
      <w:r w:rsidR="00F85CE3">
        <w:t xml:space="preserve">Agency will review and update the </w:t>
      </w:r>
      <w:r>
        <w:t>MISO Transmission Charge annually</w:t>
      </w:r>
      <w:r w:rsidR="00F85CE3">
        <w:t>,</w:t>
      </w:r>
      <w:r>
        <w:t xml:space="preserve"> </w:t>
      </w:r>
      <w:r w:rsidR="00F85CE3">
        <w:t xml:space="preserve">and </w:t>
      </w:r>
      <w:r w:rsidR="00FB14FF">
        <w:t>more frequently if needed</w:t>
      </w:r>
      <w:r w:rsidR="00F85CE3">
        <w:t xml:space="preserve">, </w:t>
      </w:r>
      <w:r>
        <w:t>to reflect changes in MISO transmission costs.</w:t>
      </w:r>
    </w:p>
    <w:p w14:paraId="6F8965EB" w14:textId="1338BD47" w:rsidR="000371DB" w:rsidRDefault="000371DB" w:rsidP="00F72709">
      <w:pPr>
        <w:spacing w:after="0" w:line="240" w:lineRule="auto"/>
        <w:ind w:left="1080"/>
        <w:jc w:val="both"/>
      </w:pPr>
    </w:p>
    <w:p w14:paraId="7DD667A2" w14:textId="13B341A1" w:rsidR="007E1EFF" w:rsidRDefault="000371DB" w:rsidP="004D63DD">
      <w:pPr>
        <w:tabs>
          <w:tab w:val="left" w:pos="5040"/>
        </w:tabs>
        <w:spacing w:before="120" w:after="0" w:line="240" w:lineRule="auto"/>
        <w:ind w:left="5040" w:hanging="3960"/>
      </w:pPr>
      <w:r>
        <w:t>PJM Transmission Charge</w:t>
      </w:r>
      <w:r>
        <w:tab/>
        <w:t>$</w:t>
      </w:r>
      <w:r w:rsidR="007E1EFF">
        <w:t>2.</w:t>
      </w:r>
      <w:r w:rsidR="007B620F">
        <w:t>500</w:t>
      </w:r>
      <w:r>
        <w:t xml:space="preserve"> per kW </w:t>
      </w:r>
      <w:r w:rsidR="00CB56A2">
        <w:t xml:space="preserve">times </w:t>
      </w:r>
      <w:r w:rsidR="00F85CE3">
        <w:t xml:space="preserve">Monthly </w:t>
      </w:r>
      <w:r w:rsidR="007B620F">
        <w:t>Non-Coincident Billing Demand</w:t>
      </w:r>
    </w:p>
    <w:p w14:paraId="1DACDBA5" w14:textId="77777777" w:rsidR="000371DB" w:rsidRDefault="000371DB" w:rsidP="00F72709">
      <w:pPr>
        <w:spacing w:after="0" w:line="240" w:lineRule="auto"/>
        <w:ind w:left="1080"/>
        <w:jc w:val="both"/>
      </w:pPr>
    </w:p>
    <w:p w14:paraId="0B730676" w14:textId="4BEFAFD8" w:rsidR="000371DB" w:rsidRDefault="000371DB" w:rsidP="00F72709">
      <w:pPr>
        <w:spacing w:after="0" w:line="240" w:lineRule="auto"/>
        <w:ind w:left="1080"/>
        <w:jc w:val="both"/>
      </w:pPr>
      <w:r>
        <w:t xml:space="preserve">Applicable to the City of Falmouth.  The </w:t>
      </w:r>
      <w:r w:rsidR="00F85CE3">
        <w:t xml:space="preserve">Agency will review and update the </w:t>
      </w:r>
      <w:r>
        <w:t xml:space="preserve">PJM Transmission Charge </w:t>
      </w:r>
      <w:r w:rsidR="00811D72">
        <w:t>periodically</w:t>
      </w:r>
      <w:r>
        <w:t xml:space="preserve"> to reflect changes in PJM transmission costs.</w:t>
      </w:r>
    </w:p>
    <w:p w14:paraId="769C488E" w14:textId="77777777" w:rsidR="00FC20E4" w:rsidRDefault="00FC20E4" w:rsidP="00F72709">
      <w:pPr>
        <w:spacing w:after="0" w:line="240" w:lineRule="auto"/>
        <w:jc w:val="both"/>
      </w:pPr>
    </w:p>
    <w:p w14:paraId="237262C1" w14:textId="4539D413" w:rsidR="00A87A93" w:rsidRDefault="00FD7F97" w:rsidP="00F72709">
      <w:pPr>
        <w:spacing w:after="0" w:line="240" w:lineRule="auto"/>
        <w:ind w:left="1080"/>
        <w:jc w:val="both"/>
      </w:pPr>
      <w:r>
        <w:t xml:space="preserve">LGE/KU </w:t>
      </w:r>
      <w:r w:rsidR="00FB14FF">
        <w:t xml:space="preserve">Wholesale Distribution Service </w:t>
      </w:r>
      <w:r w:rsidR="00D6732C">
        <w:t>Charge</w:t>
      </w:r>
      <w:r w:rsidR="00325F5C">
        <w:t xml:space="preserve"> </w:t>
      </w:r>
      <w:r w:rsidR="004E3722">
        <w:t xml:space="preserve">per </w:t>
      </w:r>
      <w:r w:rsidR="00A83F70">
        <w:t xml:space="preserve">Section </w:t>
      </w:r>
      <w:r w:rsidR="000E7E18">
        <w:t>7</w:t>
      </w:r>
      <w:r w:rsidR="00A83F70">
        <w:t xml:space="preserve"> of this Rate Schedule</w:t>
      </w:r>
    </w:p>
    <w:p w14:paraId="57DFD8A0" w14:textId="77777777" w:rsidR="000371DB" w:rsidRDefault="000371DB" w:rsidP="00F72709">
      <w:pPr>
        <w:spacing w:after="0" w:line="240" w:lineRule="auto"/>
        <w:jc w:val="both"/>
      </w:pPr>
    </w:p>
    <w:p w14:paraId="48936544" w14:textId="1F2193DE" w:rsidR="00910906" w:rsidRDefault="00B80FA5" w:rsidP="00F727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2F4F4A">
        <w:rPr>
          <w:u w:val="single"/>
        </w:rPr>
        <w:t xml:space="preserve">Billing </w:t>
      </w:r>
      <w:r w:rsidR="00685224">
        <w:rPr>
          <w:u w:val="single"/>
        </w:rPr>
        <w:t>Determinants</w:t>
      </w:r>
    </w:p>
    <w:p w14:paraId="59A0C62E" w14:textId="77777777" w:rsidR="002F4F4A" w:rsidRPr="002F4F4A" w:rsidRDefault="002F4F4A" w:rsidP="00F72709">
      <w:pPr>
        <w:spacing w:after="0" w:line="240" w:lineRule="auto"/>
        <w:jc w:val="both"/>
        <w:rPr>
          <w:u w:val="single"/>
        </w:rPr>
      </w:pPr>
    </w:p>
    <w:p w14:paraId="50A1F2A8" w14:textId="5EE97E86" w:rsidR="00AC4188" w:rsidRDefault="00AC4188" w:rsidP="00F72709">
      <w:pPr>
        <w:spacing w:after="0" w:line="240" w:lineRule="auto"/>
        <w:ind w:left="360"/>
        <w:jc w:val="both"/>
      </w:pPr>
      <w:r>
        <w:t xml:space="preserve">Monthly Billing Demand is the </w:t>
      </w:r>
      <w:r w:rsidR="003D52F5">
        <w:t xml:space="preserve">Member’s Monthly Non-Coincident Billing Demand, except that for the months of </w:t>
      </w:r>
      <w:r w:rsidR="00C91BB4">
        <w:t xml:space="preserve">December, </w:t>
      </w:r>
      <w:r w:rsidR="003D52F5">
        <w:t xml:space="preserve">January, February, and March, it is </w:t>
      </w:r>
      <w:r w:rsidRPr="00B55EB3">
        <w:rPr>
          <w:u w:val="single"/>
        </w:rPr>
        <w:t>lesser of</w:t>
      </w:r>
      <w:r>
        <w:t xml:space="preserve"> (a) </w:t>
      </w:r>
      <w:r w:rsidR="00DF4394">
        <w:t xml:space="preserve">the </w:t>
      </w:r>
      <w:r w:rsidR="00FB14FF">
        <w:t xml:space="preserve">Member’s </w:t>
      </w:r>
      <w:r w:rsidR="00360D16">
        <w:t xml:space="preserve">Monthly </w:t>
      </w:r>
      <w:r>
        <w:t xml:space="preserve">Non-Coincident Billing Demand or (b) the average of </w:t>
      </w:r>
      <w:r w:rsidR="00DF4394">
        <w:t xml:space="preserve">the </w:t>
      </w:r>
      <w:r w:rsidR="00FB14FF">
        <w:t xml:space="preserve">Member’s </w:t>
      </w:r>
      <w:r w:rsidR="007175B5">
        <w:t xml:space="preserve">maximum </w:t>
      </w:r>
      <w:r w:rsidR="00360D16">
        <w:t xml:space="preserve">Monthly </w:t>
      </w:r>
      <w:r>
        <w:t xml:space="preserve">Non-Coincident Billing </w:t>
      </w:r>
      <w:r w:rsidR="00542AD5">
        <w:t xml:space="preserve">Demand </w:t>
      </w:r>
      <w:r>
        <w:t xml:space="preserve">occurring in </w:t>
      </w:r>
      <w:r w:rsidR="00E63D0A">
        <w:t xml:space="preserve">each of </w:t>
      </w:r>
      <w:r>
        <w:t xml:space="preserve">the preceding </w:t>
      </w:r>
      <w:r w:rsidR="00A81ADC">
        <w:t xml:space="preserve">three </w:t>
      </w:r>
      <w:r>
        <w:t xml:space="preserve">summer </w:t>
      </w:r>
      <w:r w:rsidR="00CF454F">
        <w:t>seasons</w:t>
      </w:r>
      <w:r>
        <w:t xml:space="preserve"> (June, July, and August</w:t>
      </w:r>
      <w:r w:rsidR="00A81ADC">
        <w:t>)</w:t>
      </w:r>
      <w:r w:rsidR="00DF4394">
        <w:t>.</w:t>
      </w:r>
    </w:p>
    <w:p w14:paraId="08BC37CF" w14:textId="77777777" w:rsidR="00AC4188" w:rsidRDefault="00AC4188" w:rsidP="00F72709">
      <w:pPr>
        <w:spacing w:after="0" w:line="240" w:lineRule="auto"/>
        <w:ind w:left="360"/>
        <w:jc w:val="both"/>
      </w:pPr>
    </w:p>
    <w:p w14:paraId="704A84E6" w14:textId="15871D21" w:rsidR="00316194" w:rsidRDefault="003D52F5" w:rsidP="00F72709">
      <w:pPr>
        <w:spacing w:after="0" w:line="240" w:lineRule="auto"/>
        <w:ind w:left="360"/>
        <w:jc w:val="both"/>
      </w:pPr>
      <w:r>
        <w:t xml:space="preserve">Monthly </w:t>
      </w:r>
      <w:r w:rsidR="00316194">
        <w:t xml:space="preserve">Non-Coincident Billing Demand is the </w:t>
      </w:r>
      <w:r w:rsidR="002A302D">
        <w:t xml:space="preserve">highest average </w:t>
      </w:r>
      <w:r w:rsidR="00316194">
        <w:t xml:space="preserve">kW </w:t>
      </w:r>
      <w:r w:rsidR="00AE2542">
        <w:t xml:space="preserve">demand </w:t>
      </w:r>
      <w:r w:rsidR="00BD4ADA">
        <w:t xml:space="preserve">during </w:t>
      </w:r>
      <w:r w:rsidR="002A302D">
        <w:t>a 60-minute period ending on a clock hour</w:t>
      </w:r>
      <w:r w:rsidR="00021167">
        <w:t xml:space="preserve"> of the Member’s </w:t>
      </w:r>
      <w:r w:rsidR="00937F39">
        <w:t>total l</w:t>
      </w:r>
      <w:r w:rsidR="00021167">
        <w:t>oad</w:t>
      </w:r>
      <w:r w:rsidR="00685224">
        <w:t xml:space="preserve"> during the monthly billing period</w:t>
      </w:r>
      <w:r w:rsidR="00021167">
        <w:t xml:space="preserve">.  For Members with multiple delivery points, the </w:t>
      </w:r>
      <w:r w:rsidR="00937F39">
        <w:t xml:space="preserve">Member’s total load is the </w:t>
      </w:r>
      <w:r w:rsidR="00021167">
        <w:t>aggregated load</w:t>
      </w:r>
      <w:r w:rsidR="001D5052">
        <w:t xml:space="preserve"> </w:t>
      </w:r>
      <w:r w:rsidR="00121A24">
        <w:t xml:space="preserve">of </w:t>
      </w:r>
      <w:r w:rsidR="001D5052">
        <w:t>all delivery points</w:t>
      </w:r>
      <w:r w:rsidR="00685224">
        <w:t xml:space="preserve"> </w:t>
      </w:r>
      <w:r w:rsidR="000474D5">
        <w:t>each</w:t>
      </w:r>
      <w:r w:rsidR="00685224">
        <w:t xml:space="preserve"> hour</w:t>
      </w:r>
      <w:r w:rsidR="00021167">
        <w:t>.</w:t>
      </w:r>
    </w:p>
    <w:p w14:paraId="713A36C7" w14:textId="77777777" w:rsidR="00316194" w:rsidRDefault="00316194" w:rsidP="00F72709">
      <w:pPr>
        <w:spacing w:after="0" w:line="240" w:lineRule="auto"/>
        <w:jc w:val="both"/>
      </w:pPr>
    </w:p>
    <w:p w14:paraId="2EF4DC0F" w14:textId="26669C66" w:rsidR="00316194" w:rsidRDefault="00685224" w:rsidP="00F72709">
      <w:pPr>
        <w:spacing w:after="0" w:line="240" w:lineRule="auto"/>
        <w:ind w:left="360"/>
        <w:jc w:val="both"/>
      </w:pPr>
      <w:r>
        <w:t xml:space="preserve">Monthly </w:t>
      </w:r>
      <w:r w:rsidR="00316194">
        <w:t>Transmissi</w:t>
      </w:r>
      <w:r w:rsidR="00021167">
        <w:t xml:space="preserve">on Billing Demand is the Member’s </w:t>
      </w:r>
      <w:r w:rsidR="00B4790C">
        <w:t xml:space="preserve">average </w:t>
      </w:r>
      <w:r w:rsidR="00021167">
        <w:t xml:space="preserve">kW </w:t>
      </w:r>
      <w:r w:rsidR="00AE2542">
        <w:t xml:space="preserve">demand </w:t>
      </w:r>
      <w:r w:rsidR="00B4790C">
        <w:t>during</w:t>
      </w:r>
      <w:r w:rsidR="00021167">
        <w:t xml:space="preserve"> LGE/KU’s transmission system peak hour</w:t>
      </w:r>
      <w:r>
        <w:t xml:space="preserve"> during the monthly billing period</w:t>
      </w:r>
      <w:r w:rsidR="00341820">
        <w:t>. This is commonly referred to as the Member</w:t>
      </w:r>
      <w:r w:rsidR="00CE428A">
        <w:t>’</w:t>
      </w:r>
      <w:r w:rsidR="00341820">
        <w:t xml:space="preserve">s demand </w:t>
      </w:r>
      <w:r w:rsidR="00021167">
        <w:t xml:space="preserve">coincident with the LGE/KU </w:t>
      </w:r>
      <w:r>
        <w:t xml:space="preserve">monthly </w:t>
      </w:r>
      <w:r w:rsidR="00021167">
        <w:t>transmission system peak</w:t>
      </w:r>
      <w:r w:rsidR="0025568F">
        <w:t xml:space="preserve"> demand</w:t>
      </w:r>
      <w:r w:rsidR="00021167">
        <w:t>.</w:t>
      </w:r>
      <w:r w:rsidR="00316194">
        <w:t xml:space="preserve"> </w:t>
      </w:r>
    </w:p>
    <w:p w14:paraId="0385BC53" w14:textId="77777777" w:rsidR="00685224" w:rsidRDefault="00685224" w:rsidP="00F72709">
      <w:pPr>
        <w:spacing w:after="0" w:line="240" w:lineRule="auto"/>
        <w:ind w:left="360"/>
        <w:jc w:val="both"/>
      </w:pPr>
    </w:p>
    <w:p w14:paraId="3C967B8B" w14:textId="74CD8765" w:rsidR="00685224" w:rsidRDefault="00685224" w:rsidP="00F72709">
      <w:pPr>
        <w:spacing w:after="0" w:line="240" w:lineRule="auto"/>
        <w:ind w:left="360"/>
        <w:jc w:val="both"/>
      </w:pPr>
      <w:r>
        <w:t xml:space="preserve">Monthly Energy </w:t>
      </w:r>
      <w:r w:rsidR="005105D3">
        <w:t>Requirement</w:t>
      </w:r>
      <w:r>
        <w:t xml:space="preserve"> is the total amount of energy</w:t>
      </w:r>
      <w:r w:rsidR="001E12E6">
        <w:t xml:space="preserve"> supplied to the Member during the monthly billing period, as determined in accordance with the Contract.</w:t>
      </w:r>
    </w:p>
    <w:p w14:paraId="723F11DE" w14:textId="72E8AA2D" w:rsidR="0064544B" w:rsidRDefault="0064544B" w:rsidP="00F72709">
      <w:pPr>
        <w:spacing w:after="0" w:line="240" w:lineRule="auto"/>
        <w:ind w:left="360"/>
        <w:jc w:val="both"/>
      </w:pPr>
    </w:p>
    <w:p w14:paraId="62D56FFD" w14:textId="5715F6D8" w:rsidR="0064544B" w:rsidRDefault="0064544B" w:rsidP="00F72709">
      <w:pPr>
        <w:spacing w:after="0" w:line="240" w:lineRule="auto"/>
        <w:ind w:left="360"/>
        <w:jc w:val="both"/>
      </w:pPr>
      <w:r>
        <w:t xml:space="preserve">Monthly </w:t>
      </w:r>
      <w:r w:rsidR="00E36132">
        <w:t xml:space="preserve">Billing Demand, Monthly Transmission Billing Demand, and Monthly Energy </w:t>
      </w:r>
      <w:r w:rsidR="005105D3">
        <w:t>Requirement</w:t>
      </w:r>
      <w:r w:rsidR="00E36132">
        <w:t xml:space="preserve"> </w:t>
      </w:r>
      <w:r w:rsidR="00F25B8B">
        <w:t xml:space="preserve">shall be </w:t>
      </w:r>
      <w:r w:rsidR="003C3F79">
        <w:t xml:space="preserve">based on load </w:t>
      </w:r>
      <w:r w:rsidR="00F25B8B">
        <w:t>metered at</w:t>
      </w:r>
      <w:r w:rsidR="00395D71">
        <w:t>, or appropriate</w:t>
      </w:r>
      <w:r w:rsidR="00275FB9">
        <w:t xml:space="preserve">ly </w:t>
      </w:r>
      <w:r w:rsidR="00395D71">
        <w:t xml:space="preserve">compensated for losses to, </w:t>
      </w:r>
      <w:r w:rsidR="00E1583F">
        <w:t xml:space="preserve">the </w:t>
      </w:r>
      <w:r w:rsidR="00855120">
        <w:t>high-voltage side of delivery substation</w:t>
      </w:r>
      <w:r w:rsidR="00293CB0">
        <w:t>s</w:t>
      </w:r>
      <w:r w:rsidR="00395D71">
        <w:t xml:space="preserve"> </w:t>
      </w:r>
      <w:r w:rsidR="00E1583F">
        <w:t>connecting</w:t>
      </w:r>
      <w:r w:rsidR="009C2302">
        <w:t xml:space="preserve"> the Member</w:t>
      </w:r>
      <w:r w:rsidR="00E1583F">
        <w:t>’s system to the applicable transmission system</w:t>
      </w:r>
      <w:r w:rsidR="009C2302">
        <w:t>.</w:t>
      </w:r>
      <w:r w:rsidR="00395D71">
        <w:t xml:space="preserve"> </w:t>
      </w:r>
    </w:p>
    <w:p w14:paraId="4FEA8C6D" w14:textId="741A0298" w:rsidR="00C10063" w:rsidRDefault="00C10063" w:rsidP="00F72709">
      <w:pPr>
        <w:spacing w:after="0" w:line="240" w:lineRule="auto"/>
        <w:ind w:left="360"/>
        <w:jc w:val="both"/>
      </w:pPr>
    </w:p>
    <w:p w14:paraId="054CF51B" w14:textId="498ACD9F" w:rsidR="000853B7" w:rsidRDefault="001C341F" w:rsidP="00F72709">
      <w:pPr>
        <w:spacing w:after="0" w:line="240" w:lineRule="auto"/>
        <w:ind w:left="360"/>
        <w:jc w:val="both"/>
      </w:pPr>
      <w:r>
        <w:t xml:space="preserve">Monthly Billing Demand, Monthly Transmission Billing Demand, and Monthly Energy Requirement shall be determined including any </w:t>
      </w:r>
      <w:r w:rsidR="00950735">
        <w:t xml:space="preserve">load or </w:t>
      </w:r>
      <w:r w:rsidR="0015502B">
        <w:t>usage on the Member’s system directly serv</w:t>
      </w:r>
      <w:r w:rsidR="00950735">
        <w:t>ed</w:t>
      </w:r>
      <w:r w:rsidR="0015502B">
        <w:t xml:space="preserve"> from </w:t>
      </w:r>
      <w:r w:rsidR="00C5245D">
        <w:t>a</w:t>
      </w:r>
      <w:r w:rsidR="0015502B">
        <w:t xml:space="preserve"> </w:t>
      </w:r>
      <w:r w:rsidRPr="00075881">
        <w:rPr>
          <w:color w:val="020202"/>
        </w:rPr>
        <w:t>Member-Owned Resource</w:t>
      </w:r>
      <w:r w:rsidR="00C5245D">
        <w:rPr>
          <w:color w:val="020202"/>
        </w:rPr>
        <w:t>, if any</w:t>
      </w:r>
      <w:r w:rsidR="00605999">
        <w:rPr>
          <w:color w:val="020202"/>
        </w:rPr>
        <w:t xml:space="preserve">, as </w:t>
      </w:r>
      <w:r w:rsidR="003C3F79">
        <w:rPr>
          <w:color w:val="020202"/>
        </w:rPr>
        <w:t xml:space="preserve">provided </w:t>
      </w:r>
      <w:r w:rsidR="00605999">
        <w:rPr>
          <w:color w:val="020202"/>
        </w:rPr>
        <w:t>in the Contract</w:t>
      </w:r>
      <w:r w:rsidR="0015502B">
        <w:rPr>
          <w:color w:val="020202"/>
        </w:rPr>
        <w:t>.</w:t>
      </w:r>
    </w:p>
    <w:p w14:paraId="31788655" w14:textId="77777777" w:rsidR="000853B7" w:rsidRDefault="000853B7" w:rsidP="00F72709">
      <w:pPr>
        <w:spacing w:after="0" w:line="240" w:lineRule="auto"/>
        <w:ind w:left="360"/>
        <w:jc w:val="both"/>
      </w:pPr>
    </w:p>
    <w:p w14:paraId="25C34AAA" w14:textId="769F7B78" w:rsidR="00910906" w:rsidRPr="002F4F4A" w:rsidRDefault="00CD7920" w:rsidP="00F727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Energy </w:t>
      </w:r>
      <w:r w:rsidR="00910906" w:rsidRPr="002F4F4A">
        <w:rPr>
          <w:u w:val="single"/>
        </w:rPr>
        <w:t xml:space="preserve">Cost Adjustment </w:t>
      </w:r>
      <w:r>
        <w:rPr>
          <w:u w:val="single"/>
        </w:rPr>
        <w:t>(E</w:t>
      </w:r>
      <w:r w:rsidR="00C45D01">
        <w:rPr>
          <w:u w:val="single"/>
        </w:rPr>
        <w:t>CA</w:t>
      </w:r>
      <w:r>
        <w:rPr>
          <w:u w:val="single"/>
        </w:rPr>
        <w:t>)</w:t>
      </w:r>
      <w:r w:rsidR="008A457E">
        <w:rPr>
          <w:u w:val="single"/>
        </w:rPr>
        <w:t xml:space="preserve"> Charge</w:t>
      </w:r>
    </w:p>
    <w:p w14:paraId="414134ED" w14:textId="2AC25C59" w:rsidR="00370928" w:rsidRPr="00BF2B98" w:rsidRDefault="00370928" w:rsidP="000C679F">
      <w:pPr>
        <w:pStyle w:val="BodyText"/>
        <w:spacing w:before="240" w:after="120"/>
        <w:ind w:left="360"/>
        <w:jc w:val="both"/>
        <w:rPr>
          <w:rFonts w:asciiTheme="minorHAnsi" w:hAnsiTheme="minorHAnsi" w:cstheme="minorHAnsi"/>
          <w:sz w:val="22"/>
        </w:rPr>
      </w:pPr>
      <w:r w:rsidRPr="00BF2B98">
        <w:rPr>
          <w:rFonts w:asciiTheme="minorHAnsi" w:hAnsiTheme="minorHAnsi" w:cstheme="minorHAnsi"/>
          <w:sz w:val="22"/>
        </w:rPr>
        <w:t>The Energy</w:t>
      </w:r>
      <w:r w:rsidR="00F2024B">
        <w:rPr>
          <w:rFonts w:asciiTheme="minorHAnsi" w:hAnsiTheme="minorHAnsi" w:cstheme="minorHAnsi"/>
          <w:sz w:val="22"/>
        </w:rPr>
        <w:t xml:space="preserve"> </w:t>
      </w:r>
      <w:r w:rsidRPr="00BF2B98">
        <w:rPr>
          <w:rFonts w:asciiTheme="minorHAnsi" w:hAnsiTheme="minorHAnsi" w:cstheme="minorHAnsi"/>
          <w:sz w:val="22"/>
        </w:rPr>
        <w:t xml:space="preserve">Cost Adjustment Charge </w:t>
      </w:r>
      <w:r w:rsidR="00F2024B">
        <w:rPr>
          <w:rFonts w:asciiTheme="minorHAnsi" w:hAnsiTheme="minorHAnsi" w:cstheme="minorHAnsi"/>
          <w:sz w:val="22"/>
        </w:rPr>
        <w:t xml:space="preserve">is </w:t>
      </w:r>
      <w:r w:rsidRPr="00BF2B98">
        <w:rPr>
          <w:rFonts w:asciiTheme="minorHAnsi" w:hAnsiTheme="minorHAnsi" w:cstheme="minorHAnsi"/>
          <w:sz w:val="22"/>
        </w:rPr>
        <w:t xml:space="preserve">the </w:t>
      </w:r>
      <w:r w:rsidR="008A457E">
        <w:rPr>
          <w:rFonts w:asciiTheme="minorHAnsi" w:hAnsiTheme="minorHAnsi" w:cstheme="minorHAnsi"/>
          <w:sz w:val="22"/>
        </w:rPr>
        <w:t xml:space="preserve">algebraic </w:t>
      </w:r>
      <w:r w:rsidRPr="00BF2B98">
        <w:rPr>
          <w:rFonts w:asciiTheme="minorHAnsi" w:hAnsiTheme="minorHAnsi" w:cstheme="minorHAnsi"/>
          <w:sz w:val="22"/>
        </w:rPr>
        <w:t xml:space="preserve">sum of Adjustment Charge 1 and </w:t>
      </w:r>
      <w:r w:rsidR="00F2024B">
        <w:rPr>
          <w:rFonts w:asciiTheme="minorHAnsi" w:hAnsiTheme="minorHAnsi" w:cstheme="minorHAnsi"/>
          <w:sz w:val="22"/>
        </w:rPr>
        <w:t xml:space="preserve">Adjustment Charge </w:t>
      </w:r>
      <w:r w:rsidRPr="00BF2B98">
        <w:rPr>
          <w:rFonts w:asciiTheme="minorHAnsi" w:hAnsiTheme="minorHAnsi" w:cstheme="minorHAnsi"/>
          <w:sz w:val="22"/>
        </w:rPr>
        <w:t>2, determined as described below.</w:t>
      </w:r>
    </w:p>
    <w:p w14:paraId="62340261" w14:textId="6F1389FB" w:rsidR="006B3DC7" w:rsidRDefault="00370928">
      <w:pPr>
        <w:pStyle w:val="BodyText"/>
        <w:spacing w:before="240" w:after="120"/>
        <w:ind w:left="360"/>
        <w:jc w:val="both"/>
        <w:rPr>
          <w:rFonts w:asciiTheme="minorHAnsi" w:hAnsiTheme="minorHAnsi" w:cstheme="minorHAnsi"/>
          <w:sz w:val="22"/>
        </w:rPr>
      </w:pPr>
      <w:r w:rsidRPr="00BF2B98">
        <w:rPr>
          <w:rFonts w:asciiTheme="minorHAnsi" w:hAnsiTheme="minorHAnsi" w:cstheme="minorHAnsi"/>
          <w:sz w:val="22"/>
        </w:rPr>
        <w:t xml:space="preserve">Adjustment Charge 1 shall be an amount (positive or negative) equal to the product of the Adjustment Charge 1 Factor for </w:t>
      </w:r>
      <w:r w:rsidR="00A91D21">
        <w:rPr>
          <w:rFonts w:asciiTheme="minorHAnsi" w:hAnsiTheme="minorHAnsi" w:cstheme="minorHAnsi"/>
          <w:sz w:val="22"/>
        </w:rPr>
        <w:t>a</w:t>
      </w:r>
      <w:r w:rsidR="00A91D21" w:rsidRPr="00BF2B98">
        <w:rPr>
          <w:rFonts w:asciiTheme="minorHAnsi" w:hAnsiTheme="minorHAnsi" w:cstheme="minorHAnsi"/>
          <w:sz w:val="22"/>
        </w:rPr>
        <w:t xml:space="preserve"> </w:t>
      </w:r>
      <w:r w:rsidRPr="00BF2B98">
        <w:rPr>
          <w:rFonts w:asciiTheme="minorHAnsi" w:hAnsiTheme="minorHAnsi" w:cstheme="minorHAnsi"/>
          <w:sz w:val="22"/>
        </w:rPr>
        <w:t xml:space="preserve">month times the Member’s </w:t>
      </w:r>
      <w:r w:rsidR="00EE6307">
        <w:rPr>
          <w:rFonts w:asciiTheme="minorHAnsi" w:hAnsiTheme="minorHAnsi" w:cstheme="minorHAnsi"/>
          <w:sz w:val="22"/>
        </w:rPr>
        <w:t>Monthly Energy Requirement</w:t>
      </w:r>
      <w:r w:rsidRPr="00BF2B98">
        <w:rPr>
          <w:rFonts w:asciiTheme="minorHAnsi" w:hAnsiTheme="minorHAnsi" w:cstheme="minorHAnsi"/>
          <w:sz w:val="22"/>
        </w:rPr>
        <w:t xml:space="preserve"> for the month for which Adjustment Charge 1 is being computed. </w:t>
      </w:r>
      <w:r w:rsidR="00313B1D">
        <w:rPr>
          <w:rFonts w:asciiTheme="minorHAnsi" w:hAnsiTheme="minorHAnsi" w:cstheme="minorHAnsi"/>
          <w:sz w:val="22"/>
        </w:rPr>
        <w:t xml:space="preserve">(For </w:t>
      </w:r>
      <w:r w:rsidR="000C3D59">
        <w:rPr>
          <w:rFonts w:asciiTheme="minorHAnsi" w:hAnsiTheme="minorHAnsi" w:cstheme="minorHAnsi"/>
          <w:sz w:val="22"/>
        </w:rPr>
        <w:t>avoidance of doubt,</w:t>
      </w:r>
      <w:r w:rsidR="00A85DA8">
        <w:rPr>
          <w:rFonts w:asciiTheme="minorHAnsi" w:hAnsiTheme="minorHAnsi" w:cstheme="minorHAnsi"/>
          <w:sz w:val="22"/>
        </w:rPr>
        <w:t xml:space="preserve"> to the extent </w:t>
      </w:r>
      <w:r w:rsidR="000C3D59">
        <w:rPr>
          <w:rFonts w:asciiTheme="minorHAnsi" w:hAnsiTheme="minorHAnsi" w:cstheme="minorHAnsi"/>
          <w:sz w:val="22"/>
        </w:rPr>
        <w:t xml:space="preserve">the Adjustment </w:t>
      </w:r>
      <w:r w:rsidR="00A85DA8">
        <w:rPr>
          <w:rFonts w:asciiTheme="minorHAnsi" w:hAnsiTheme="minorHAnsi" w:cstheme="minorHAnsi"/>
          <w:sz w:val="22"/>
        </w:rPr>
        <w:lastRenderedPageBreak/>
        <w:t xml:space="preserve">Charge 1 Factor is being determined for </w:t>
      </w:r>
      <w:r w:rsidR="006B3DC7">
        <w:rPr>
          <w:rFonts w:asciiTheme="minorHAnsi" w:hAnsiTheme="minorHAnsi" w:cstheme="minorHAnsi"/>
          <w:sz w:val="22"/>
        </w:rPr>
        <w:t>a month prior to the current billing month, the Member</w:t>
      </w:r>
      <w:r w:rsidR="00EE6307">
        <w:rPr>
          <w:rFonts w:asciiTheme="minorHAnsi" w:hAnsiTheme="minorHAnsi" w:cstheme="minorHAnsi"/>
          <w:sz w:val="22"/>
        </w:rPr>
        <w:t xml:space="preserve">’s Monthly Energy Requirement </w:t>
      </w:r>
      <w:r w:rsidR="006B3DC7">
        <w:rPr>
          <w:rFonts w:asciiTheme="minorHAnsi" w:hAnsiTheme="minorHAnsi" w:cstheme="minorHAnsi"/>
          <w:sz w:val="22"/>
        </w:rPr>
        <w:t>for that prior month</w:t>
      </w:r>
      <w:r w:rsidR="00EE6307">
        <w:rPr>
          <w:rFonts w:asciiTheme="minorHAnsi" w:hAnsiTheme="minorHAnsi" w:cstheme="minorHAnsi"/>
          <w:sz w:val="22"/>
        </w:rPr>
        <w:t xml:space="preserve"> shall be used</w:t>
      </w:r>
      <w:r w:rsidR="006B3DC7">
        <w:rPr>
          <w:rFonts w:asciiTheme="minorHAnsi" w:hAnsiTheme="minorHAnsi" w:cstheme="minorHAnsi"/>
          <w:sz w:val="22"/>
        </w:rPr>
        <w:t xml:space="preserve">.) </w:t>
      </w:r>
      <w:r w:rsidR="001E4BBF">
        <w:rPr>
          <w:rFonts w:asciiTheme="minorHAnsi" w:hAnsiTheme="minorHAnsi" w:cstheme="minorHAnsi"/>
          <w:sz w:val="22"/>
        </w:rPr>
        <w:t>Adjust</w:t>
      </w:r>
      <w:r w:rsidR="00B50F04">
        <w:rPr>
          <w:rFonts w:asciiTheme="minorHAnsi" w:hAnsiTheme="minorHAnsi" w:cstheme="minorHAnsi"/>
          <w:sz w:val="22"/>
        </w:rPr>
        <w:t>m</w:t>
      </w:r>
      <w:r w:rsidR="001E4BBF">
        <w:rPr>
          <w:rFonts w:asciiTheme="minorHAnsi" w:hAnsiTheme="minorHAnsi" w:cstheme="minorHAnsi"/>
          <w:sz w:val="22"/>
        </w:rPr>
        <w:t xml:space="preserve">ent Charge 1 shall </w:t>
      </w:r>
      <w:r w:rsidR="00B50F04">
        <w:rPr>
          <w:rFonts w:asciiTheme="minorHAnsi" w:hAnsiTheme="minorHAnsi" w:cstheme="minorHAnsi"/>
          <w:sz w:val="22"/>
        </w:rPr>
        <w:t>first</w:t>
      </w:r>
      <w:r w:rsidR="00D514F5" w:rsidRPr="00D514F5">
        <w:rPr>
          <w:rFonts w:asciiTheme="minorHAnsi" w:hAnsiTheme="minorHAnsi" w:cstheme="minorHAnsi"/>
          <w:sz w:val="22"/>
        </w:rPr>
        <w:t xml:space="preserve"> </w:t>
      </w:r>
      <w:r w:rsidR="00D514F5">
        <w:rPr>
          <w:rFonts w:asciiTheme="minorHAnsi" w:hAnsiTheme="minorHAnsi" w:cstheme="minorHAnsi"/>
          <w:sz w:val="22"/>
        </w:rPr>
        <w:t>be</w:t>
      </w:r>
      <w:r w:rsidR="00B50F04">
        <w:rPr>
          <w:rFonts w:asciiTheme="minorHAnsi" w:hAnsiTheme="minorHAnsi" w:cstheme="minorHAnsi"/>
          <w:sz w:val="22"/>
        </w:rPr>
        <w:t xml:space="preserve"> </w:t>
      </w:r>
      <w:r w:rsidR="001E4BBF">
        <w:rPr>
          <w:rFonts w:asciiTheme="minorHAnsi" w:hAnsiTheme="minorHAnsi" w:cstheme="minorHAnsi"/>
          <w:sz w:val="22"/>
        </w:rPr>
        <w:t xml:space="preserve">computed </w:t>
      </w:r>
      <w:r w:rsidR="00B50F04">
        <w:rPr>
          <w:rFonts w:asciiTheme="minorHAnsi" w:hAnsiTheme="minorHAnsi" w:cstheme="minorHAnsi"/>
          <w:sz w:val="22"/>
        </w:rPr>
        <w:t>for the month of June 2019 at the time bills for July 20</w:t>
      </w:r>
      <w:r w:rsidR="00D514F5">
        <w:rPr>
          <w:rFonts w:asciiTheme="minorHAnsi" w:hAnsiTheme="minorHAnsi" w:cstheme="minorHAnsi"/>
          <w:sz w:val="22"/>
        </w:rPr>
        <w:t>1</w:t>
      </w:r>
      <w:r w:rsidR="00B50F04">
        <w:rPr>
          <w:rFonts w:asciiTheme="minorHAnsi" w:hAnsiTheme="minorHAnsi" w:cstheme="minorHAnsi"/>
          <w:sz w:val="22"/>
        </w:rPr>
        <w:t>9 are being prepared.</w:t>
      </w:r>
    </w:p>
    <w:p w14:paraId="7D983DBD" w14:textId="22CB18CD" w:rsidR="00370928" w:rsidRPr="00BF2B98" w:rsidRDefault="00370928">
      <w:pPr>
        <w:pStyle w:val="BodyText"/>
        <w:spacing w:before="240" w:after="120"/>
        <w:ind w:left="360"/>
        <w:jc w:val="both"/>
        <w:rPr>
          <w:rFonts w:asciiTheme="minorHAnsi" w:hAnsiTheme="minorHAnsi" w:cstheme="minorHAnsi"/>
          <w:sz w:val="22"/>
        </w:rPr>
      </w:pPr>
      <w:r w:rsidRPr="00BF2B98">
        <w:rPr>
          <w:rFonts w:asciiTheme="minorHAnsi" w:hAnsiTheme="minorHAnsi" w:cstheme="minorHAnsi"/>
          <w:sz w:val="22"/>
        </w:rPr>
        <w:t xml:space="preserve">The Adjustment Charge 1 Factor </w:t>
      </w:r>
      <w:r w:rsidR="00F2024B">
        <w:rPr>
          <w:rFonts w:asciiTheme="minorHAnsi" w:hAnsiTheme="minorHAnsi" w:cstheme="minorHAnsi"/>
          <w:sz w:val="22"/>
        </w:rPr>
        <w:t xml:space="preserve">is </w:t>
      </w:r>
      <w:r w:rsidRPr="00BF2B98">
        <w:rPr>
          <w:rFonts w:asciiTheme="minorHAnsi" w:hAnsiTheme="minorHAnsi" w:cstheme="minorHAnsi"/>
          <w:sz w:val="22"/>
        </w:rPr>
        <w:t xml:space="preserve">the amount by which KYMEA’s average energy-related costs </w:t>
      </w:r>
      <w:r w:rsidR="00F2024B">
        <w:rPr>
          <w:rFonts w:asciiTheme="minorHAnsi" w:hAnsiTheme="minorHAnsi" w:cstheme="minorHAnsi"/>
          <w:sz w:val="22"/>
        </w:rPr>
        <w:t xml:space="preserve">per kWh </w:t>
      </w:r>
      <w:r w:rsidRPr="00BF2B98">
        <w:rPr>
          <w:rFonts w:asciiTheme="minorHAnsi" w:hAnsiTheme="minorHAnsi" w:cstheme="minorHAnsi"/>
          <w:sz w:val="22"/>
        </w:rPr>
        <w:t xml:space="preserve">for the month </w:t>
      </w:r>
      <w:r w:rsidR="000B49B0">
        <w:rPr>
          <w:rFonts w:asciiTheme="minorHAnsi" w:hAnsiTheme="minorHAnsi" w:cstheme="minorHAnsi"/>
          <w:sz w:val="22"/>
        </w:rPr>
        <w:t xml:space="preserve">for which </w:t>
      </w:r>
      <w:r w:rsidR="00A675EA">
        <w:rPr>
          <w:rFonts w:asciiTheme="minorHAnsi" w:hAnsiTheme="minorHAnsi" w:cstheme="minorHAnsi"/>
          <w:sz w:val="22"/>
        </w:rPr>
        <w:t xml:space="preserve">the Adjustment Charge 1 Factor is being computed </w:t>
      </w:r>
      <w:r w:rsidRPr="00BF2B98">
        <w:rPr>
          <w:rFonts w:asciiTheme="minorHAnsi" w:hAnsiTheme="minorHAnsi" w:cstheme="minorHAnsi"/>
          <w:sz w:val="22"/>
        </w:rPr>
        <w:t>exceed, or are less than, the ECA Base specified below. For this purpose</w:t>
      </w:r>
      <w:r>
        <w:rPr>
          <w:rFonts w:asciiTheme="minorHAnsi" w:hAnsiTheme="minorHAnsi" w:cstheme="minorHAnsi"/>
          <w:sz w:val="22"/>
        </w:rPr>
        <w:t>, t</w:t>
      </w:r>
      <w:r w:rsidRPr="00BF2B98">
        <w:rPr>
          <w:rFonts w:asciiTheme="minorHAnsi" w:hAnsiTheme="minorHAnsi" w:cstheme="minorHAnsi"/>
          <w:sz w:val="22"/>
        </w:rPr>
        <w:t xml:space="preserve">he Adjustment Charge 1 Factor, in $/kWh, shall be calculated </w:t>
      </w:r>
      <w:r w:rsidR="00483EAC">
        <w:rPr>
          <w:rFonts w:asciiTheme="minorHAnsi" w:hAnsiTheme="minorHAnsi" w:cstheme="minorHAnsi"/>
          <w:sz w:val="22"/>
        </w:rPr>
        <w:t>for a</w:t>
      </w:r>
      <w:r w:rsidR="00F2024B">
        <w:rPr>
          <w:rFonts w:asciiTheme="minorHAnsi" w:hAnsiTheme="minorHAnsi" w:cstheme="minorHAnsi"/>
          <w:sz w:val="22"/>
        </w:rPr>
        <w:t xml:space="preserve"> month </w:t>
      </w:r>
      <w:r w:rsidRPr="00BF2B98">
        <w:rPr>
          <w:rFonts w:asciiTheme="minorHAnsi" w:hAnsiTheme="minorHAnsi" w:cstheme="minorHAnsi"/>
          <w:sz w:val="22"/>
        </w:rPr>
        <w:t>as follows:</w:t>
      </w:r>
    </w:p>
    <w:p w14:paraId="54856D1A" w14:textId="77777777" w:rsidR="00370928" w:rsidRPr="00BF2B98" w:rsidRDefault="00370928">
      <w:pPr>
        <w:pStyle w:val="BodyText"/>
        <w:spacing w:before="240" w:after="120"/>
        <w:ind w:left="1080"/>
        <w:jc w:val="both"/>
        <w:rPr>
          <w:rFonts w:asciiTheme="minorHAnsi" w:hAnsiTheme="minorHAnsi" w:cstheme="minorHAnsi"/>
          <w:sz w:val="22"/>
        </w:rPr>
      </w:pPr>
      <w:r w:rsidRPr="00BF2B98">
        <w:rPr>
          <w:rFonts w:asciiTheme="minorHAnsi" w:hAnsiTheme="minorHAnsi" w:cstheme="minorHAnsi"/>
          <w:sz w:val="22"/>
        </w:rPr>
        <w:t>Adjustment Charge 1 Factor = (F/S) - (ECA Base)</w:t>
      </w:r>
    </w:p>
    <w:p w14:paraId="1DB75896" w14:textId="77777777" w:rsidR="00370928" w:rsidRPr="00BF2B98" w:rsidRDefault="00370928">
      <w:pPr>
        <w:pStyle w:val="BodyText"/>
        <w:spacing w:before="240" w:after="120"/>
        <w:ind w:left="1080"/>
        <w:jc w:val="both"/>
        <w:rPr>
          <w:rFonts w:asciiTheme="minorHAnsi" w:hAnsiTheme="minorHAnsi" w:cstheme="minorHAnsi"/>
          <w:sz w:val="22"/>
        </w:rPr>
      </w:pPr>
      <w:r w:rsidRPr="00BF2B98">
        <w:rPr>
          <w:rFonts w:asciiTheme="minorHAnsi" w:hAnsiTheme="minorHAnsi" w:cstheme="minorHAnsi"/>
          <w:sz w:val="22"/>
        </w:rPr>
        <w:t>Where:</w:t>
      </w:r>
    </w:p>
    <w:p w14:paraId="7D015B0D" w14:textId="566A3C41" w:rsidR="000318EB" w:rsidRDefault="00370928">
      <w:pPr>
        <w:pStyle w:val="BodyText"/>
        <w:tabs>
          <w:tab w:val="left" w:pos="3060"/>
          <w:tab w:val="left" w:pos="3150"/>
          <w:tab w:val="left" w:pos="3330"/>
        </w:tabs>
        <w:spacing w:before="240" w:after="120"/>
        <w:ind w:left="1733" w:hanging="720"/>
        <w:jc w:val="both"/>
        <w:rPr>
          <w:rFonts w:asciiTheme="minorHAnsi" w:hAnsiTheme="minorHAnsi" w:cstheme="minorHAnsi"/>
          <w:sz w:val="22"/>
        </w:rPr>
      </w:pPr>
      <w:r w:rsidRPr="00BF2B98">
        <w:rPr>
          <w:rFonts w:asciiTheme="minorHAnsi" w:hAnsiTheme="minorHAnsi" w:cstheme="minorHAnsi"/>
          <w:sz w:val="22"/>
        </w:rPr>
        <w:t>“F” is the</w:t>
      </w:r>
      <w:r>
        <w:rPr>
          <w:rFonts w:asciiTheme="minorHAnsi" w:hAnsiTheme="minorHAnsi" w:cstheme="minorHAnsi"/>
          <w:sz w:val="22"/>
        </w:rPr>
        <w:t xml:space="preserve"> “Cost </w:t>
      </w:r>
      <w:r w:rsidR="000B649D">
        <w:rPr>
          <w:rFonts w:asciiTheme="minorHAnsi" w:hAnsiTheme="minorHAnsi" w:cstheme="minorHAnsi"/>
          <w:sz w:val="22"/>
        </w:rPr>
        <w:t xml:space="preserve">Attributed to </w:t>
      </w:r>
      <w:r>
        <w:rPr>
          <w:rFonts w:asciiTheme="minorHAnsi" w:hAnsiTheme="minorHAnsi" w:cstheme="minorHAnsi"/>
          <w:sz w:val="22"/>
        </w:rPr>
        <w:t>Energy for AR Members’ Loads” computed as the</w:t>
      </w:r>
      <w:r w:rsidRPr="00BF2B98">
        <w:rPr>
          <w:rFonts w:asciiTheme="minorHAnsi" w:hAnsiTheme="minorHAnsi" w:cstheme="minorHAnsi"/>
          <w:sz w:val="22"/>
        </w:rPr>
        <w:t xml:space="preserve"> sum of (i) the cost of fuel burned in </w:t>
      </w:r>
      <w:r>
        <w:rPr>
          <w:rFonts w:asciiTheme="minorHAnsi" w:hAnsiTheme="minorHAnsi" w:cstheme="minorHAnsi"/>
          <w:sz w:val="22"/>
        </w:rPr>
        <w:t xml:space="preserve">and other variable costs of </w:t>
      </w:r>
      <w:r w:rsidRPr="00BF2B98">
        <w:rPr>
          <w:rFonts w:asciiTheme="minorHAnsi" w:hAnsiTheme="minorHAnsi" w:cstheme="minorHAnsi"/>
          <w:sz w:val="22"/>
        </w:rPr>
        <w:t xml:space="preserve">generation facilities </w:t>
      </w:r>
      <w:r>
        <w:rPr>
          <w:rFonts w:asciiTheme="minorHAnsi" w:hAnsiTheme="minorHAnsi" w:cstheme="minorHAnsi"/>
          <w:sz w:val="22"/>
        </w:rPr>
        <w:t>from</w:t>
      </w:r>
      <w:r w:rsidRPr="00BF2B98">
        <w:rPr>
          <w:rFonts w:asciiTheme="minorHAnsi" w:hAnsiTheme="minorHAnsi" w:cstheme="minorHAnsi"/>
          <w:sz w:val="22"/>
        </w:rPr>
        <w:t xml:space="preserve"> which KYMEA is entitled to energy through ownership</w:t>
      </w:r>
      <w:r w:rsidR="00624A87">
        <w:rPr>
          <w:rFonts w:asciiTheme="minorHAnsi" w:hAnsiTheme="minorHAnsi" w:cstheme="minorHAnsi"/>
          <w:sz w:val="22"/>
        </w:rPr>
        <w:t xml:space="preserve"> or</w:t>
      </w:r>
      <w:r w:rsidRPr="00BF2B98">
        <w:rPr>
          <w:rFonts w:asciiTheme="minorHAnsi" w:hAnsiTheme="minorHAnsi" w:cstheme="minorHAnsi"/>
          <w:sz w:val="22"/>
        </w:rPr>
        <w:t xml:space="preserve"> lease</w:t>
      </w:r>
      <w:r w:rsidR="008B6762">
        <w:rPr>
          <w:rFonts w:asciiTheme="minorHAnsi" w:hAnsiTheme="minorHAnsi" w:cstheme="minorHAnsi"/>
          <w:sz w:val="22"/>
        </w:rPr>
        <w:t>,</w:t>
      </w:r>
      <w:r w:rsidR="00F2024B" w:rsidRPr="00BF2B98">
        <w:rPr>
          <w:rFonts w:asciiTheme="minorHAnsi" w:hAnsiTheme="minorHAnsi" w:cstheme="minorHAnsi"/>
          <w:sz w:val="22"/>
        </w:rPr>
        <w:t xml:space="preserve"> </w:t>
      </w:r>
      <w:r w:rsidRPr="00BF2B98">
        <w:rPr>
          <w:rFonts w:asciiTheme="minorHAnsi" w:hAnsiTheme="minorHAnsi" w:cstheme="minorHAnsi"/>
          <w:sz w:val="22"/>
        </w:rPr>
        <w:t xml:space="preserve">and (ii) the </w:t>
      </w:r>
      <w:r w:rsidR="00624A87">
        <w:rPr>
          <w:rFonts w:asciiTheme="minorHAnsi" w:hAnsiTheme="minorHAnsi" w:cstheme="minorHAnsi"/>
          <w:sz w:val="22"/>
        </w:rPr>
        <w:t xml:space="preserve">cost </w:t>
      </w:r>
      <w:r w:rsidR="000B649D">
        <w:rPr>
          <w:rFonts w:asciiTheme="minorHAnsi" w:hAnsiTheme="minorHAnsi" w:cstheme="minorHAnsi"/>
          <w:sz w:val="22"/>
        </w:rPr>
        <w:t>attributed to</w:t>
      </w:r>
      <w:r>
        <w:rPr>
          <w:rFonts w:asciiTheme="minorHAnsi" w:hAnsiTheme="minorHAnsi" w:cstheme="minorHAnsi"/>
          <w:sz w:val="22"/>
        </w:rPr>
        <w:t xml:space="preserve"> </w:t>
      </w:r>
      <w:r w:rsidRPr="00BF2B98">
        <w:rPr>
          <w:rFonts w:asciiTheme="minorHAnsi" w:hAnsiTheme="minorHAnsi" w:cstheme="minorHAnsi"/>
          <w:sz w:val="22"/>
        </w:rPr>
        <w:t>energy purchased for the applicable month</w:t>
      </w:r>
      <w:r>
        <w:rPr>
          <w:rFonts w:asciiTheme="minorHAnsi" w:hAnsiTheme="minorHAnsi" w:cstheme="minorHAnsi"/>
          <w:sz w:val="22"/>
        </w:rPr>
        <w:t xml:space="preserve">, for all energy </w:t>
      </w:r>
      <w:r w:rsidR="00F2024B">
        <w:rPr>
          <w:rFonts w:asciiTheme="minorHAnsi" w:hAnsiTheme="minorHAnsi" w:cstheme="minorHAnsi"/>
          <w:sz w:val="22"/>
        </w:rPr>
        <w:t xml:space="preserve">determined </w:t>
      </w:r>
      <w:r>
        <w:rPr>
          <w:rFonts w:asciiTheme="minorHAnsi" w:hAnsiTheme="minorHAnsi" w:cstheme="minorHAnsi"/>
          <w:sz w:val="22"/>
        </w:rPr>
        <w:t xml:space="preserve">by KYMEA to </w:t>
      </w:r>
      <w:r w:rsidR="00F2024B">
        <w:rPr>
          <w:rFonts w:asciiTheme="minorHAnsi" w:hAnsiTheme="minorHAnsi" w:cstheme="minorHAnsi"/>
          <w:sz w:val="22"/>
        </w:rPr>
        <w:t xml:space="preserve">have </w:t>
      </w:r>
      <w:r>
        <w:rPr>
          <w:rFonts w:asciiTheme="minorHAnsi" w:hAnsiTheme="minorHAnsi" w:cstheme="minorHAnsi"/>
          <w:sz w:val="22"/>
        </w:rPr>
        <w:t>be</w:t>
      </w:r>
      <w:r w:rsidR="00F2024B">
        <w:rPr>
          <w:rFonts w:asciiTheme="minorHAnsi" w:hAnsiTheme="minorHAnsi" w:cstheme="minorHAnsi"/>
          <w:sz w:val="22"/>
        </w:rPr>
        <w:t>en</w:t>
      </w:r>
      <w:r>
        <w:rPr>
          <w:rFonts w:asciiTheme="minorHAnsi" w:hAnsiTheme="minorHAnsi" w:cstheme="minorHAnsi"/>
          <w:sz w:val="22"/>
        </w:rPr>
        <w:t xml:space="preserve"> used </w:t>
      </w:r>
      <w:r w:rsidRPr="00BF2B98">
        <w:rPr>
          <w:rFonts w:asciiTheme="minorHAnsi" w:hAnsiTheme="minorHAnsi" w:cstheme="minorHAnsi"/>
          <w:sz w:val="22"/>
        </w:rPr>
        <w:t>to serve the load</w:t>
      </w:r>
      <w:r w:rsidR="00F2024B">
        <w:rPr>
          <w:rFonts w:asciiTheme="minorHAnsi" w:hAnsiTheme="minorHAnsi" w:cstheme="minorHAnsi"/>
          <w:sz w:val="22"/>
        </w:rPr>
        <w:t>s</w:t>
      </w:r>
      <w:r w:rsidRPr="00BF2B98">
        <w:rPr>
          <w:rFonts w:asciiTheme="minorHAnsi" w:hAnsiTheme="minorHAnsi" w:cstheme="minorHAnsi"/>
          <w:sz w:val="22"/>
        </w:rPr>
        <w:t xml:space="preserve"> of the AR Members.</w:t>
      </w:r>
      <w:r>
        <w:rPr>
          <w:rFonts w:asciiTheme="minorHAnsi" w:hAnsiTheme="minorHAnsi" w:cstheme="minorHAnsi"/>
          <w:sz w:val="22"/>
        </w:rPr>
        <w:t xml:space="preserve"> </w:t>
      </w:r>
    </w:p>
    <w:p w14:paraId="1DCE39AD" w14:textId="4E86AB0B" w:rsidR="00370928" w:rsidRPr="00BF2B98" w:rsidRDefault="000318EB">
      <w:pPr>
        <w:pStyle w:val="BodyText"/>
        <w:tabs>
          <w:tab w:val="left" w:pos="3060"/>
          <w:tab w:val="left" w:pos="3150"/>
          <w:tab w:val="left" w:pos="3330"/>
        </w:tabs>
        <w:spacing w:before="240" w:after="120"/>
        <w:ind w:left="1733" w:hanging="7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370928">
        <w:rPr>
          <w:rFonts w:asciiTheme="minorHAnsi" w:hAnsiTheme="minorHAnsi" w:cstheme="minorHAnsi"/>
          <w:sz w:val="22"/>
        </w:rPr>
        <w:t xml:space="preserve">Costs of energy sold by KYMEA to other parties and revenue from sales to other parties shall not be included. Benefits of purchasing economy energy from others </w:t>
      </w:r>
      <w:r w:rsidR="008B6762">
        <w:rPr>
          <w:rFonts w:asciiTheme="minorHAnsi" w:hAnsiTheme="minorHAnsi" w:cstheme="minorHAnsi"/>
          <w:sz w:val="22"/>
        </w:rPr>
        <w:t xml:space="preserve">(including from </w:t>
      </w:r>
      <w:r w:rsidR="00370928">
        <w:rPr>
          <w:rFonts w:asciiTheme="minorHAnsi" w:hAnsiTheme="minorHAnsi" w:cstheme="minorHAnsi"/>
          <w:sz w:val="22"/>
        </w:rPr>
        <w:t>energy markets</w:t>
      </w:r>
      <w:r w:rsidR="008B6762">
        <w:rPr>
          <w:rFonts w:asciiTheme="minorHAnsi" w:hAnsiTheme="minorHAnsi" w:cstheme="minorHAnsi"/>
          <w:sz w:val="22"/>
        </w:rPr>
        <w:t>)</w:t>
      </w:r>
      <w:r w:rsidR="00370928">
        <w:rPr>
          <w:rFonts w:asciiTheme="minorHAnsi" w:hAnsiTheme="minorHAnsi" w:cstheme="minorHAnsi"/>
          <w:sz w:val="22"/>
        </w:rPr>
        <w:t xml:space="preserve"> to reduce the amount of energy otherwise used from the resources available to KYMEA through ownership, lease, or contract also will not be reflected in the computation of the Cost </w:t>
      </w:r>
      <w:r w:rsidR="000B649D">
        <w:rPr>
          <w:rFonts w:asciiTheme="minorHAnsi" w:hAnsiTheme="minorHAnsi" w:cstheme="minorHAnsi"/>
          <w:sz w:val="22"/>
        </w:rPr>
        <w:t xml:space="preserve">Attributed to </w:t>
      </w:r>
      <w:r w:rsidR="00370928">
        <w:rPr>
          <w:rFonts w:asciiTheme="minorHAnsi" w:hAnsiTheme="minorHAnsi" w:cstheme="minorHAnsi"/>
          <w:sz w:val="22"/>
        </w:rPr>
        <w:t>Energy for AR Members’ Loads</w:t>
      </w:r>
      <w:r w:rsidR="00CB4740">
        <w:rPr>
          <w:rFonts w:asciiTheme="minorHAnsi" w:hAnsiTheme="minorHAnsi" w:cstheme="minorHAnsi"/>
          <w:sz w:val="22"/>
        </w:rPr>
        <w:t xml:space="preserve">, based on a reasonable estimate of such </w:t>
      </w:r>
      <w:r w:rsidR="002E20C3">
        <w:rPr>
          <w:rFonts w:asciiTheme="minorHAnsi" w:hAnsiTheme="minorHAnsi" w:cstheme="minorHAnsi"/>
          <w:sz w:val="22"/>
        </w:rPr>
        <w:t>benefit</w:t>
      </w:r>
      <w:r w:rsidR="00DE2882">
        <w:rPr>
          <w:rFonts w:asciiTheme="minorHAnsi" w:hAnsiTheme="minorHAnsi" w:cstheme="minorHAnsi"/>
          <w:sz w:val="22"/>
        </w:rPr>
        <w:t>s</w:t>
      </w:r>
      <w:r w:rsidR="00370928">
        <w:rPr>
          <w:rFonts w:asciiTheme="minorHAnsi" w:hAnsiTheme="minorHAnsi" w:cstheme="minorHAnsi"/>
          <w:sz w:val="22"/>
        </w:rPr>
        <w:t>.</w:t>
      </w:r>
      <w:r w:rsidR="002E20C3">
        <w:rPr>
          <w:rFonts w:asciiTheme="minorHAnsi" w:hAnsiTheme="minorHAnsi" w:cstheme="minorHAnsi"/>
          <w:sz w:val="22"/>
        </w:rPr>
        <w:t xml:space="preserve"> </w:t>
      </w:r>
      <w:r w:rsidR="00370928">
        <w:rPr>
          <w:rFonts w:asciiTheme="minorHAnsi" w:hAnsiTheme="minorHAnsi" w:cstheme="minorHAnsi"/>
          <w:sz w:val="22"/>
        </w:rPr>
        <w:t>For this purpose, “</w:t>
      </w:r>
      <w:r w:rsidR="000B649D">
        <w:rPr>
          <w:rFonts w:asciiTheme="minorHAnsi" w:hAnsiTheme="minorHAnsi" w:cstheme="minorHAnsi"/>
          <w:sz w:val="22"/>
        </w:rPr>
        <w:t>c</w:t>
      </w:r>
      <w:r w:rsidR="000E3889">
        <w:rPr>
          <w:rFonts w:asciiTheme="minorHAnsi" w:hAnsiTheme="minorHAnsi" w:cstheme="minorHAnsi"/>
          <w:sz w:val="22"/>
        </w:rPr>
        <w:t>ost attributed</w:t>
      </w:r>
      <w:r w:rsidR="000B649D">
        <w:rPr>
          <w:rFonts w:asciiTheme="minorHAnsi" w:hAnsiTheme="minorHAnsi" w:cstheme="minorHAnsi"/>
          <w:sz w:val="22"/>
        </w:rPr>
        <w:t xml:space="preserve"> to</w:t>
      </w:r>
      <w:r w:rsidR="00370928">
        <w:rPr>
          <w:rFonts w:asciiTheme="minorHAnsi" w:hAnsiTheme="minorHAnsi" w:cstheme="minorHAnsi"/>
          <w:sz w:val="22"/>
        </w:rPr>
        <w:t xml:space="preserve"> energy purchased” shall include all charges by seller</w:t>
      </w:r>
      <w:r w:rsidR="004B11AF">
        <w:rPr>
          <w:rFonts w:asciiTheme="minorHAnsi" w:hAnsiTheme="minorHAnsi" w:cstheme="minorHAnsi"/>
          <w:sz w:val="22"/>
        </w:rPr>
        <w:t>s</w:t>
      </w:r>
      <w:r w:rsidR="00370928">
        <w:rPr>
          <w:rFonts w:asciiTheme="minorHAnsi" w:hAnsiTheme="minorHAnsi" w:cstheme="minorHAnsi"/>
          <w:sz w:val="22"/>
        </w:rPr>
        <w:t xml:space="preserve"> that are expressed as a charge based on the amount of energy delivered. Should </w:t>
      </w:r>
      <w:r w:rsidR="004B11AF">
        <w:rPr>
          <w:rFonts w:asciiTheme="minorHAnsi" w:hAnsiTheme="minorHAnsi" w:cstheme="minorHAnsi"/>
          <w:sz w:val="22"/>
        </w:rPr>
        <w:t xml:space="preserve">the delivery point for </w:t>
      </w:r>
      <w:r w:rsidR="00370928">
        <w:rPr>
          <w:rFonts w:asciiTheme="minorHAnsi" w:hAnsiTheme="minorHAnsi" w:cstheme="minorHAnsi"/>
          <w:sz w:val="22"/>
        </w:rPr>
        <w:t xml:space="preserve">energy generated or purchased not be </w:t>
      </w:r>
      <w:r w:rsidR="004B11AF">
        <w:rPr>
          <w:rFonts w:asciiTheme="minorHAnsi" w:hAnsiTheme="minorHAnsi" w:cstheme="minorHAnsi"/>
          <w:sz w:val="22"/>
        </w:rPr>
        <w:t xml:space="preserve">at an </w:t>
      </w:r>
      <w:r w:rsidR="00370928">
        <w:rPr>
          <w:rFonts w:asciiTheme="minorHAnsi" w:hAnsiTheme="minorHAnsi" w:cstheme="minorHAnsi"/>
          <w:sz w:val="22"/>
        </w:rPr>
        <w:t xml:space="preserve">input to the LGE/KU transmission system, appropriate adjustment shall be made for the basis difference between the point of delivery and the point (or interface) at which the energy is delivered to the LGE/KU system. (For instance, should KYMEA purchase energy </w:t>
      </w:r>
      <w:r w:rsidR="00C3628E">
        <w:rPr>
          <w:rFonts w:asciiTheme="minorHAnsi" w:hAnsiTheme="minorHAnsi" w:cstheme="minorHAnsi"/>
          <w:sz w:val="22"/>
        </w:rPr>
        <w:t xml:space="preserve">delivered </w:t>
      </w:r>
      <w:r w:rsidR="00370928">
        <w:rPr>
          <w:rFonts w:asciiTheme="minorHAnsi" w:hAnsiTheme="minorHAnsi" w:cstheme="minorHAnsi"/>
          <w:sz w:val="22"/>
        </w:rPr>
        <w:t xml:space="preserve">at the BREC.Wilson node in MISO to serve the AR Members’ loads, “actual charges for energy purchased” shall include the price charged by seller for energy delivered </w:t>
      </w:r>
      <w:r w:rsidR="00D102BF">
        <w:rPr>
          <w:rFonts w:asciiTheme="minorHAnsi" w:hAnsiTheme="minorHAnsi" w:cstheme="minorHAnsi"/>
          <w:sz w:val="22"/>
        </w:rPr>
        <w:t xml:space="preserve">at </w:t>
      </w:r>
      <w:r w:rsidR="00370928">
        <w:rPr>
          <w:rFonts w:asciiTheme="minorHAnsi" w:hAnsiTheme="minorHAnsi" w:cstheme="minorHAnsi"/>
          <w:sz w:val="22"/>
        </w:rPr>
        <w:t xml:space="preserve">that node, plus the difference </w:t>
      </w:r>
      <w:r w:rsidR="00C3628E">
        <w:rPr>
          <w:rFonts w:asciiTheme="minorHAnsi" w:hAnsiTheme="minorHAnsi" w:cstheme="minorHAnsi"/>
          <w:sz w:val="22"/>
        </w:rPr>
        <w:t xml:space="preserve">(positive or negative) </w:t>
      </w:r>
      <w:r w:rsidR="00370928">
        <w:rPr>
          <w:rFonts w:asciiTheme="minorHAnsi" w:hAnsiTheme="minorHAnsi" w:cstheme="minorHAnsi"/>
          <w:sz w:val="22"/>
        </w:rPr>
        <w:t xml:space="preserve">between the appropriate MISO </w:t>
      </w:r>
      <w:r w:rsidR="00C3628E">
        <w:rPr>
          <w:rFonts w:asciiTheme="minorHAnsi" w:hAnsiTheme="minorHAnsi" w:cstheme="minorHAnsi"/>
          <w:sz w:val="22"/>
        </w:rPr>
        <w:t>Locational Marginal Price (</w:t>
      </w:r>
      <w:r w:rsidR="00370928">
        <w:rPr>
          <w:rFonts w:asciiTheme="minorHAnsi" w:hAnsiTheme="minorHAnsi" w:cstheme="minorHAnsi"/>
          <w:sz w:val="22"/>
        </w:rPr>
        <w:t>LMP</w:t>
      </w:r>
      <w:r w:rsidR="00C3628E">
        <w:rPr>
          <w:rFonts w:asciiTheme="minorHAnsi" w:hAnsiTheme="minorHAnsi" w:cstheme="minorHAnsi"/>
          <w:sz w:val="22"/>
        </w:rPr>
        <w:t>)</w:t>
      </w:r>
      <w:r w:rsidR="00370928">
        <w:rPr>
          <w:rFonts w:asciiTheme="minorHAnsi" w:hAnsiTheme="minorHAnsi" w:cstheme="minorHAnsi"/>
          <w:sz w:val="22"/>
        </w:rPr>
        <w:t xml:space="preserve"> at the LG&amp;E/KU interface and the MISO LMP at the BREC.Wilson node.)</w:t>
      </w:r>
      <w:r w:rsidR="004342F8">
        <w:rPr>
          <w:rFonts w:asciiTheme="minorHAnsi" w:hAnsiTheme="minorHAnsi" w:cstheme="minorHAnsi"/>
          <w:sz w:val="22"/>
        </w:rPr>
        <w:t xml:space="preserve"> Costs of and revenues</w:t>
      </w:r>
      <w:r w:rsidR="002932EF">
        <w:rPr>
          <w:rFonts w:asciiTheme="minorHAnsi" w:hAnsiTheme="minorHAnsi" w:cstheme="minorHAnsi"/>
          <w:sz w:val="22"/>
        </w:rPr>
        <w:t>/benefits</w:t>
      </w:r>
      <w:r w:rsidR="004342F8">
        <w:rPr>
          <w:rFonts w:asciiTheme="minorHAnsi" w:hAnsiTheme="minorHAnsi" w:cstheme="minorHAnsi"/>
          <w:sz w:val="22"/>
        </w:rPr>
        <w:t xml:space="preserve"> from </w:t>
      </w:r>
      <w:r w:rsidR="00E82278">
        <w:rPr>
          <w:rFonts w:asciiTheme="minorHAnsi" w:hAnsiTheme="minorHAnsi" w:cstheme="minorHAnsi"/>
          <w:sz w:val="22"/>
        </w:rPr>
        <w:t>a risk management</w:t>
      </w:r>
      <w:r w:rsidR="004342F8">
        <w:rPr>
          <w:rFonts w:asciiTheme="minorHAnsi" w:hAnsiTheme="minorHAnsi" w:cstheme="minorHAnsi"/>
          <w:sz w:val="22"/>
        </w:rPr>
        <w:t xml:space="preserve"> instrument obtained by KYMEA to manage energy costs in the month </w:t>
      </w:r>
      <w:r w:rsidR="001D33FA">
        <w:rPr>
          <w:rFonts w:asciiTheme="minorHAnsi" w:hAnsiTheme="minorHAnsi" w:cstheme="minorHAnsi"/>
          <w:sz w:val="22"/>
        </w:rPr>
        <w:t xml:space="preserve">for which the </w:t>
      </w:r>
      <w:r w:rsidR="001D33FA" w:rsidRPr="00BF2B98">
        <w:rPr>
          <w:rFonts w:asciiTheme="minorHAnsi" w:hAnsiTheme="minorHAnsi" w:cstheme="minorHAnsi"/>
          <w:sz w:val="22"/>
        </w:rPr>
        <w:t>Adjustment Charge 1 F</w:t>
      </w:r>
      <w:r w:rsidR="001D33FA">
        <w:rPr>
          <w:rFonts w:asciiTheme="minorHAnsi" w:hAnsiTheme="minorHAnsi" w:cstheme="minorHAnsi"/>
          <w:sz w:val="22"/>
        </w:rPr>
        <w:t xml:space="preserve">actor is being determined shall be included. Any premium paid to acquire such instrument shall, for this purpose, be appropriately amortized over the months </w:t>
      </w:r>
      <w:r w:rsidR="00684E06">
        <w:rPr>
          <w:rFonts w:asciiTheme="minorHAnsi" w:hAnsiTheme="minorHAnsi" w:cstheme="minorHAnsi"/>
          <w:sz w:val="22"/>
        </w:rPr>
        <w:t>for</w:t>
      </w:r>
      <w:r w:rsidR="001D33FA">
        <w:rPr>
          <w:rFonts w:asciiTheme="minorHAnsi" w:hAnsiTheme="minorHAnsi" w:cstheme="minorHAnsi"/>
          <w:sz w:val="22"/>
        </w:rPr>
        <w:t xml:space="preserve"> which the instrument </w:t>
      </w:r>
      <w:r w:rsidR="00684E06">
        <w:rPr>
          <w:rFonts w:asciiTheme="minorHAnsi" w:hAnsiTheme="minorHAnsi" w:cstheme="minorHAnsi"/>
          <w:sz w:val="22"/>
        </w:rPr>
        <w:t>was obtained</w:t>
      </w:r>
      <w:r w:rsidR="001D33FA">
        <w:rPr>
          <w:rFonts w:asciiTheme="minorHAnsi" w:hAnsiTheme="minorHAnsi" w:cstheme="minorHAnsi"/>
          <w:sz w:val="22"/>
        </w:rPr>
        <w:t>.</w:t>
      </w:r>
    </w:p>
    <w:p w14:paraId="0B876AC2" w14:textId="492D0432" w:rsidR="00370928" w:rsidRPr="00BF2B98" w:rsidRDefault="00370928">
      <w:pPr>
        <w:pStyle w:val="BodyText"/>
        <w:spacing w:before="240" w:after="120"/>
        <w:ind w:left="1747" w:hanging="720"/>
        <w:jc w:val="both"/>
        <w:rPr>
          <w:rFonts w:asciiTheme="minorHAnsi" w:hAnsiTheme="minorHAnsi" w:cstheme="minorHAnsi"/>
          <w:sz w:val="22"/>
        </w:rPr>
      </w:pPr>
      <w:r w:rsidRPr="00BF2B98">
        <w:rPr>
          <w:rFonts w:asciiTheme="minorHAnsi" w:hAnsiTheme="minorHAnsi" w:cstheme="minorHAnsi"/>
          <w:sz w:val="22"/>
        </w:rPr>
        <w:t>“S” is the total kilowatt-hour sales of energy by KYMEA to AR Members during the</w:t>
      </w:r>
      <w:r w:rsidRPr="00BF2B98">
        <w:rPr>
          <w:rFonts w:asciiTheme="minorHAnsi" w:hAnsiTheme="minorHAnsi" w:cstheme="minorHAnsi"/>
          <w:spacing w:val="-1"/>
          <w:sz w:val="22"/>
        </w:rPr>
        <w:t xml:space="preserve"> </w:t>
      </w:r>
      <w:r w:rsidRPr="00BF2B98">
        <w:rPr>
          <w:rFonts w:asciiTheme="minorHAnsi" w:hAnsiTheme="minorHAnsi" w:cstheme="minorHAnsi"/>
          <w:sz w:val="22"/>
        </w:rPr>
        <w:t>month</w:t>
      </w:r>
      <w:r w:rsidR="009209D9">
        <w:rPr>
          <w:rFonts w:asciiTheme="minorHAnsi" w:hAnsiTheme="minorHAnsi" w:cstheme="minorHAnsi"/>
          <w:sz w:val="22"/>
        </w:rPr>
        <w:t xml:space="preserve"> for which </w:t>
      </w:r>
      <w:r w:rsidR="009209D9" w:rsidRPr="00BF2B98">
        <w:rPr>
          <w:rFonts w:asciiTheme="minorHAnsi" w:hAnsiTheme="minorHAnsi" w:cstheme="minorHAnsi"/>
          <w:sz w:val="22"/>
        </w:rPr>
        <w:t>Adjustment Charge 1 Factor</w:t>
      </w:r>
      <w:r w:rsidR="009209D9">
        <w:rPr>
          <w:rFonts w:asciiTheme="minorHAnsi" w:hAnsiTheme="minorHAnsi" w:cstheme="minorHAnsi"/>
          <w:sz w:val="22"/>
        </w:rPr>
        <w:t xml:space="preserve"> is being determined</w:t>
      </w:r>
      <w:r w:rsidRPr="00BF2B98">
        <w:rPr>
          <w:rFonts w:asciiTheme="minorHAnsi" w:hAnsiTheme="minorHAnsi" w:cstheme="minorHAnsi"/>
          <w:sz w:val="22"/>
        </w:rPr>
        <w:t>.</w:t>
      </w:r>
    </w:p>
    <w:p w14:paraId="65173DD6" w14:textId="77777777" w:rsidR="00370928" w:rsidRDefault="00370928">
      <w:pPr>
        <w:pStyle w:val="BodyText"/>
        <w:spacing w:before="240" w:after="120"/>
        <w:ind w:left="1027"/>
        <w:jc w:val="both"/>
        <w:rPr>
          <w:rFonts w:asciiTheme="minorHAnsi" w:hAnsiTheme="minorHAnsi" w:cstheme="minorHAnsi"/>
          <w:sz w:val="22"/>
        </w:rPr>
      </w:pPr>
      <w:r w:rsidRPr="00BF2B98">
        <w:rPr>
          <w:rFonts w:asciiTheme="minorHAnsi" w:hAnsiTheme="minorHAnsi" w:cstheme="minorHAnsi"/>
          <w:sz w:val="22"/>
        </w:rPr>
        <w:t>“ECA Base” is $</w:t>
      </w:r>
      <w:r w:rsidRPr="00BF2B98">
        <w:rPr>
          <w:rFonts w:asciiTheme="minorHAnsi" w:eastAsiaTheme="minorEastAsia" w:hAnsiTheme="minorHAnsi" w:cstheme="minorHAnsi"/>
          <w:bCs/>
          <w:color w:val="000000" w:themeColor="dark1"/>
          <w:kern w:val="24"/>
          <w:sz w:val="32"/>
          <w:szCs w:val="32"/>
        </w:rPr>
        <w:t xml:space="preserve"> </w:t>
      </w:r>
      <w:r w:rsidRPr="00BF2B98">
        <w:rPr>
          <w:rFonts w:asciiTheme="minorHAnsi" w:hAnsiTheme="minorHAnsi" w:cstheme="minorHAnsi"/>
          <w:bCs/>
          <w:sz w:val="22"/>
        </w:rPr>
        <w:t>0.0</w:t>
      </w:r>
      <w:r>
        <w:rPr>
          <w:rFonts w:asciiTheme="minorHAnsi" w:hAnsiTheme="minorHAnsi" w:cstheme="minorHAnsi"/>
          <w:bCs/>
          <w:sz w:val="22"/>
        </w:rPr>
        <w:t>21684</w:t>
      </w:r>
      <w:r w:rsidRPr="00BF2B98">
        <w:rPr>
          <w:rFonts w:asciiTheme="minorHAnsi" w:hAnsiTheme="minorHAnsi" w:cstheme="minorHAnsi"/>
          <w:sz w:val="22"/>
        </w:rPr>
        <w:t>/kWh.</w:t>
      </w:r>
    </w:p>
    <w:p w14:paraId="56FFA65E" w14:textId="28E21B88" w:rsidR="00624A87" w:rsidRDefault="00624A87" w:rsidP="000C679F">
      <w:pPr>
        <w:pStyle w:val="BodyText"/>
        <w:spacing w:before="240" w:after="120"/>
        <w:ind w:left="720"/>
        <w:jc w:val="both"/>
        <w:rPr>
          <w:rFonts w:asciiTheme="minorHAnsi" w:hAnsiTheme="minorHAnsi" w:cstheme="minorHAnsi"/>
          <w:sz w:val="22"/>
        </w:rPr>
      </w:pPr>
      <w:r w:rsidRPr="00053B44">
        <w:rPr>
          <w:rFonts w:asciiTheme="minorHAnsi" w:hAnsiTheme="minorHAnsi" w:cstheme="minorHAnsi"/>
          <w:sz w:val="22"/>
        </w:rPr>
        <w:lastRenderedPageBreak/>
        <w:t xml:space="preserve">Adjustment Charge 2 shall be </w:t>
      </w:r>
      <w:r w:rsidR="009F57F8" w:rsidRPr="00053B44">
        <w:rPr>
          <w:rFonts w:asciiTheme="minorHAnsi" w:hAnsiTheme="minorHAnsi" w:cstheme="minorHAnsi"/>
          <w:sz w:val="22"/>
        </w:rPr>
        <w:t xml:space="preserve">an amount equal to </w:t>
      </w:r>
      <w:r w:rsidR="000B649D" w:rsidRPr="00053B44">
        <w:rPr>
          <w:rFonts w:asciiTheme="minorHAnsi" w:hAnsiTheme="minorHAnsi" w:cstheme="minorHAnsi"/>
          <w:sz w:val="22"/>
        </w:rPr>
        <w:t>the product</w:t>
      </w:r>
      <w:r w:rsidR="009F57F8" w:rsidRPr="00053B44">
        <w:rPr>
          <w:rFonts w:asciiTheme="minorHAnsi" w:hAnsiTheme="minorHAnsi" w:cstheme="minorHAnsi"/>
          <w:sz w:val="22"/>
        </w:rPr>
        <w:t xml:space="preserve"> of Adjustment Charge 2 Factor times the Member’s Monthly Energy Requirement for the current billing month.</w:t>
      </w:r>
    </w:p>
    <w:p w14:paraId="31255837" w14:textId="3F20EB18" w:rsidR="00370928" w:rsidRPr="00BF2B98" w:rsidRDefault="00370928" w:rsidP="000C679F">
      <w:pPr>
        <w:pStyle w:val="BodyText"/>
        <w:spacing w:before="240" w:after="120"/>
        <w:ind w:left="720"/>
        <w:jc w:val="both"/>
        <w:rPr>
          <w:rFonts w:asciiTheme="minorHAnsi" w:hAnsiTheme="minorHAnsi" w:cstheme="minorHAnsi"/>
          <w:sz w:val="22"/>
        </w:rPr>
      </w:pPr>
      <w:r w:rsidRPr="00BF2B98">
        <w:rPr>
          <w:rFonts w:asciiTheme="minorHAnsi" w:hAnsiTheme="minorHAnsi" w:cstheme="minorHAnsi"/>
          <w:sz w:val="22"/>
        </w:rPr>
        <w:t xml:space="preserve">The Adjustment Charge 2 Factor shall be $0.000/kWh for </w:t>
      </w:r>
      <w:r w:rsidR="000E3889">
        <w:rPr>
          <w:rFonts w:asciiTheme="minorHAnsi" w:hAnsiTheme="minorHAnsi" w:cstheme="minorHAnsi"/>
          <w:sz w:val="22"/>
        </w:rPr>
        <w:t>the current fiscal year</w:t>
      </w:r>
      <w:r w:rsidR="00053B44">
        <w:rPr>
          <w:rFonts w:asciiTheme="minorHAnsi" w:hAnsiTheme="minorHAnsi" w:cstheme="minorHAnsi"/>
          <w:sz w:val="22"/>
        </w:rPr>
        <w:t>,</w:t>
      </w:r>
      <w:r w:rsidR="000E3889">
        <w:rPr>
          <w:rFonts w:asciiTheme="minorHAnsi" w:hAnsiTheme="minorHAnsi" w:cstheme="minorHAnsi"/>
          <w:sz w:val="22"/>
        </w:rPr>
        <w:t xml:space="preserve"> </w:t>
      </w:r>
      <w:r w:rsidR="000E3889" w:rsidRPr="00985613">
        <w:rPr>
          <w:rFonts w:asciiTheme="minorHAnsi" w:hAnsiTheme="minorHAnsi" w:cstheme="minorHAnsi"/>
          <w:sz w:val="22"/>
        </w:rPr>
        <w:t>if KYMEA’s cash balances at the beginning of the fiscal year exceed 120 days of budgeted operating expenses</w:t>
      </w:r>
      <w:r w:rsidR="000E3889">
        <w:rPr>
          <w:rFonts w:asciiTheme="minorHAnsi" w:hAnsiTheme="minorHAnsi" w:cstheme="minorHAnsi"/>
          <w:sz w:val="22"/>
        </w:rPr>
        <w:t>.  If said balances are lower, the</w:t>
      </w:r>
      <w:r w:rsidR="000E3889" w:rsidRPr="000E3889">
        <w:rPr>
          <w:rFonts w:asciiTheme="minorHAnsi" w:hAnsiTheme="minorHAnsi" w:cstheme="minorHAnsi"/>
          <w:sz w:val="22"/>
        </w:rPr>
        <w:t xml:space="preserve"> </w:t>
      </w:r>
      <w:r w:rsidR="000E3889" w:rsidRPr="00BF2B98">
        <w:rPr>
          <w:rFonts w:asciiTheme="minorHAnsi" w:hAnsiTheme="minorHAnsi" w:cstheme="minorHAnsi"/>
          <w:sz w:val="22"/>
        </w:rPr>
        <w:t>Adjustment Charge 2 Factor shall be</w:t>
      </w:r>
      <w:r w:rsidR="000E3889">
        <w:rPr>
          <w:rFonts w:asciiTheme="minorHAnsi" w:hAnsiTheme="minorHAnsi" w:cstheme="minorHAnsi"/>
          <w:sz w:val="22"/>
        </w:rPr>
        <w:t xml:space="preserve"> determined </w:t>
      </w:r>
      <w:r w:rsidRPr="00BF2B98">
        <w:rPr>
          <w:rFonts w:asciiTheme="minorHAnsi" w:hAnsiTheme="minorHAnsi" w:cstheme="minorHAnsi"/>
          <w:sz w:val="22"/>
        </w:rPr>
        <w:t>as provided below.</w:t>
      </w:r>
    </w:p>
    <w:p w14:paraId="00B5F7FF" w14:textId="0C95D3E6" w:rsidR="00370928" w:rsidRPr="00BF2B98" w:rsidRDefault="00370928">
      <w:pPr>
        <w:pStyle w:val="ListParagraph"/>
        <w:widowControl w:val="0"/>
        <w:numPr>
          <w:ilvl w:val="0"/>
          <w:numId w:val="6"/>
        </w:numPr>
        <w:tabs>
          <w:tab w:val="left" w:pos="2984"/>
        </w:tabs>
        <w:autoSpaceDE w:val="0"/>
        <w:autoSpaceDN w:val="0"/>
        <w:spacing w:before="240" w:after="120" w:line="240" w:lineRule="auto"/>
        <w:ind w:left="1440"/>
        <w:contextualSpacing w:val="0"/>
        <w:jc w:val="both"/>
        <w:rPr>
          <w:rFonts w:cstheme="minorHAnsi"/>
          <w:sz w:val="20"/>
        </w:rPr>
      </w:pPr>
      <w:r w:rsidRPr="00BF2B98">
        <w:rPr>
          <w:rFonts w:cstheme="minorHAnsi"/>
        </w:rPr>
        <w:t>If</w:t>
      </w:r>
      <w:r w:rsidR="00B82BB0">
        <w:rPr>
          <w:rFonts w:cstheme="minorHAnsi"/>
        </w:rPr>
        <w:t>,</w:t>
      </w:r>
      <w:r w:rsidRPr="00BF2B98">
        <w:rPr>
          <w:rFonts w:cstheme="minorHAnsi"/>
        </w:rPr>
        <w:t xml:space="preserve"> </w:t>
      </w:r>
      <w:r w:rsidR="00B82BB0">
        <w:rPr>
          <w:rFonts w:cstheme="minorHAnsi"/>
        </w:rPr>
        <w:t xml:space="preserve">for the period from the beginning of the current fiscal year </w:t>
      </w:r>
      <w:r w:rsidRPr="00BF2B98">
        <w:rPr>
          <w:rFonts w:cstheme="minorHAnsi"/>
        </w:rPr>
        <w:t xml:space="preserve">through, and including, the </w:t>
      </w:r>
      <w:r w:rsidR="000B649D">
        <w:rPr>
          <w:rFonts w:cstheme="minorHAnsi"/>
        </w:rPr>
        <w:t xml:space="preserve">current billing </w:t>
      </w:r>
      <w:r w:rsidRPr="00BF2B98">
        <w:rPr>
          <w:rFonts w:cstheme="minorHAnsi"/>
        </w:rPr>
        <w:t xml:space="preserve">month, </w:t>
      </w:r>
      <w:r w:rsidR="001741AC">
        <w:rPr>
          <w:rFonts w:cstheme="minorHAnsi"/>
        </w:rPr>
        <w:t xml:space="preserve">both </w:t>
      </w:r>
      <w:r w:rsidR="000E3889">
        <w:rPr>
          <w:rFonts w:cstheme="minorHAnsi"/>
        </w:rPr>
        <w:t xml:space="preserve">the </w:t>
      </w:r>
      <w:r w:rsidRPr="00BF2B98">
        <w:rPr>
          <w:rFonts w:cstheme="minorHAnsi"/>
        </w:rPr>
        <w:t xml:space="preserve">Shortfall in </w:t>
      </w:r>
      <w:r w:rsidR="00EA3F73">
        <w:rPr>
          <w:rFonts w:cstheme="minorHAnsi"/>
        </w:rPr>
        <w:t xml:space="preserve">Total </w:t>
      </w:r>
      <w:r w:rsidRPr="00BF2B98">
        <w:rPr>
          <w:rFonts w:cstheme="minorHAnsi"/>
        </w:rPr>
        <w:t xml:space="preserve">Demand Charges and </w:t>
      </w:r>
      <w:r w:rsidR="000E3889">
        <w:rPr>
          <w:rFonts w:cstheme="minorHAnsi"/>
        </w:rPr>
        <w:t xml:space="preserve">the </w:t>
      </w:r>
      <w:r w:rsidRPr="00BF2B98">
        <w:rPr>
          <w:rFonts w:cstheme="minorHAnsi"/>
        </w:rPr>
        <w:t xml:space="preserve">Shortfall in Net Operating Income </w:t>
      </w:r>
      <w:r w:rsidR="001741AC">
        <w:rPr>
          <w:rFonts w:cstheme="minorHAnsi"/>
        </w:rPr>
        <w:t xml:space="preserve">each </w:t>
      </w:r>
      <w:r w:rsidR="00B82BB0">
        <w:rPr>
          <w:rFonts w:cstheme="minorHAnsi"/>
        </w:rPr>
        <w:t>exceed</w:t>
      </w:r>
      <w:r w:rsidR="001741AC">
        <w:rPr>
          <w:rFonts w:cstheme="minorHAnsi"/>
        </w:rPr>
        <w:t>s</w:t>
      </w:r>
      <w:r w:rsidR="00B82BB0">
        <w:rPr>
          <w:rFonts w:cstheme="minorHAnsi"/>
        </w:rPr>
        <w:t xml:space="preserve"> </w:t>
      </w:r>
      <w:r w:rsidRPr="00BF2B98">
        <w:rPr>
          <w:rFonts w:cstheme="minorHAnsi"/>
        </w:rPr>
        <w:t xml:space="preserve">one million dollars ($1,000,000), the Adjustment Charge 2 Factor for </w:t>
      </w:r>
      <w:r w:rsidR="000E3889">
        <w:rPr>
          <w:rFonts w:cstheme="minorHAnsi"/>
        </w:rPr>
        <w:t>the current billing</w:t>
      </w:r>
      <w:r w:rsidR="000E3889" w:rsidRPr="00BF2B98">
        <w:rPr>
          <w:rFonts w:cstheme="minorHAnsi"/>
        </w:rPr>
        <w:t xml:space="preserve"> </w:t>
      </w:r>
      <w:r w:rsidRPr="00BF2B98">
        <w:rPr>
          <w:rFonts w:cstheme="minorHAnsi"/>
        </w:rPr>
        <w:t>month, and for each subsequent month of the current fiscal year, shall be</w:t>
      </w:r>
      <w:r w:rsidRPr="00BF2B98">
        <w:rPr>
          <w:rFonts w:cstheme="minorHAnsi"/>
          <w:spacing w:val="-5"/>
        </w:rPr>
        <w:t xml:space="preserve"> </w:t>
      </w:r>
      <w:r w:rsidRPr="00BF2B98">
        <w:rPr>
          <w:rFonts w:cstheme="minorHAnsi"/>
        </w:rPr>
        <w:t>$0.002/kWh.</w:t>
      </w:r>
    </w:p>
    <w:p w14:paraId="5FF7A616" w14:textId="66559614" w:rsidR="00370928" w:rsidRPr="00BF2B98" w:rsidRDefault="00370928">
      <w:pPr>
        <w:pStyle w:val="ListParagraph"/>
        <w:widowControl w:val="0"/>
        <w:numPr>
          <w:ilvl w:val="0"/>
          <w:numId w:val="6"/>
        </w:numPr>
        <w:tabs>
          <w:tab w:val="left" w:pos="2984"/>
        </w:tabs>
        <w:autoSpaceDE w:val="0"/>
        <w:autoSpaceDN w:val="0"/>
        <w:spacing w:before="240" w:after="120" w:line="240" w:lineRule="auto"/>
        <w:ind w:left="1440"/>
        <w:contextualSpacing w:val="0"/>
        <w:jc w:val="both"/>
        <w:rPr>
          <w:rFonts w:cstheme="minorHAnsi"/>
        </w:rPr>
      </w:pPr>
      <w:r w:rsidRPr="00BF2B98">
        <w:rPr>
          <w:rFonts w:cstheme="minorHAnsi"/>
        </w:rPr>
        <w:t xml:space="preserve">Notwithstanding the foregoing, if </w:t>
      </w:r>
      <w:r w:rsidR="001741AC">
        <w:rPr>
          <w:rFonts w:cstheme="minorHAnsi"/>
        </w:rPr>
        <w:t xml:space="preserve">for the period from the beginning of the current fiscal year </w:t>
      </w:r>
      <w:r w:rsidRPr="00BF2B98">
        <w:rPr>
          <w:rFonts w:cstheme="minorHAnsi"/>
        </w:rPr>
        <w:t xml:space="preserve">through, and including, the month </w:t>
      </w:r>
      <w:r w:rsidR="000B649D" w:rsidRPr="00BF2B98">
        <w:rPr>
          <w:rFonts w:cstheme="minorHAnsi"/>
        </w:rPr>
        <w:t xml:space="preserve">preceding </w:t>
      </w:r>
      <w:r w:rsidR="000B649D">
        <w:rPr>
          <w:rFonts w:cstheme="minorHAnsi"/>
        </w:rPr>
        <w:t>the current billing month</w:t>
      </w:r>
      <w:r w:rsidR="00053B44">
        <w:rPr>
          <w:rFonts w:cstheme="minorHAnsi"/>
        </w:rPr>
        <w:t>,</w:t>
      </w:r>
      <w:r w:rsidR="000B649D">
        <w:rPr>
          <w:rFonts w:cstheme="minorHAnsi"/>
        </w:rPr>
        <w:t xml:space="preserve"> </w:t>
      </w:r>
      <w:r w:rsidRPr="00BF2B98">
        <w:rPr>
          <w:rFonts w:cstheme="minorHAnsi"/>
        </w:rPr>
        <w:t xml:space="preserve">the cumulative Excess Demand Charges from the </w:t>
      </w:r>
      <w:r w:rsidR="00EA3F73">
        <w:rPr>
          <w:rFonts w:cstheme="minorHAnsi"/>
        </w:rPr>
        <w:t xml:space="preserve">AR </w:t>
      </w:r>
      <w:r w:rsidRPr="00BF2B98">
        <w:rPr>
          <w:rFonts w:cstheme="minorHAnsi"/>
        </w:rPr>
        <w:t xml:space="preserve">Members exceeds two percent (2%) of the budgeted total revenues from sales of electricity to </w:t>
      </w:r>
      <w:r w:rsidR="00053B44">
        <w:rPr>
          <w:rFonts w:cstheme="minorHAnsi"/>
        </w:rPr>
        <w:t xml:space="preserve">the AR </w:t>
      </w:r>
      <w:r w:rsidRPr="00BF2B98">
        <w:rPr>
          <w:rFonts w:cstheme="minorHAnsi"/>
        </w:rPr>
        <w:t>Members (i.e.</w:t>
      </w:r>
      <w:r w:rsidR="001741AC">
        <w:rPr>
          <w:rFonts w:cstheme="minorHAnsi"/>
        </w:rPr>
        <w:t>,</w:t>
      </w:r>
      <w:r w:rsidRPr="00BF2B98">
        <w:rPr>
          <w:rFonts w:cstheme="minorHAnsi"/>
        </w:rPr>
        <w:t xml:space="preserve"> “Total Revenues from Sales of Electricity to </w:t>
      </w:r>
      <w:r>
        <w:rPr>
          <w:rFonts w:cstheme="minorHAnsi"/>
        </w:rPr>
        <w:t>AR Members</w:t>
      </w:r>
      <w:r w:rsidRPr="00BF2B98">
        <w:rPr>
          <w:rFonts w:cstheme="minorHAnsi"/>
        </w:rPr>
        <w:t xml:space="preserve">”) for the entire current fiscal year, the Adjustment Charge 2 Factor for the </w:t>
      </w:r>
      <w:r w:rsidR="001741AC">
        <w:rPr>
          <w:rFonts w:cstheme="minorHAnsi"/>
        </w:rPr>
        <w:t xml:space="preserve">current billing </w:t>
      </w:r>
      <w:r w:rsidRPr="00BF2B98">
        <w:rPr>
          <w:rFonts w:cstheme="minorHAnsi"/>
        </w:rPr>
        <w:t>month shall be $0.000/kWh.</w:t>
      </w:r>
    </w:p>
    <w:p w14:paraId="5F6205AF" w14:textId="272F8B2F" w:rsidR="00370928" w:rsidRPr="00BF2B98" w:rsidRDefault="00370928">
      <w:pPr>
        <w:pStyle w:val="BodyText"/>
        <w:spacing w:before="240" w:after="120"/>
        <w:ind w:left="720"/>
        <w:jc w:val="both"/>
        <w:rPr>
          <w:rFonts w:asciiTheme="minorHAnsi" w:hAnsiTheme="minorHAnsi" w:cstheme="minorHAnsi"/>
          <w:sz w:val="22"/>
        </w:rPr>
      </w:pPr>
      <w:r w:rsidRPr="00BF2B98">
        <w:rPr>
          <w:rFonts w:asciiTheme="minorHAnsi" w:hAnsiTheme="minorHAnsi" w:cstheme="minorHAnsi"/>
          <w:sz w:val="22"/>
        </w:rPr>
        <w:t xml:space="preserve">As used above, “Shortfall in Total Demand Charges” means the amount, if any, by which </w:t>
      </w:r>
      <w:r w:rsidR="001741AC">
        <w:rPr>
          <w:rFonts w:asciiTheme="minorHAnsi" w:hAnsiTheme="minorHAnsi" w:cstheme="minorHAnsi"/>
          <w:sz w:val="22"/>
        </w:rPr>
        <w:t xml:space="preserve">the </w:t>
      </w:r>
      <w:r w:rsidRPr="00BF2B98">
        <w:rPr>
          <w:rFonts w:asciiTheme="minorHAnsi" w:hAnsiTheme="minorHAnsi" w:cstheme="minorHAnsi"/>
          <w:sz w:val="22"/>
        </w:rPr>
        <w:t xml:space="preserve">cumulative </w:t>
      </w:r>
      <w:r w:rsidR="00CB56A2">
        <w:rPr>
          <w:rFonts w:asciiTheme="minorHAnsi" w:hAnsiTheme="minorHAnsi" w:cstheme="minorHAnsi"/>
          <w:sz w:val="22"/>
        </w:rPr>
        <w:t>a</w:t>
      </w:r>
      <w:r w:rsidRPr="00BF2B98">
        <w:rPr>
          <w:rFonts w:asciiTheme="minorHAnsi" w:hAnsiTheme="minorHAnsi" w:cstheme="minorHAnsi"/>
          <w:sz w:val="22"/>
        </w:rPr>
        <w:t xml:space="preserve">ctual </w:t>
      </w:r>
      <w:r w:rsidR="00AA47D7">
        <w:rPr>
          <w:rFonts w:asciiTheme="minorHAnsi" w:hAnsiTheme="minorHAnsi" w:cstheme="minorHAnsi"/>
          <w:sz w:val="22"/>
        </w:rPr>
        <w:t xml:space="preserve">Total </w:t>
      </w:r>
      <w:r w:rsidRPr="00BF2B98">
        <w:rPr>
          <w:rFonts w:asciiTheme="minorHAnsi" w:hAnsiTheme="minorHAnsi" w:cstheme="minorHAnsi"/>
          <w:sz w:val="22"/>
        </w:rPr>
        <w:t xml:space="preserve">Demand Charges </w:t>
      </w:r>
      <w:r w:rsidR="00753C29">
        <w:rPr>
          <w:rFonts w:asciiTheme="minorHAnsi" w:hAnsiTheme="minorHAnsi" w:cstheme="minorHAnsi"/>
          <w:sz w:val="22"/>
        </w:rPr>
        <w:t xml:space="preserve">to all </w:t>
      </w:r>
      <w:r w:rsidR="001741AC">
        <w:rPr>
          <w:rFonts w:asciiTheme="minorHAnsi" w:hAnsiTheme="minorHAnsi" w:cstheme="minorHAnsi"/>
          <w:sz w:val="22"/>
        </w:rPr>
        <w:t xml:space="preserve">AR </w:t>
      </w:r>
      <w:r w:rsidR="00753C29">
        <w:rPr>
          <w:rFonts w:asciiTheme="minorHAnsi" w:hAnsiTheme="minorHAnsi" w:cstheme="minorHAnsi"/>
          <w:sz w:val="22"/>
        </w:rPr>
        <w:t xml:space="preserve">Members </w:t>
      </w:r>
      <w:r w:rsidR="001741AC">
        <w:rPr>
          <w:rFonts w:asciiTheme="minorHAnsi" w:hAnsiTheme="minorHAnsi" w:cstheme="minorHAnsi"/>
          <w:sz w:val="22"/>
        </w:rPr>
        <w:t>is</w:t>
      </w:r>
      <w:r w:rsidR="001741AC" w:rsidRPr="00BF2B98">
        <w:rPr>
          <w:rFonts w:asciiTheme="minorHAnsi" w:hAnsiTheme="minorHAnsi" w:cstheme="minorHAnsi"/>
          <w:sz w:val="22"/>
        </w:rPr>
        <w:t xml:space="preserve"> </w:t>
      </w:r>
      <w:r w:rsidRPr="00BF2B98">
        <w:rPr>
          <w:rFonts w:asciiTheme="minorHAnsi" w:hAnsiTheme="minorHAnsi" w:cstheme="minorHAnsi"/>
          <w:sz w:val="22"/>
        </w:rPr>
        <w:t xml:space="preserve">less than </w:t>
      </w:r>
      <w:r w:rsidR="001741AC">
        <w:rPr>
          <w:rFonts w:asciiTheme="minorHAnsi" w:hAnsiTheme="minorHAnsi" w:cstheme="minorHAnsi"/>
          <w:sz w:val="22"/>
        </w:rPr>
        <w:t xml:space="preserve">the </w:t>
      </w:r>
      <w:r w:rsidRPr="00BF2B98">
        <w:rPr>
          <w:rFonts w:asciiTheme="minorHAnsi" w:hAnsiTheme="minorHAnsi" w:cstheme="minorHAnsi"/>
          <w:sz w:val="22"/>
        </w:rPr>
        <w:t xml:space="preserve">cumulative Budgeted </w:t>
      </w:r>
      <w:r w:rsidR="002727C5">
        <w:rPr>
          <w:rFonts w:asciiTheme="minorHAnsi" w:hAnsiTheme="minorHAnsi" w:cstheme="minorHAnsi"/>
          <w:sz w:val="22"/>
        </w:rPr>
        <w:t xml:space="preserve">Total </w:t>
      </w:r>
      <w:r w:rsidRPr="00BF2B98">
        <w:rPr>
          <w:rFonts w:asciiTheme="minorHAnsi" w:hAnsiTheme="minorHAnsi" w:cstheme="minorHAnsi"/>
          <w:sz w:val="22"/>
        </w:rPr>
        <w:t>Demand Charges.</w:t>
      </w:r>
      <w:r w:rsidR="001741AC">
        <w:rPr>
          <w:rFonts w:asciiTheme="minorHAnsi" w:hAnsiTheme="minorHAnsi" w:cstheme="minorHAnsi"/>
          <w:sz w:val="22"/>
        </w:rPr>
        <w:t xml:space="preserve"> </w:t>
      </w:r>
      <w:r w:rsidR="002727C5">
        <w:rPr>
          <w:rFonts w:asciiTheme="minorHAnsi" w:hAnsiTheme="minorHAnsi" w:cstheme="minorHAnsi"/>
          <w:sz w:val="22"/>
        </w:rPr>
        <w:t xml:space="preserve"> </w:t>
      </w:r>
      <w:r w:rsidRPr="00BF2B98">
        <w:rPr>
          <w:rFonts w:asciiTheme="minorHAnsi" w:hAnsiTheme="minorHAnsi" w:cstheme="minorHAnsi"/>
          <w:sz w:val="22"/>
        </w:rPr>
        <w:t>“Shortfall in Net Operating Income” mean</w:t>
      </w:r>
      <w:r w:rsidR="00FD7F97">
        <w:rPr>
          <w:rFonts w:asciiTheme="minorHAnsi" w:hAnsiTheme="minorHAnsi" w:cstheme="minorHAnsi"/>
          <w:sz w:val="22"/>
        </w:rPr>
        <w:t>s</w:t>
      </w:r>
      <w:r w:rsidRPr="00BF2B98">
        <w:rPr>
          <w:rFonts w:asciiTheme="minorHAnsi" w:hAnsiTheme="minorHAnsi" w:cstheme="minorHAnsi"/>
          <w:sz w:val="22"/>
        </w:rPr>
        <w:t xml:space="preserve"> the amount, if any, by which </w:t>
      </w:r>
      <w:r w:rsidR="004044AD">
        <w:rPr>
          <w:rFonts w:asciiTheme="minorHAnsi" w:hAnsiTheme="minorHAnsi" w:cstheme="minorHAnsi"/>
          <w:sz w:val="22"/>
        </w:rPr>
        <w:t xml:space="preserve">the AR Project’ </w:t>
      </w:r>
      <w:r w:rsidRPr="00BF2B98">
        <w:rPr>
          <w:rFonts w:asciiTheme="minorHAnsi" w:hAnsiTheme="minorHAnsi" w:cstheme="minorHAnsi"/>
          <w:sz w:val="22"/>
        </w:rPr>
        <w:t xml:space="preserve">cumulative </w:t>
      </w:r>
      <w:r w:rsidR="00CB56A2">
        <w:rPr>
          <w:rFonts w:asciiTheme="minorHAnsi" w:hAnsiTheme="minorHAnsi" w:cstheme="minorHAnsi"/>
          <w:sz w:val="22"/>
        </w:rPr>
        <w:t>a</w:t>
      </w:r>
      <w:r w:rsidRPr="00BF2B98">
        <w:rPr>
          <w:rFonts w:asciiTheme="minorHAnsi" w:hAnsiTheme="minorHAnsi" w:cstheme="minorHAnsi"/>
          <w:sz w:val="22"/>
        </w:rPr>
        <w:t xml:space="preserve">ctual Net Operating Income </w:t>
      </w:r>
      <w:r w:rsidR="000F5C46">
        <w:rPr>
          <w:rFonts w:asciiTheme="minorHAnsi" w:hAnsiTheme="minorHAnsi" w:cstheme="minorHAnsi"/>
          <w:sz w:val="22"/>
        </w:rPr>
        <w:t xml:space="preserve">accrued </w:t>
      </w:r>
      <w:r w:rsidRPr="00BF2B98">
        <w:rPr>
          <w:rFonts w:asciiTheme="minorHAnsi" w:hAnsiTheme="minorHAnsi" w:cstheme="minorHAnsi"/>
          <w:sz w:val="22"/>
        </w:rPr>
        <w:t>is less than Budgeted Net Operating Income.</w:t>
      </w:r>
    </w:p>
    <w:p w14:paraId="4E80FC04" w14:textId="6FD25A1A" w:rsidR="00370928" w:rsidRPr="00BF2B98" w:rsidRDefault="00370928" w:rsidP="00F72709">
      <w:pPr>
        <w:pStyle w:val="BodyText"/>
        <w:spacing w:before="240" w:after="120"/>
        <w:ind w:left="720"/>
        <w:jc w:val="both"/>
        <w:rPr>
          <w:rFonts w:asciiTheme="minorHAnsi" w:hAnsiTheme="minorHAnsi" w:cstheme="minorHAnsi"/>
          <w:sz w:val="22"/>
        </w:rPr>
      </w:pPr>
      <w:r w:rsidRPr="00BF2B98">
        <w:rPr>
          <w:rFonts w:asciiTheme="minorHAnsi" w:hAnsiTheme="minorHAnsi" w:cstheme="minorHAnsi"/>
          <w:sz w:val="22"/>
        </w:rPr>
        <w:t xml:space="preserve">As used above, “Excess Demand Charges” means the amount, if any, by which cumulative </w:t>
      </w:r>
      <w:r w:rsidR="001741AC">
        <w:rPr>
          <w:rFonts w:asciiTheme="minorHAnsi" w:hAnsiTheme="minorHAnsi" w:cstheme="minorHAnsi"/>
          <w:sz w:val="22"/>
        </w:rPr>
        <w:t>a</w:t>
      </w:r>
      <w:r w:rsidRPr="00BF2B98">
        <w:rPr>
          <w:rFonts w:asciiTheme="minorHAnsi" w:hAnsiTheme="minorHAnsi" w:cstheme="minorHAnsi"/>
          <w:sz w:val="22"/>
        </w:rPr>
        <w:t xml:space="preserve">ctual Total Demand Charges, plus cumulative Adjustment Charge 2 charges, </w:t>
      </w:r>
      <w:r w:rsidR="00005080">
        <w:rPr>
          <w:rFonts w:asciiTheme="minorHAnsi" w:hAnsiTheme="minorHAnsi" w:cstheme="minorHAnsi"/>
          <w:sz w:val="22"/>
        </w:rPr>
        <w:t>exceeds</w:t>
      </w:r>
      <w:r w:rsidR="00005080" w:rsidRPr="00BF2B98">
        <w:rPr>
          <w:rFonts w:asciiTheme="minorHAnsi" w:hAnsiTheme="minorHAnsi" w:cstheme="minorHAnsi"/>
          <w:sz w:val="22"/>
        </w:rPr>
        <w:t xml:space="preserve"> </w:t>
      </w:r>
      <w:r w:rsidRPr="00BF2B98">
        <w:rPr>
          <w:rFonts w:asciiTheme="minorHAnsi" w:hAnsiTheme="minorHAnsi" w:cstheme="minorHAnsi"/>
          <w:sz w:val="22"/>
        </w:rPr>
        <w:t xml:space="preserve">cumulative Budgeted Total Demand Charges to </w:t>
      </w:r>
      <w:r w:rsidR="00005080">
        <w:rPr>
          <w:rFonts w:asciiTheme="minorHAnsi" w:hAnsiTheme="minorHAnsi" w:cstheme="minorHAnsi"/>
          <w:sz w:val="22"/>
        </w:rPr>
        <w:t xml:space="preserve">all AR </w:t>
      </w:r>
      <w:r w:rsidRPr="00BF2B98">
        <w:rPr>
          <w:rFonts w:asciiTheme="minorHAnsi" w:hAnsiTheme="minorHAnsi" w:cstheme="minorHAnsi"/>
          <w:sz w:val="22"/>
        </w:rPr>
        <w:t>Members per KYMEA’s approved budget.</w:t>
      </w:r>
    </w:p>
    <w:p w14:paraId="636FF5A5" w14:textId="0DCBC8C5" w:rsidR="000E7E18" w:rsidRDefault="00F84633" w:rsidP="00F72709">
      <w:pPr>
        <w:keepLines/>
        <w:spacing w:after="0" w:line="240" w:lineRule="auto"/>
        <w:ind w:left="720"/>
        <w:jc w:val="both"/>
      </w:pPr>
      <w:r>
        <w:rPr>
          <w:rFonts w:cstheme="minorHAnsi"/>
        </w:rPr>
        <w:t xml:space="preserve">For this purpose, “Total Demand Charges” </w:t>
      </w:r>
      <w:r w:rsidR="00005080">
        <w:rPr>
          <w:rFonts w:cstheme="minorHAnsi"/>
        </w:rPr>
        <w:t xml:space="preserve">means </w:t>
      </w:r>
      <w:r>
        <w:rPr>
          <w:rFonts w:cstheme="minorHAnsi"/>
        </w:rPr>
        <w:t xml:space="preserve">the sum of the Demand Charge and </w:t>
      </w:r>
      <w:r w:rsidRPr="00751C1A">
        <w:rPr>
          <w:rFonts w:cstheme="minorHAnsi"/>
        </w:rPr>
        <w:t>MISO Transmission Charge determined under Section 4 of this Rate Schedule</w:t>
      </w:r>
      <w:r w:rsidR="00370928" w:rsidRPr="00BF2B98">
        <w:rPr>
          <w:rFonts w:cstheme="minorHAnsi"/>
        </w:rPr>
        <w:t xml:space="preserve">. </w:t>
      </w:r>
      <w:r w:rsidR="00005080">
        <w:rPr>
          <w:rFonts w:cstheme="minorHAnsi"/>
        </w:rPr>
        <w:t xml:space="preserve"> “</w:t>
      </w:r>
      <w:r w:rsidR="00370928" w:rsidRPr="00BF2B98">
        <w:rPr>
          <w:rFonts w:cstheme="minorHAnsi"/>
        </w:rPr>
        <w:t>Budgeted Total Demand Charges</w:t>
      </w:r>
      <w:r w:rsidR="00005080">
        <w:rPr>
          <w:rFonts w:cstheme="minorHAnsi"/>
        </w:rPr>
        <w:t>”</w:t>
      </w:r>
      <w:r w:rsidR="00370928" w:rsidRPr="00BF2B98">
        <w:rPr>
          <w:rFonts w:cstheme="minorHAnsi"/>
        </w:rPr>
        <w:t xml:space="preserve"> and </w:t>
      </w:r>
      <w:r w:rsidR="00005080">
        <w:rPr>
          <w:rFonts w:cstheme="minorHAnsi"/>
        </w:rPr>
        <w:t>“</w:t>
      </w:r>
      <w:r w:rsidR="00370928" w:rsidRPr="00BF2B98">
        <w:rPr>
          <w:rFonts w:cstheme="minorHAnsi"/>
        </w:rPr>
        <w:t>Budgeted Net Operating</w:t>
      </w:r>
      <w:r w:rsidR="008B4B4E">
        <w:rPr>
          <w:rFonts w:cstheme="minorHAnsi"/>
        </w:rPr>
        <w:t xml:space="preserve"> </w:t>
      </w:r>
      <w:r w:rsidR="00370928" w:rsidRPr="00BF2B98">
        <w:rPr>
          <w:rFonts w:cstheme="minorHAnsi"/>
        </w:rPr>
        <w:t>Income</w:t>
      </w:r>
      <w:r w:rsidR="00005080">
        <w:rPr>
          <w:rFonts w:cstheme="minorHAnsi"/>
        </w:rPr>
        <w:t>”</w:t>
      </w:r>
      <w:r w:rsidR="00370928" w:rsidRPr="00BF2B98">
        <w:rPr>
          <w:rFonts w:cstheme="minorHAnsi"/>
        </w:rPr>
        <w:t xml:space="preserve"> </w:t>
      </w:r>
      <w:r w:rsidR="00005080">
        <w:rPr>
          <w:rFonts w:cstheme="minorHAnsi"/>
        </w:rPr>
        <w:t>are</w:t>
      </w:r>
      <w:r w:rsidR="00370928" w:rsidRPr="00BF2B98">
        <w:rPr>
          <w:rFonts w:cstheme="minorHAnsi"/>
        </w:rPr>
        <w:t xml:space="preserve"> the amounts of such charges set forth in KYMEA’s </w:t>
      </w:r>
      <w:r w:rsidR="008B4B4E">
        <w:rPr>
          <w:rFonts w:cstheme="minorHAnsi"/>
        </w:rPr>
        <w:t>then-</w:t>
      </w:r>
      <w:r w:rsidR="00B00CBE">
        <w:rPr>
          <w:rFonts w:cstheme="minorHAnsi"/>
        </w:rPr>
        <w:t xml:space="preserve">current </w:t>
      </w:r>
      <w:r w:rsidR="00370928" w:rsidRPr="00BF2B98">
        <w:rPr>
          <w:rFonts w:cstheme="minorHAnsi"/>
        </w:rPr>
        <w:t>approved operating budget.</w:t>
      </w:r>
    </w:p>
    <w:p w14:paraId="3D1D5203" w14:textId="588172DC" w:rsidR="00F0317A" w:rsidRDefault="00F0317A" w:rsidP="00F72709">
      <w:pPr>
        <w:keepLines/>
        <w:spacing w:after="0" w:line="240" w:lineRule="auto"/>
        <w:ind w:left="720"/>
        <w:jc w:val="both"/>
      </w:pPr>
    </w:p>
    <w:p w14:paraId="52534DED" w14:textId="37B8098A" w:rsidR="000E7E18" w:rsidRPr="00B33695" w:rsidRDefault="008A52C5" w:rsidP="00F727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Wholesale Distribution Service</w:t>
      </w:r>
    </w:p>
    <w:p w14:paraId="60E16851" w14:textId="77777777" w:rsidR="000E7E18" w:rsidRDefault="000E7E18" w:rsidP="00F72709">
      <w:pPr>
        <w:spacing w:after="0" w:line="240" w:lineRule="auto"/>
        <w:jc w:val="both"/>
        <w:rPr>
          <w:u w:val="single"/>
        </w:rPr>
      </w:pPr>
    </w:p>
    <w:p w14:paraId="426BE8DB" w14:textId="2A52D331" w:rsidR="000E7E18" w:rsidRDefault="000E7E18" w:rsidP="00F72709">
      <w:pPr>
        <w:spacing w:after="0" w:line="240" w:lineRule="auto"/>
        <w:ind w:left="360"/>
        <w:jc w:val="both"/>
      </w:pPr>
      <w:r w:rsidRPr="00FC20E4">
        <w:t xml:space="preserve">The monthly fixed charges shown in the table below </w:t>
      </w:r>
      <w:r w:rsidR="00FD7F97">
        <w:t>are the current</w:t>
      </w:r>
      <w:r w:rsidR="00FD7F97" w:rsidRPr="00FC20E4">
        <w:t xml:space="preserve"> </w:t>
      </w:r>
      <w:r w:rsidR="008A52C5">
        <w:t xml:space="preserve">LGE/KU </w:t>
      </w:r>
      <w:r w:rsidR="007369A6">
        <w:t xml:space="preserve">distribution </w:t>
      </w:r>
      <w:r>
        <w:t>facilit</w:t>
      </w:r>
      <w:r w:rsidR="007369A6">
        <w:t xml:space="preserve">y </w:t>
      </w:r>
      <w:r>
        <w:t xml:space="preserve">charges stated in the </w:t>
      </w:r>
      <w:r w:rsidR="008A52C5">
        <w:t xml:space="preserve">KYMEA-LGE/KU Wholesale Distribution Service Agreement dated </w:t>
      </w:r>
      <w:r w:rsidR="008A52C5" w:rsidRPr="007369A6">
        <w:rPr>
          <w:highlight w:val="yellow"/>
        </w:rPr>
        <w:t>mm/dd/y</w:t>
      </w:r>
      <w:r w:rsidR="007369A6" w:rsidRPr="007369A6">
        <w:rPr>
          <w:highlight w:val="yellow"/>
        </w:rPr>
        <w:t>yy</w:t>
      </w:r>
      <w:r w:rsidR="008A52C5" w:rsidRPr="007369A6">
        <w:rPr>
          <w:highlight w:val="yellow"/>
        </w:rPr>
        <w:t>y</w:t>
      </w:r>
      <w:r w:rsidR="008A52C5">
        <w:t>.</w:t>
      </w:r>
      <w:r>
        <w:t xml:space="preserve">  These charges are </w:t>
      </w:r>
      <w:r w:rsidRPr="00FC20E4">
        <w:t xml:space="preserve">based on </w:t>
      </w:r>
      <w:r w:rsidR="008A52C5">
        <w:t xml:space="preserve">investment in </w:t>
      </w:r>
      <w:r w:rsidR="007369A6">
        <w:t xml:space="preserve">distribution </w:t>
      </w:r>
      <w:r w:rsidRPr="00FC20E4">
        <w:t xml:space="preserve">facilities </w:t>
      </w:r>
      <w:r w:rsidR="008A52C5">
        <w:t xml:space="preserve">owned and operated </w:t>
      </w:r>
      <w:r>
        <w:t>by LGE/KU an</w:t>
      </w:r>
      <w:r w:rsidR="00B55EB3">
        <w:t xml:space="preserve">d </w:t>
      </w:r>
      <w:r>
        <w:t>include charges for substation</w:t>
      </w:r>
      <w:r w:rsidR="00B55EB3">
        <w:t>s</w:t>
      </w:r>
      <w:r>
        <w:t xml:space="preserve">, switchgear, </w:t>
      </w:r>
      <w:r w:rsidR="008A52C5">
        <w:t xml:space="preserve">and </w:t>
      </w:r>
      <w:r>
        <w:t>tap lines</w:t>
      </w:r>
      <w:r w:rsidR="008A52C5">
        <w:t>.</w:t>
      </w:r>
    </w:p>
    <w:p w14:paraId="75E46E81" w14:textId="57702EBE" w:rsidR="00D7653D" w:rsidRDefault="00D7653D" w:rsidP="00F72709">
      <w:pPr>
        <w:spacing w:after="0" w:line="240" w:lineRule="auto"/>
        <w:ind w:left="360"/>
        <w:jc w:val="both"/>
      </w:pPr>
    </w:p>
    <w:p w14:paraId="2A3FA128" w14:textId="77777777" w:rsidR="00566610" w:rsidRDefault="00566610">
      <w:pPr>
        <w:rPr>
          <w:b/>
        </w:rPr>
      </w:pPr>
      <w:r>
        <w:rPr>
          <w:b/>
        </w:rPr>
        <w:br w:type="page"/>
      </w:r>
    </w:p>
    <w:p w14:paraId="05BE0DD0" w14:textId="42394602" w:rsidR="00D7653D" w:rsidRPr="00D7653D" w:rsidRDefault="00D7653D" w:rsidP="00F72709">
      <w:pPr>
        <w:keepNext/>
        <w:spacing w:after="0" w:line="240" w:lineRule="auto"/>
        <w:ind w:left="360"/>
        <w:jc w:val="both"/>
        <w:rPr>
          <w:b/>
        </w:rPr>
      </w:pPr>
      <w:r w:rsidRPr="00D7653D">
        <w:rPr>
          <w:b/>
        </w:rPr>
        <w:lastRenderedPageBreak/>
        <w:t>LGE/KU Wholesale Distribution Service Charges</w:t>
      </w:r>
    </w:p>
    <w:p w14:paraId="40D0F5F2" w14:textId="77777777" w:rsidR="000E7E18" w:rsidRPr="00D33E56" w:rsidRDefault="000E7E18" w:rsidP="00F72709">
      <w:pPr>
        <w:keepNext/>
        <w:spacing w:after="0" w:line="240" w:lineRule="auto"/>
        <w:jc w:val="both"/>
      </w:pPr>
    </w:p>
    <w:tbl>
      <w:tblPr>
        <w:tblW w:w="3690" w:type="dxa"/>
        <w:jc w:val="center"/>
        <w:tblLayout w:type="fixed"/>
        <w:tblLook w:val="01E0" w:firstRow="1" w:lastRow="1" w:firstColumn="1" w:lastColumn="1" w:noHBand="0" w:noVBand="0"/>
      </w:tblPr>
      <w:tblGrid>
        <w:gridCol w:w="2070"/>
        <w:gridCol w:w="1620"/>
      </w:tblGrid>
      <w:tr w:rsidR="000E7E18" w:rsidRPr="00FC20E4" w14:paraId="2D9E537D" w14:textId="77777777" w:rsidTr="00F72709">
        <w:trPr>
          <w:cantSplit/>
          <w:jc w:val="center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B781D55" w14:textId="467CD365" w:rsidR="000E7E18" w:rsidRPr="00D33E56" w:rsidRDefault="00E119B9" w:rsidP="00F727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AR </w:t>
            </w:r>
            <w:r w:rsidR="000E7E18">
              <w:rPr>
                <w:b/>
              </w:rPr>
              <w:t>Member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A0A063E" w14:textId="77777777" w:rsidR="000E7E18" w:rsidRPr="00D33E56" w:rsidRDefault="000E7E18" w:rsidP="00F72709">
            <w:pPr>
              <w:spacing w:after="0" w:line="240" w:lineRule="auto"/>
              <w:jc w:val="both"/>
              <w:rPr>
                <w:b/>
              </w:rPr>
            </w:pPr>
            <w:r w:rsidRPr="00D33E56">
              <w:rPr>
                <w:b/>
              </w:rPr>
              <w:t>Monthly Fixed Charge</w:t>
            </w:r>
          </w:p>
        </w:tc>
      </w:tr>
      <w:tr w:rsidR="000E7E18" w:rsidRPr="00FC20E4" w14:paraId="13F3BF5F" w14:textId="77777777" w:rsidTr="00F72709">
        <w:trPr>
          <w:cantSplit/>
          <w:jc w:val="center"/>
        </w:trPr>
        <w:tc>
          <w:tcPr>
            <w:tcW w:w="2070" w:type="dxa"/>
          </w:tcPr>
          <w:p w14:paraId="6CC2C3E1" w14:textId="51315197" w:rsidR="000E7E18" w:rsidRPr="00FC20E4" w:rsidRDefault="000E7E18" w:rsidP="00F72709">
            <w:pPr>
              <w:spacing w:after="0" w:line="240" w:lineRule="auto"/>
              <w:jc w:val="both"/>
            </w:pPr>
            <w:r w:rsidRPr="00FC20E4">
              <w:t xml:space="preserve">Barbourville </w:t>
            </w:r>
          </w:p>
        </w:tc>
        <w:tc>
          <w:tcPr>
            <w:tcW w:w="1620" w:type="dxa"/>
          </w:tcPr>
          <w:p w14:paraId="06E17FE2" w14:textId="7BE7B86A" w:rsidR="000E7E18" w:rsidRPr="00FC20E4" w:rsidRDefault="00143C73" w:rsidP="00F72709">
            <w:pPr>
              <w:tabs>
                <w:tab w:val="decimal" w:pos="795"/>
              </w:tabs>
              <w:spacing w:after="0" w:line="240" w:lineRule="auto"/>
              <w:jc w:val="both"/>
            </w:pPr>
            <w:r>
              <w:t>n/a</w:t>
            </w:r>
          </w:p>
        </w:tc>
      </w:tr>
      <w:tr w:rsidR="000E7E18" w:rsidRPr="00FC20E4" w14:paraId="3FEC7FB1" w14:textId="77777777" w:rsidTr="00F72709">
        <w:trPr>
          <w:cantSplit/>
          <w:jc w:val="center"/>
        </w:trPr>
        <w:tc>
          <w:tcPr>
            <w:tcW w:w="2070" w:type="dxa"/>
          </w:tcPr>
          <w:p w14:paraId="090150D1" w14:textId="3ADA0921" w:rsidR="000E7E18" w:rsidRPr="00FC20E4" w:rsidRDefault="000E7E18" w:rsidP="00F72709">
            <w:pPr>
              <w:spacing w:after="0" w:line="240" w:lineRule="auto"/>
              <w:jc w:val="both"/>
            </w:pPr>
            <w:r w:rsidRPr="00FC20E4">
              <w:t xml:space="preserve">Bardwell </w:t>
            </w:r>
          </w:p>
        </w:tc>
        <w:tc>
          <w:tcPr>
            <w:tcW w:w="1620" w:type="dxa"/>
          </w:tcPr>
          <w:p w14:paraId="12862956" w14:textId="3D4EAC93" w:rsidR="000E7E18" w:rsidRPr="00FC20E4" w:rsidRDefault="000E7E18" w:rsidP="00F72709">
            <w:pPr>
              <w:tabs>
                <w:tab w:val="decimal" w:pos="795"/>
              </w:tabs>
              <w:spacing w:after="0" w:line="240" w:lineRule="auto"/>
              <w:jc w:val="both"/>
            </w:pPr>
            <w:r w:rsidRPr="00FC20E4">
              <w:t>$3</w:t>
            </w:r>
            <w:r w:rsidR="00B55EB3">
              <w:t>78.25</w:t>
            </w:r>
          </w:p>
        </w:tc>
      </w:tr>
      <w:tr w:rsidR="000E7E18" w:rsidRPr="00FC20E4" w14:paraId="76ED05CE" w14:textId="77777777" w:rsidTr="00F72709">
        <w:trPr>
          <w:cantSplit/>
          <w:jc w:val="center"/>
        </w:trPr>
        <w:tc>
          <w:tcPr>
            <w:tcW w:w="2070" w:type="dxa"/>
          </w:tcPr>
          <w:p w14:paraId="687EAE36" w14:textId="77777777" w:rsidR="000E7E18" w:rsidRPr="00FC20E4" w:rsidRDefault="000E7E18" w:rsidP="00F72709">
            <w:pPr>
              <w:spacing w:after="0" w:line="240" w:lineRule="auto"/>
              <w:jc w:val="both"/>
            </w:pPr>
            <w:r w:rsidRPr="00FC20E4">
              <w:t>Corbin</w:t>
            </w:r>
          </w:p>
        </w:tc>
        <w:tc>
          <w:tcPr>
            <w:tcW w:w="1620" w:type="dxa"/>
          </w:tcPr>
          <w:p w14:paraId="5EEE4C2B" w14:textId="0B24C591" w:rsidR="000E7E18" w:rsidRPr="00FC20E4" w:rsidRDefault="00143C73" w:rsidP="00F72709">
            <w:pPr>
              <w:tabs>
                <w:tab w:val="decimal" w:pos="795"/>
              </w:tabs>
              <w:spacing w:after="0" w:line="240" w:lineRule="auto"/>
              <w:jc w:val="both"/>
            </w:pPr>
            <w:r>
              <w:t>n/a</w:t>
            </w:r>
          </w:p>
        </w:tc>
      </w:tr>
      <w:tr w:rsidR="000E7E18" w:rsidRPr="00FC20E4" w14:paraId="43A1B2F9" w14:textId="77777777" w:rsidTr="00F72709">
        <w:trPr>
          <w:cantSplit/>
          <w:jc w:val="center"/>
        </w:trPr>
        <w:tc>
          <w:tcPr>
            <w:tcW w:w="2070" w:type="dxa"/>
          </w:tcPr>
          <w:p w14:paraId="7E049729" w14:textId="65387A0D" w:rsidR="000E7E18" w:rsidRPr="00FC20E4" w:rsidRDefault="000E7E18" w:rsidP="00F72709">
            <w:pPr>
              <w:spacing w:after="0" w:line="240" w:lineRule="auto"/>
              <w:jc w:val="both"/>
            </w:pPr>
            <w:r w:rsidRPr="00FC20E4">
              <w:t xml:space="preserve">Falmouth </w:t>
            </w:r>
          </w:p>
        </w:tc>
        <w:tc>
          <w:tcPr>
            <w:tcW w:w="1620" w:type="dxa"/>
          </w:tcPr>
          <w:p w14:paraId="1127EC52" w14:textId="5DE1DA26" w:rsidR="000E7E18" w:rsidRPr="00FC20E4" w:rsidRDefault="00005080" w:rsidP="00F72709">
            <w:pPr>
              <w:tabs>
                <w:tab w:val="decimal" w:pos="795"/>
              </w:tabs>
              <w:spacing w:after="0" w:line="240" w:lineRule="auto"/>
              <w:jc w:val="both"/>
            </w:pPr>
            <w:r>
              <w:t>$</w:t>
            </w:r>
            <w:r w:rsidR="006F21C8">
              <w:t>7189.75</w:t>
            </w:r>
          </w:p>
        </w:tc>
      </w:tr>
      <w:tr w:rsidR="000E7E18" w:rsidRPr="00FC20E4" w14:paraId="4F14A8E5" w14:textId="77777777" w:rsidTr="00F72709">
        <w:trPr>
          <w:cantSplit/>
          <w:jc w:val="center"/>
        </w:trPr>
        <w:tc>
          <w:tcPr>
            <w:tcW w:w="2070" w:type="dxa"/>
          </w:tcPr>
          <w:p w14:paraId="2D5BC23D" w14:textId="77777777" w:rsidR="000E7E18" w:rsidRPr="00FC20E4" w:rsidRDefault="000E7E18" w:rsidP="00F72709">
            <w:pPr>
              <w:spacing w:after="0" w:line="240" w:lineRule="auto"/>
              <w:jc w:val="both"/>
            </w:pPr>
            <w:r w:rsidRPr="00FC20E4">
              <w:t>Frankfort</w:t>
            </w:r>
          </w:p>
        </w:tc>
        <w:tc>
          <w:tcPr>
            <w:tcW w:w="1620" w:type="dxa"/>
          </w:tcPr>
          <w:p w14:paraId="34377873" w14:textId="2F2B879C" w:rsidR="000E7E18" w:rsidRPr="00FC20E4" w:rsidRDefault="00143C73" w:rsidP="00F72709">
            <w:pPr>
              <w:tabs>
                <w:tab w:val="decimal" w:pos="795"/>
              </w:tabs>
              <w:spacing w:after="0" w:line="240" w:lineRule="auto"/>
              <w:jc w:val="both"/>
            </w:pPr>
            <w:r>
              <w:t>n/a</w:t>
            </w:r>
          </w:p>
        </w:tc>
      </w:tr>
      <w:tr w:rsidR="000E7E18" w:rsidRPr="00FC20E4" w14:paraId="3AAA52EA" w14:textId="77777777" w:rsidTr="00F72709">
        <w:trPr>
          <w:cantSplit/>
          <w:jc w:val="center"/>
        </w:trPr>
        <w:tc>
          <w:tcPr>
            <w:tcW w:w="2070" w:type="dxa"/>
          </w:tcPr>
          <w:p w14:paraId="66A04037" w14:textId="77777777" w:rsidR="000E7E18" w:rsidRPr="00FC20E4" w:rsidRDefault="000E7E18" w:rsidP="00F72709">
            <w:pPr>
              <w:spacing w:after="0" w:line="240" w:lineRule="auto"/>
              <w:jc w:val="both"/>
            </w:pPr>
            <w:r w:rsidRPr="00FC20E4">
              <w:t>Madisonville</w:t>
            </w:r>
          </w:p>
        </w:tc>
        <w:tc>
          <w:tcPr>
            <w:tcW w:w="1620" w:type="dxa"/>
          </w:tcPr>
          <w:p w14:paraId="2CCC74D1" w14:textId="18F2618A" w:rsidR="000E7E18" w:rsidRPr="00FC20E4" w:rsidRDefault="000E7E18" w:rsidP="00F72709">
            <w:pPr>
              <w:tabs>
                <w:tab w:val="decimal" w:pos="795"/>
              </w:tabs>
              <w:spacing w:after="0" w:line="240" w:lineRule="auto"/>
              <w:jc w:val="both"/>
            </w:pPr>
            <w:r w:rsidRPr="00FC20E4">
              <w:t>$</w:t>
            </w:r>
            <w:r w:rsidR="00B55EB3">
              <w:t>8</w:t>
            </w:r>
            <w:r w:rsidRPr="00FC20E4">
              <w:t>,</w:t>
            </w:r>
            <w:r w:rsidR="00B55EB3">
              <w:t>961.30</w:t>
            </w:r>
          </w:p>
        </w:tc>
      </w:tr>
      <w:tr w:rsidR="00B55EB3" w:rsidRPr="00FC20E4" w14:paraId="571FDCA5" w14:textId="77777777" w:rsidTr="00F72709">
        <w:trPr>
          <w:cantSplit/>
          <w:jc w:val="center"/>
        </w:trPr>
        <w:tc>
          <w:tcPr>
            <w:tcW w:w="2070" w:type="dxa"/>
          </w:tcPr>
          <w:p w14:paraId="60B21877" w14:textId="5B669F6F" w:rsidR="00B55EB3" w:rsidRPr="00FC20E4" w:rsidRDefault="00B55EB3" w:rsidP="00F72709">
            <w:pPr>
              <w:spacing w:after="0" w:line="240" w:lineRule="auto"/>
              <w:jc w:val="both"/>
            </w:pPr>
            <w:r>
              <w:t>Paris</w:t>
            </w:r>
          </w:p>
        </w:tc>
        <w:tc>
          <w:tcPr>
            <w:tcW w:w="1620" w:type="dxa"/>
          </w:tcPr>
          <w:p w14:paraId="2B61845E" w14:textId="27E8F13B" w:rsidR="00B55EB3" w:rsidRPr="00FC20E4" w:rsidRDefault="00143C73" w:rsidP="00F72709">
            <w:pPr>
              <w:tabs>
                <w:tab w:val="decimal" w:pos="795"/>
              </w:tabs>
              <w:spacing w:after="0" w:line="240" w:lineRule="auto"/>
              <w:jc w:val="both"/>
            </w:pPr>
            <w:r>
              <w:t>n/a</w:t>
            </w:r>
          </w:p>
        </w:tc>
      </w:tr>
      <w:tr w:rsidR="000E7E18" w:rsidRPr="00FC20E4" w14:paraId="5C5A9F36" w14:textId="77777777" w:rsidTr="00F72709">
        <w:trPr>
          <w:cantSplit/>
          <w:jc w:val="center"/>
        </w:trPr>
        <w:tc>
          <w:tcPr>
            <w:tcW w:w="2070" w:type="dxa"/>
            <w:tcBorders>
              <w:bottom w:val="single" w:sz="4" w:space="0" w:color="auto"/>
            </w:tcBorders>
          </w:tcPr>
          <w:p w14:paraId="333B9E72" w14:textId="053A4E74" w:rsidR="000E7E18" w:rsidRPr="00FC20E4" w:rsidRDefault="000E7E18" w:rsidP="00F72709">
            <w:pPr>
              <w:spacing w:after="0" w:line="240" w:lineRule="auto"/>
              <w:jc w:val="both"/>
            </w:pPr>
            <w:r w:rsidRPr="00FC20E4">
              <w:t xml:space="preserve">Providence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E312F3" w14:textId="1CEFE042" w:rsidR="000E7E18" w:rsidRPr="00FC20E4" w:rsidRDefault="000E7E18" w:rsidP="00F72709">
            <w:pPr>
              <w:tabs>
                <w:tab w:val="decimal" w:pos="795"/>
              </w:tabs>
              <w:spacing w:after="0" w:line="240" w:lineRule="auto"/>
              <w:jc w:val="both"/>
            </w:pPr>
            <w:r w:rsidRPr="00FC20E4">
              <w:t>$</w:t>
            </w:r>
            <w:r w:rsidR="00B55EB3">
              <w:t>1,290.64</w:t>
            </w:r>
          </w:p>
        </w:tc>
      </w:tr>
    </w:tbl>
    <w:p w14:paraId="10E22B1B" w14:textId="77777777" w:rsidR="003B5DF5" w:rsidRDefault="003B5DF5" w:rsidP="00F72709">
      <w:pPr>
        <w:spacing w:after="0" w:line="240" w:lineRule="auto"/>
        <w:jc w:val="both"/>
      </w:pPr>
    </w:p>
    <w:p w14:paraId="244301DD" w14:textId="77777777" w:rsidR="00D7653D" w:rsidRDefault="00D7653D" w:rsidP="00F72709">
      <w:pPr>
        <w:spacing w:after="0" w:line="240" w:lineRule="auto"/>
        <w:ind w:left="360"/>
        <w:jc w:val="both"/>
      </w:pPr>
    </w:p>
    <w:p w14:paraId="1B9AB788" w14:textId="08E6C54C" w:rsidR="00963E5A" w:rsidRDefault="000E7E18" w:rsidP="00F72709">
      <w:pPr>
        <w:spacing w:after="0" w:line="240" w:lineRule="auto"/>
        <w:ind w:left="360"/>
        <w:jc w:val="both"/>
      </w:pPr>
      <w:r w:rsidRPr="00B33695">
        <w:t xml:space="preserve">The </w:t>
      </w:r>
      <w:r w:rsidR="00B67F87">
        <w:t xml:space="preserve">LGE/KU </w:t>
      </w:r>
      <w:r w:rsidR="00EA3F73">
        <w:t>Wholesale Distribution Service Charges</w:t>
      </w:r>
      <w:r w:rsidRPr="00B33695">
        <w:t xml:space="preserve"> will be updated </w:t>
      </w:r>
      <w:r w:rsidR="00FD7F97">
        <w:t xml:space="preserve">from time to time </w:t>
      </w:r>
      <w:r w:rsidRPr="00B33695">
        <w:t xml:space="preserve">as needed to reflect </w:t>
      </w:r>
      <w:r>
        <w:t xml:space="preserve">changes in </w:t>
      </w:r>
      <w:r w:rsidR="00EA3F73">
        <w:t xml:space="preserve">LKE/KU’s charges under the </w:t>
      </w:r>
      <w:r w:rsidR="00D7653D">
        <w:t>Wholesale Distribution Service</w:t>
      </w:r>
      <w:r w:rsidR="00EA3F73">
        <w:t xml:space="preserve"> Agreement</w:t>
      </w:r>
      <w:r w:rsidR="00D7653D">
        <w:t>.</w:t>
      </w:r>
    </w:p>
    <w:p w14:paraId="3113E681" w14:textId="12F2FC82" w:rsidR="00910906" w:rsidRDefault="00910906" w:rsidP="00F72709">
      <w:pPr>
        <w:spacing w:after="0" w:line="240" w:lineRule="auto"/>
        <w:jc w:val="both"/>
      </w:pPr>
    </w:p>
    <w:p w14:paraId="43CD8040" w14:textId="1A4A67A2" w:rsidR="00E75E98" w:rsidRPr="002F4F4A" w:rsidRDefault="00DD67C1" w:rsidP="00F727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Power Facto</w:t>
      </w:r>
      <w:r w:rsidR="00C83958">
        <w:rPr>
          <w:u w:val="single"/>
        </w:rPr>
        <w:t>r Charge</w:t>
      </w:r>
    </w:p>
    <w:p w14:paraId="3DBDFFA0" w14:textId="77777777" w:rsidR="00E75E98" w:rsidRDefault="00E75E98" w:rsidP="00F72709">
      <w:pPr>
        <w:spacing w:after="0" w:line="240" w:lineRule="auto"/>
        <w:jc w:val="both"/>
      </w:pPr>
    </w:p>
    <w:p w14:paraId="1C00E051" w14:textId="6CD17BAB" w:rsidR="00C83958" w:rsidRDefault="007B3B67" w:rsidP="00F72709">
      <w:pPr>
        <w:spacing w:after="0" w:line="240" w:lineRule="auto"/>
        <w:ind w:left="360"/>
        <w:jc w:val="both"/>
      </w:pPr>
      <w:r>
        <w:t>E</w:t>
      </w:r>
      <w:r w:rsidR="000474D5">
        <w:t>ach</w:t>
      </w:r>
      <w:r w:rsidR="003D2EC0">
        <w:t xml:space="preserve"> AR </w:t>
      </w:r>
      <w:r w:rsidR="00076CE5">
        <w:t>Membe</w:t>
      </w:r>
      <w:r w:rsidR="00C83958">
        <w:t xml:space="preserve">r </w:t>
      </w:r>
      <w:r w:rsidR="003D2EC0">
        <w:t xml:space="preserve">is encouraged to </w:t>
      </w:r>
      <w:r w:rsidR="00C83958">
        <w:t xml:space="preserve">take and use power in such a manner that the power factor, at the time of </w:t>
      </w:r>
      <w:r w:rsidR="003D2EC0">
        <w:t xml:space="preserve">its </w:t>
      </w:r>
      <w:r w:rsidR="00C83958">
        <w:t xml:space="preserve">monthly </w:t>
      </w:r>
      <w:r w:rsidR="003D2EC0">
        <w:t xml:space="preserve">non-coincident </w:t>
      </w:r>
      <w:r w:rsidR="00C83958">
        <w:t xml:space="preserve">peak demand, </w:t>
      </w:r>
      <w:r w:rsidR="003D2EC0">
        <w:t xml:space="preserve">will </w:t>
      </w:r>
      <w:r w:rsidR="00C83958">
        <w:t>not be less than ninety percent (90%)</w:t>
      </w:r>
      <w:r w:rsidR="003D2EC0">
        <w:t>.</w:t>
      </w:r>
    </w:p>
    <w:p w14:paraId="67C0AE4A" w14:textId="77777777" w:rsidR="00C83958" w:rsidRDefault="00C83958" w:rsidP="00F72709">
      <w:pPr>
        <w:spacing w:after="0" w:line="240" w:lineRule="auto"/>
        <w:ind w:left="360"/>
        <w:jc w:val="both"/>
      </w:pPr>
    </w:p>
    <w:p w14:paraId="1EE5F4FC" w14:textId="11B10EE6" w:rsidR="00910906" w:rsidRDefault="00E75E98" w:rsidP="00F72709">
      <w:pPr>
        <w:spacing w:after="0" w:line="240" w:lineRule="auto"/>
        <w:ind w:left="360"/>
        <w:jc w:val="both"/>
      </w:pPr>
      <w:r>
        <w:t xml:space="preserve">If the </w:t>
      </w:r>
      <w:r w:rsidR="003D2EC0">
        <w:t xml:space="preserve">AR </w:t>
      </w:r>
      <w:r w:rsidR="00D3473B">
        <w:t xml:space="preserve">Member’s measured </w:t>
      </w:r>
      <w:r>
        <w:t>power factor</w:t>
      </w:r>
      <w:r w:rsidR="00D3473B">
        <w:t xml:space="preserve">, at the time of </w:t>
      </w:r>
      <w:r w:rsidR="003D2EC0">
        <w:t>its monthly non-coincident peak demand</w:t>
      </w:r>
      <w:r w:rsidR="00D3473B">
        <w:t>,</w:t>
      </w:r>
      <w:r>
        <w:t xml:space="preserve"> is less than </w:t>
      </w:r>
      <w:r w:rsidR="00963E5A">
        <w:t xml:space="preserve">ninety </w:t>
      </w:r>
      <w:r>
        <w:t>percent</w:t>
      </w:r>
      <w:r w:rsidR="00963E5A">
        <w:t xml:space="preserve"> (90%)</w:t>
      </w:r>
      <w:r>
        <w:t xml:space="preserve">, </w:t>
      </w:r>
      <w:r w:rsidR="00C83958">
        <w:t>the Member will be assessed a Power Factor Charge</w:t>
      </w:r>
      <w:r w:rsidR="00963E5A">
        <w:t xml:space="preserve"> as follows:</w:t>
      </w:r>
    </w:p>
    <w:p w14:paraId="02A4AF54" w14:textId="02E6D401" w:rsidR="00963E5A" w:rsidRDefault="00963E5A" w:rsidP="00F72709">
      <w:pPr>
        <w:spacing w:after="0" w:line="240" w:lineRule="auto"/>
        <w:ind w:left="360"/>
        <w:jc w:val="both"/>
      </w:pPr>
    </w:p>
    <w:p w14:paraId="3D14AEE6" w14:textId="6ECF8676" w:rsidR="00963E5A" w:rsidRDefault="00963E5A" w:rsidP="007B3B67">
      <w:pPr>
        <w:tabs>
          <w:tab w:val="left" w:pos="5040"/>
        </w:tabs>
        <w:spacing w:before="120" w:after="0" w:line="240" w:lineRule="auto"/>
        <w:ind w:left="5040" w:hanging="3960"/>
      </w:pPr>
      <w:r>
        <w:t>Power Factor Charge</w:t>
      </w:r>
      <w:r>
        <w:tab/>
        <w:t xml:space="preserve">$2.80 per kVAR applied to the </w:t>
      </w:r>
      <w:r w:rsidR="003D2EC0">
        <w:t xml:space="preserve">amount of </w:t>
      </w:r>
      <w:r>
        <w:t>reactive demand in kVAR by which the metered reactive demand exceeds the reactive demand at a 90% power factor</w:t>
      </w:r>
    </w:p>
    <w:p w14:paraId="2AF983DE" w14:textId="77777777" w:rsidR="00937F39" w:rsidRDefault="00937F39" w:rsidP="00F72709">
      <w:pPr>
        <w:spacing w:after="0" w:line="240" w:lineRule="auto"/>
        <w:jc w:val="both"/>
      </w:pPr>
    </w:p>
    <w:p w14:paraId="0E44A0C7" w14:textId="77777777" w:rsidR="00910906" w:rsidRPr="000E7E18" w:rsidRDefault="00910906" w:rsidP="00F727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0E7E18">
        <w:rPr>
          <w:u w:val="single"/>
        </w:rPr>
        <w:t>Late Payment Charge</w:t>
      </w:r>
    </w:p>
    <w:p w14:paraId="79D8A385" w14:textId="77777777" w:rsidR="00910906" w:rsidRDefault="00910906" w:rsidP="00F72709">
      <w:pPr>
        <w:spacing w:after="0" w:line="240" w:lineRule="auto"/>
        <w:jc w:val="both"/>
      </w:pPr>
    </w:p>
    <w:p w14:paraId="38E3197C" w14:textId="4E1920B2" w:rsidR="00C92E22" w:rsidRDefault="006E769E" w:rsidP="00F72709">
      <w:pPr>
        <w:spacing w:after="0" w:line="240" w:lineRule="auto"/>
        <w:ind w:left="360"/>
        <w:jc w:val="both"/>
      </w:pPr>
      <w:r>
        <w:t>The Agency may impose a late payment charge equal to five percent (5%) of the unpaid balance on any power bill amounts not paid by the due date specified in the Contract.</w:t>
      </w:r>
      <w:r w:rsidR="00410557">
        <w:t xml:space="preserve"> </w:t>
      </w:r>
    </w:p>
    <w:p w14:paraId="19C769E6" w14:textId="77777777" w:rsidR="00C92E22" w:rsidRDefault="00C92E22" w:rsidP="00F72709">
      <w:pPr>
        <w:spacing w:after="0" w:line="240" w:lineRule="auto"/>
        <w:jc w:val="both"/>
      </w:pPr>
    </w:p>
    <w:p w14:paraId="3C4BEF04" w14:textId="77777777" w:rsidR="00B56AAB" w:rsidRDefault="00B56AAB" w:rsidP="00F72709">
      <w:pPr>
        <w:spacing w:after="0" w:line="240" w:lineRule="auto"/>
        <w:jc w:val="both"/>
        <w:sectPr w:rsidR="00B56AAB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BEDBC6" w14:textId="01F24347" w:rsidR="006A7670" w:rsidRDefault="006A7670" w:rsidP="00F72709">
      <w:pPr>
        <w:spacing w:after="0" w:line="240" w:lineRule="auto"/>
        <w:jc w:val="both"/>
      </w:pPr>
    </w:p>
    <w:p w14:paraId="460B9E62" w14:textId="7B8D8899" w:rsidR="006A7670" w:rsidRPr="006A7670" w:rsidRDefault="006A7670" w:rsidP="00F72709">
      <w:pPr>
        <w:spacing w:after="0" w:line="240" w:lineRule="auto"/>
        <w:jc w:val="both"/>
        <w:rPr>
          <w:b/>
        </w:rPr>
      </w:pPr>
      <w:r w:rsidRPr="006A7670">
        <w:rPr>
          <w:b/>
        </w:rPr>
        <w:t>SCHEDULE A</w:t>
      </w:r>
    </w:p>
    <w:p w14:paraId="7FBE5601" w14:textId="60EC5537" w:rsidR="006A7670" w:rsidRPr="006A7670" w:rsidRDefault="006A7670" w:rsidP="00F72709">
      <w:pPr>
        <w:spacing w:after="0" w:line="240" w:lineRule="auto"/>
        <w:jc w:val="both"/>
        <w:rPr>
          <w:b/>
        </w:rPr>
      </w:pPr>
      <w:r w:rsidRPr="006A7670">
        <w:rPr>
          <w:b/>
        </w:rPr>
        <w:t>POINTS OF DELIVERY</w:t>
      </w:r>
    </w:p>
    <w:p w14:paraId="7B8F0D02" w14:textId="77777777" w:rsidR="006A7670" w:rsidRDefault="006A7670" w:rsidP="00F72709">
      <w:pPr>
        <w:spacing w:after="0" w:line="240" w:lineRule="auto"/>
        <w:jc w:val="both"/>
      </w:pPr>
    </w:p>
    <w:tbl>
      <w:tblPr>
        <w:tblW w:w="4950" w:type="dxa"/>
        <w:jc w:val="center"/>
        <w:tblLayout w:type="fixed"/>
        <w:tblLook w:val="01E0" w:firstRow="1" w:lastRow="1" w:firstColumn="1" w:lastColumn="1" w:noHBand="0" w:noVBand="0"/>
      </w:tblPr>
      <w:tblGrid>
        <w:gridCol w:w="810"/>
        <w:gridCol w:w="2880"/>
        <w:gridCol w:w="1260"/>
      </w:tblGrid>
      <w:tr w:rsidR="00B56AAB" w:rsidRPr="00FC20E4" w14:paraId="6AE9632F" w14:textId="77777777" w:rsidTr="00B56AAB">
        <w:trPr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80ACE39" w14:textId="0C88A1D4" w:rsidR="00B56AAB" w:rsidRPr="00D33E56" w:rsidRDefault="00B56AAB" w:rsidP="00F727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F64992D" w14:textId="669ECED3" w:rsidR="00B56AAB" w:rsidRPr="00D33E56" w:rsidRDefault="00B56AAB" w:rsidP="00F727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Delivery Point 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19637DA" w14:textId="67175930" w:rsidR="00B56AAB" w:rsidRPr="00D33E56" w:rsidRDefault="00B56AAB" w:rsidP="00F727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Voltage Level</w:t>
            </w:r>
          </w:p>
        </w:tc>
      </w:tr>
      <w:tr w:rsidR="003927E3" w:rsidRPr="00FC20E4" w14:paraId="566D0595" w14:textId="77777777" w:rsidTr="00B56AAB">
        <w:trPr>
          <w:jc w:val="center"/>
        </w:trPr>
        <w:tc>
          <w:tcPr>
            <w:tcW w:w="810" w:type="dxa"/>
          </w:tcPr>
          <w:p w14:paraId="168EFCBC" w14:textId="525AF146" w:rsidR="003927E3" w:rsidRPr="00FC20E4" w:rsidRDefault="003927E3" w:rsidP="00F72709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880" w:type="dxa"/>
          </w:tcPr>
          <w:p w14:paraId="521CB26A" w14:textId="34E0ABA8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Barbourville City</w:t>
            </w:r>
          </w:p>
        </w:tc>
        <w:tc>
          <w:tcPr>
            <w:tcW w:w="1260" w:type="dxa"/>
          </w:tcPr>
          <w:p w14:paraId="0682791D" w14:textId="2A2618FC" w:rsidR="003927E3" w:rsidRPr="00FC20E4" w:rsidDel="0020787B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71C0B506" w14:textId="77777777" w:rsidTr="00B56AAB">
        <w:trPr>
          <w:jc w:val="center"/>
        </w:trPr>
        <w:tc>
          <w:tcPr>
            <w:tcW w:w="810" w:type="dxa"/>
          </w:tcPr>
          <w:p w14:paraId="2F7BF9E0" w14:textId="5E1455C5" w:rsidR="003927E3" w:rsidRPr="00FC20E4" w:rsidRDefault="003927E3" w:rsidP="00F72709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880" w:type="dxa"/>
          </w:tcPr>
          <w:p w14:paraId="2E78551A" w14:textId="129943EE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Bardwell City</w:t>
            </w:r>
          </w:p>
        </w:tc>
        <w:tc>
          <w:tcPr>
            <w:tcW w:w="1260" w:type="dxa"/>
          </w:tcPr>
          <w:p w14:paraId="422DCA8F" w14:textId="1CCFC6C6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0B341F07" w14:textId="77777777" w:rsidTr="00B56AAB">
        <w:trPr>
          <w:jc w:val="center"/>
        </w:trPr>
        <w:tc>
          <w:tcPr>
            <w:tcW w:w="810" w:type="dxa"/>
          </w:tcPr>
          <w:p w14:paraId="2E2E41F8" w14:textId="67E8D7B9" w:rsidR="003927E3" w:rsidRPr="00FC20E4" w:rsidRDefault="003927E3" w:rsidP="00F72709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880" w:type="dxa"/>
          </w:tcPr>
          <w:p w14:paraId="3FA59E89" w14:textId="3ED6B519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Corbin 1 North</w:t>
            </w:r>
          </w:p>
        </w:tc>
        <w:tc>
          <w:tcPr>
            <w:tcW w:w="1260" w:type="dxa"/>
          </w:tcPr>
          <w:p w14:paraId="4FBFC6A2" w14:textId="4DEE4B89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2354EAA5" w14:textId="77777777" w:rsidTr="00B56AAB">
        <w:trPr>
          <w:jc w:val="center"/>
        </w:trPr>
        <w:tc>
          <w:tcPr>
            <w:tcW w:w="810" w:type="dxa"/>
          </w:tcPr>
          <w:p w14:paraId="699711C7" w14:textId="4FBB3B1E" w:rsidR="003927E3" w:rsidRPr="00FC20E4" w:rsidRDefault="003927E3" w:rsidP="00F72709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880" w:type="dxa"/>
          </w:tcPr>
          <w:p w14:paraId="6391EF02" w14:textId="49D49D3D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Corbin 2 South</w:t>
            </w:r>
          </w:p>
        </w:tc>
        <w:tc>
          <w:tcPr>
            <w:tcW w:w="1260" w:type="dxa"/>
          </w:tcPr>
          <w:p w14:paraId="708B1942" w14:textId="7CA0F829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331E59DF" w14:textId="77777777" w:rsidTr="00B56AAB">
        <w:trPr>
          <w:jc w:val="center"/>
        </w:trPr>
        <w:tc>
          <w:tcPr>
            <w:tcW w:w="810" w:type="dxa"/>
          </w:tcPr>
          <w:p w14:paraId="0BBA848D" w14:textId="647CAF8E" w:rsidR="003927E3" w:rsidRPr="00FC20E4" w:rsidRDefault="003927E3" w:rsidP="00F72709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2880" w:type="dxa"/>
          </w:tcPr>
          <w:p w14:paraId="0D7BC914" w14:textId="465D3647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Falmouth 4kV</w:t>
            </w:r>
          </w:p>
        </w:tc>
        <w:tc>
          <w:tcPr>
            <w:tcW w:w="1260" w:type="dxa"/>
          </w:tcPr>
          <w:p w14:paraId="60DDAC0D" w14:textId="00F82587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46A7A3CD" w14:textId="77777777" w:rsidTr="00B56AAB">
        <w:trPr>
          <w:jc w:val="center"/>
        </w:trPr>
        <w:tc>
          <w:tcPr>
            <w:tcW w:w="810" w:type="dxa"/>
          </w:tcPr>
          <w:p w14:paraId="15E71F91" w14:textId="015B736F" w:rsidR="003927E3" w:rsidRPr="00FC20E4" w:rsidRDefault="003927E3" w:rsidP="00F72709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2880" w:type="dxa"/>
          </w:tcPr>
          <w:p w14:paraId="5EB2C2C2" w14:textId="57378DAD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Frankfort</w:t>
            </w:r>
            <w:r w:rsidR="008A52C5">
              <w:t xml:space="preserve"> Myrick</w:t>
            </w:r>
            <w:r w:rsidRPr="003A6D99">
              <w:t xml:space="preserve"> 1</w:t>
            </w:r>
          </w:p>
        </w:tc>
        <w:tc>
          <w:tcPr>
            <w:tcW w:w="1260" w:type="dxa"/>
          </w:tcPr>
          <w:p w14:paraId="0AE67874" w14:textId="693572A3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3485695A" w14:textId="77777777" w:rsidTr="00B56AAB">
        <w:trPr>
          <w:jc w:val="center"/>
        </w:trPr>
        <w:tc>
          <w:tcPr>
            <w:tcW w:w="810" w:type="dxa"/>
          </w:tcPr>
          <w:p w14:paraId="2843C904" w14:textId="6E65C288" w:rsidR="003927E3" w:rsidRPr="00FC20E4" w:rsidRDefault="003927E3" w:rsidP="00F72709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2880" w:type="dxa"/>
          </w:tcPr>
          <w:p w14:paraId="4B835440" w14:textId="7D4D145C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Frankfort</w:t>
            </w:r>
            <w:r w:rsidR="008A52C5">
              <w:t xml:space="preserve"> Myrick</w:t>
            </w:r>
            <w:r w:rsidRPr="003A6D99">
              <w:t xml:space="preserve"> 2</w:t>
            </w:r>
          </w:p>
        </w:tc>
        <w:tc>
          <w:tcPr>
            <w:tcW w:w="1260" w:type="dxa"/>
          </w:tcPr>
          <w:p w14:paraId="08440521" w14:textId="1FE7E4E1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8A52C5" w:rsidRPr="00FC20E4" w14:paraId="23B083FA" w14:textId="77777777" w:rsidTr="00B56AAB">
        <w:trPr>
          <w:jc w:val="center"/>
        </w:trPr>
        <w:tc>
          <w:tcPr>
            <w:tcW w:w="810" w:type="dxa"/>
          </w:tcPr>
          <w:p w14:paraId="65AF851E" w14:textId="45C3D587" w:rsidR="008A52C5" w:rsidRDefault="008A52C5" w:rsidP="00F72709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2880" w:type="dxa"/>
          </w:tcPr>
          <w:p w14:paraId="1992B01C" w14:textId="32996223" w:rsidR="008A52C5" w:rsidRPr="003A6D99" w:rsidRDefault="008A52C5" w:rsidP="00F72709">
            <w:pPr>
              <w:spacing w:after="0" w:line="240" w:lineRule="auto"/>
              <w:jc w:val="both"/>
            </w:pPr>
            <w:r>
              <w:t>Frankfort Myrick 3</w:t>
            </w:r>
          </w:p>
        </w:tc>
        <w:tc>
          <w:tcPr>
            <w:tcW w:w="1260" w:type="dxa"/>
          </w:tcPr>
          <w:p w14:paraId="2B7ADE57" w14:textId="438ED900" w:rsidR="008A52C5" w:rsidRPr="003A6D99" w:rsidRDefault="00D035D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>
              <w:t>69kV</w:t>
            </w:r>
          </w:p>
        </w:tc>
      </w:tr>
      <w:tr w:rsidR="003927E3" w:rsidRPr="00FC20E4" w14:paraId="5E666D17" w14:textId="77777777" w:rsidTr="00B56AAB">
        <w:trPr>
          <w:jc w:val="center"/>
        </w:trPr>
        <w:tc>
          <w:tcPr>
            <w:tcW w:w="810" w:type="dxa"/>
          </w:tcPr>
          <w:p w14:paraId="7D277B88" w14:textId="24341C07" w:rsidR="003927E3" w:rsidRPr="00FC20E4" w:rsidRDefault="008A52C5" w:rsidP="00F72709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2880" w:type="dxa"/>
          </w:tcPr>
          <w:p w14:paraId="6EBB0870" w14:textId="1E444AE8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Madisonville GE</w:t>
            </w:r>
          </w:p>
        </w:tc>
        <w:tc>
          <w:tcPr>
            <w:tcW w:w="1260" w:type="dxa"/>
          </w:tcPr>
          <w:p w14:paraId="183FB098" w14:textId="3CFA5E7A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1A39F3D4" w14:textId="77777777" w:rsidTr="00B56AAB">
        <w:trPr>
          <w:jc w:val="center"/>
        </w:trPr>
        <w:tc>
          <w:tcPr>
            <w:tcW w:w="810" w:type="dxa"/>
          </w:tcPr>
          <w:p w14:paraId="1A73FC33" w14:textId="3F0C492E" w:rsidR="003927E3" w:rsidRPr="00FC20E4" w:rsidRDefault="008A52C5" w:rsidP="00F72709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2880" w:type="dxa"/>
          </w:tcPr>
          <w:p w14:paraId="6E9EF921" w14:textId="6C075100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Madisonville West</w:t>
            </w:r>
          </w:p>
        </w:tc>
        <w:tc>
          <w:tcPr>
            <w:tcW w:w="1260" w:type="dxa"/>
          </w:tcPr>
          <w:p w14:paraId="63C86790" w14:textId="6FBB4F4E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67F8C7E6" w14:textId="77777777" w:rsidTr="00B56AAB">
        <w:trPr>
          <w:jc w:val="center"/>
        </w:trPr>
        <w:tc>
          <w:tcPr>
            <w:tcW w:w="810" w:type="dxa"/>
          </w:tcPr>
          <w:p w14:paraId="3C4BD0CD" w14:textId="667447C4" w:rsidR="003927E3" w:rsidRPr="00FC20E4" w:rsidRDefault="003927E3" w:rsidP="00F72709">
            <w:pPr>
              <w:spacing w:after="0" w:line="240" w:lineRule="auto"/>
              <w:jc w:val="both"/>
            </w:pPr>
            <w:r>
              <w:t>1</w:t>
            </w:r>
            <w:r w:rsidR="008A52C5">
              <w:t>1</w:t>
            </w:r>
          </w:p>
        </w:tc>
        <w:tc>
          <w:tcPr>
            <w:tcW w:w="2880" w:type="dxa"/>
          </w:tcPr>
          <w:p w14:paraId="43961892" w14:textId="7FDE4929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Madisonville East</w:t>
            </w:r>
          </w:p>
        </w:tc>
        <w:tc>
          <w:tcPr>
            <w:tcW w:w="1260" w:type="dxa"/>
          </w:tcPr>
          <w:p w14:paraId="7039798B" w14:textId="0DA9A468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57B01E2E" w14:textId="77777777" w:rsidTr="00B56AAB">
        <w:trPr>
          <w:jc w:val="center"/>
        </w:trPr>
        <w:tc>
          <w:tcPr>
            <w:tcW w:w="810" w:type="dxa"/>
          </w:tcPr>
          <w:p w14:paraId="4E19ACE1" w14:textId="052F5685" w:rsidR="003927E3" w:rsidRPr="00FC20E4" w:rsidRDefault="003927E3" w:rsidP="00F72709">
            <w:pPr>
              <w:spacing w:after="0" w:line="240" w:lineRule="auto"/>
              <w:jc w:val="both"/>
            </w:pPr>
            <w:r>
              <w:t>1</w:t>
            </w:r>
            <w:r w:rsidR="008A52C5">
              <w:t>2</w:t>
            </w:r>
          </w:p>
        </w:tc>
        <w:tc>
          <w:tcPr>
            <w:tcW w:w="2880" w:type="dxa"/>
          </w:tcPr>
          <w:p w14:paraId="4A0A03E9" w14:textId="4014DCA8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Madisonville Hospital</w:t>
            </w:r>
          </w:p>
        </w:tc>
        <w:tc>
          <w:tcPr>
            <w:tcW w:w="1260" w:type="dxa"/>
          </w:tcPr>
          <w:p w14:paraId="7D44E91E" w14:textId="7B61FFAE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67EB0639" w14:textId="77777777" w:rsidTr="00B56AAB">
        <w:trPr>
          <w:jc w:val="center"/>
        </w:trPr>
        <w:tc>
          <w:tcPr>
            <w:tcW w:w="810" w:type="dxa"/>
          </w:tcPr>
          <w:p w14:paraId="6E8205B9" w14:textId="7BA5AB26" w:rsidR="003927E3" w:rsidRPr="00FC20E4" w:rsidRDefault="003927E3" w:rsidP="00F72709">
            <w:pPr>
              <w:spacing w:after="0" w:line="240" w:lineRule="auto"/>
              <w:jc w:val="both"/>
            </w:pPr>
            <w:r>
              <w:t>1</w:t>
            </w:r>
            <w:r w:rsidR="008A52C5">
              <w:t>3</w:t>
            </w:r>
          </w:p>
        </w:tc>
        <w:tc>
          <w:tcPr>
            <w:tcW w:w="2880" w:type="dxa"/>
          </w:tcPr>
          <w:p w14:paraId="0D228372" w14:textId="799AB091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Madisonville North</w:t>
            </w:r>
          </w:p>
        </w:tc>
        <w:tc>
          <w:tcPr>
            <w:tcW w:w="1260" w:type="dxa"/>
          </w:tcPr>
          <w:p w14:paraId="00195BFF" w14:textId="3E749C58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5986DC0C" w14:textId="77777777" w:rsidTr="00B56AAB">
        <w:trPr>
          <w:jc w:val="center"/>
        </w:trPr>
        <w:tc>
          <w:tcPr>
            <w:tcW w:w="810" w:type="dxa"/>
          </w:tcPr>
          <w:p w14:paraId="3E5AA894" w14:textId="300931E3" w:rsidR="003927E3" w:rsidRPr="00FC20E4" w:rsidRDefault="003927E3" w:rsidP="00F72709">
            <w:pPr>
              <w:spacing w:after="0" w:line="240" w:lineRule="auto"/>
              <w:jc w:val="both"/>
            </w:pPr>
            <w:r>
              <w:t>1</w:t>
            </w:r>
            <w:r w:rsidR="008A52C5">
              <w:t>4</w:t>
            </w:r>
          </w:p>
        </w:tc>
        <w:tc>
          <w:tcPr>
            <w:tcW w:w="2880" w:type="dxa"/>
          </w:tcPr>
          <w:p w14:paraId="3701FE26" w14:textId="70D7E678" w:rsidR="003927E3" w:rsidRPr="00FC20E4" w:rsidRDefault="003927E3" w:rsidP="00F72709">
            <w:pPr>
              <w:spacing w:after="0" w:line="240" w:lineRule="auto"/>
              <w:jc w:val="both"/>
            </w:pPr>
            <w:r>
              <w:t xml:space="preserve">Madisonville </w:t>
            </w:r>
            <w:r w:rsidRPr="003A6D99">
              <w:t>McCoy Road</w:t>
            </w:r>
          </w:p>
        </w:tc>
        <w:tc>
          <w:tcPr>
            <w:tcW w:w="1260" w:type="dxa"/>
          </w:tcPr>
          <w:p w14:paraId="627FBD1D" w14:textId="531C759D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51589A65" w14:textId="77777777" w:rsidTr="00B56AAB">
        <w:trPr>
          <w:jc w:val="center"/>
        </w:trPr>
        <w:tc>
          <w:tcPr>
            <w:tcW w:w="810" w:type="dxa"/>
          </w:tcPr>
          <w:p w14:paraId="25B4A263" w14:textId="7D415A7B" w:rsidR="003927E3" w:rsidRPr="00FC20E4" w:rsidRDefault="003927E3" w:rsidP="00F72709">
            <w:pPr>
              <w:spacing w:after="0" w:line="240" w:lineRule="auto"/>
              <w:jc w:val="both"/>
            </w:pPr>
            <w:r>
              <w:t>1</w:t>
            </w:r>
            <w:r w:rsidR="008A52C5">
              <w:t>5</w:t>
            </w:r>
          </w:p>
        </w:tc>
        <w:tc>
          <w:tcPr>
            <w:tcW w:w="2880" w:type="dxa"/>
          </w:tcPr>
          <w:p w14:paraId="1DC66444" w14:textId="320AB3B3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Paris City 1 (Scott Street)</w:t>
            </w:r>
          </w:p>
        </w:tc>
        <w:tc>
          <w:tcPr>
            <w:tcW w:w="1260" w:type="dxa"/>
          </w:tcPr>
          <w:p w14:paraId="5F01564C" w14:textId="705D7201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4497CFFB" w14:textId="77777777" w:rsidTr="00B56AAB">
        <w:trPr>
          <w:jc w:val="center"/>
        </w:trPr>
        <w:tc>
          <w:tcPr>
            <w:tcW w:w="810" w:type="dxa"/>
          </w:tcPr>
          <w:p w14:paraId="4F27E709" w14:textId="5E8FAC1F" w:rsidR="003927E3" w:rsidRPr="00FC20E4" w:rsidRDefault="003927E3" w:rsidP="00F72709">
            <w:pPr>
              <w:spacing w:after="0" w:line="240" w:lineRule="auto"/>
              <w:jc w:val="both"/>
            </w:pPr>
            <w:r>
              <w:t>1</w:t>
            </w:r>
            <w:r w:rsidR="008A52C5">
              <w:t>6</w:t>
            </w:r>
          </w:p>
        </w:tc>
        <w:tc>
          <w:tcPr>
            <w:tcW w:w="2880" w:type="dxa"/>
          </w:tcPr>
          <w:p w14:paraId="48D73603" w14:textId="023B47B9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Paris City 2 (Claysville)</w:t>
            </w:r>
          </w:p>
        </w:tc>
        <w:tc>
          <w:tcPr>
            <w:tcW w:w="1260" w:type="dxa"/>
          </w:tcPr>
          <w:p w14:paraId="033FE098" w14:textId="25A02D3D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232426B0" w14:textId="77777777" w:rsidTr="00B56AAB">
        <w:trPr>
          <w:jc w:val="center"/>
        </w:trPr>
        <w:tc>
          <w:tcPr>
            <w:tcW w:w="810" w:type="dxa"/>
          </w:tcPr>
          <w:p w14:paraId="0F12A2D6" w14:textId="329C11BE" w:rsidR="003927E3" w:rsidRPr="00FC20E4" w:rsidRDefault="003927E3" w:rsidP="00F72709">
            <w:pPr>
              <w:spacing w:after="0" w:line="240" w:lineRule="auto"/>
              <w:jc w:val="both"/>
            </w:pPr>
            <w:r>
              <w:t>1</w:t>
            </w:r>
            <w:r w:rsidR="008A52C5">
              <w:t>7</w:t>
            </w:r>
          </w:p>
        </w:tc>
        <w:tc>
          <w:tcPr>
            <w:tcW w:w="2880" w:type="dxa"/>
          </w:tcPr>
          <w:p w14:paraId="58FD9D45" w14:textId="16CE84B5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Paris City 3 (Vine St)</w:t>
            </w:r>
          </w:p>
        </w:tc>
        <w:tc>
          <w:tcPr>
            <w:tcW w:w="1260" w:type="dxa"/>
          </w:tcPr>
          <w:p w14:paraId="14873C62" w14:textId="023C01DE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45F190B3" w14:textId="77777777" w:rsidTr="00B56AAB">
        <w:trPr>
          <w:jc w:val="center"/>
        </w:trPr>
        <w:tc>
          <w:tcPr>
            <w:tcW w:w="810" w:type="dxa"/>
          </w:tcPr>
          <w:p w14:paraId="3CECF26C" w14:textId="3C79553B" w:rsidR="003927E3" w:rsidRPr="00FC20E4" w:rsidRDefault="003927E3" w:rsidP="00F72709">
            <w:pPr>
              <w:spacing w:after="0" w:line="240" w:lineRule="auto"/>
              <w:jc w:val="both"/>
            </w:pPr>
            <w:r>
              <w:t>1</w:t>
            </w:r>
            <w:r w:rsidR="008A52C5">
              <w:t>8</w:t>
            </w:r>
          </w:p>
        </w:tc>
        <w:tc>
          <w:tcPr>
            <w:tcW w:w="2880" w:type="dxa"/>
          </w:tcPr>
          <w:p w14:paraId="691CF3D2" w14:textId="0FC105F7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Paris City 4 (Weaver Rd)</w:t>
            </w:r>
          </w:p>
        </w:tc>
        <w:tc>
          <w:tcPr>
            <w:tcW w:w="1260" w:type="dxa"/>
          </w:tcPr>
          <w:p w14:paraId="16C2B049" w14:textId="7B0E9E4F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6BCB5AF5" w14:textId="77777777" w:rsidTr="003927E3">
        <w:trPr>
          <w:jc w:val="center"/>
        </w:trPr>
        <w:tc>
          <w:tcPr>
            <w:tcW w:w="810" w:type="dxa"/>
          </w:tcPr>
          <w:p w14:paraId="08EDA8A9" w14:textId="21215D30" w:rsidR="003927E3" w:rsidRPr="00FC20E4" w:rsidRDefault="003927E3" w:rsidP="00F72709">
            <w:pPr>
              <w:spacing w:after="0" w:line="240" w:lineRule="auto"/>
              <w:jc w:val="both"/>
            </w:pPr>
            <w:r>
              <w:t>1</w:t>
            </w:r>
            <w:r w:rsidR="008A52C5">
              <w:t>9</w:t>
            </w:r>
          </w:p>
        </w:tc>
        <w:tc>
          <w:tcPr>
            <w:tcW w:w="2880" w:type="dxa"/>
          </w:tcPr>
          <w:p w14:paraId="265EF4C2" w14:textId="593E1E37" w:rsidR="003927E3" w:rsidRPr="00FC20E4" w:rsidRDefault="003927E3" w:rsidP="00F72709">
            <w:pPr>
              <w:spacing w:after="0" w:line="240" w:lineRule="auto"/>
              <w:jc w:val="both"/>
            </w:pPr>
            <w:r w:rsidRPr="003A6D99">
              <w:t>Providence 4kV</w:t>
            </w:r>
          </w:p>
        </w:tc>
        <w:tc>
          <w:tcPr>
            <w:tcW w:w="1260" w:type="dxa"/>
          </w:tcPr>
          <w:p w14:paraId="206C0A14" w14:textId="2B475A4C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  <w:tr w:rsidR="003927E3" w:rsidRPr="00FC20E4" w14:paraId="1DB53417" w14:textId="77777777" w:rsidTr="003927E3">
        <w:trPr>
          <w:jc w:val="center"/>
        </w:trPr>
        <w:tc>
          <w:tcPr>
            <w:tcW w:w="810" w:type="dxa"/>
            <w:tcBorders>
              <w:bottom w:val="single" w:sz="4" w:space="0" w:color="auto"/>
            </w:tcBorders>
          </w:tcPr>
          <w:p w14:paraId="736D63F5" w14:textId="60AADCE9" w:rsidR="003927E3" w:rsidRPr="00FC20E4" w:rsidRDefault="008A52C5" w:rsidP="00F72709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8FEE5BE" w14:textId="70D80D64" w:rsidR="003927E3" w:rsidRPr="00FC20E4" w:rsidRDefault="003927E3" w:rsidP="00F72709">
            <w:pPr>
              <w:spacing w:after="0" w:line="240" w:lineRule="auto"/>
              <w:jc w:val="both"/>
            </w:pPr>
            <w:r>
              <w:t>Providence East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6A0B10E" w14:textId="24819866" w:rsidR="003927E3" w:rsidRPr="00FC20E4" w:rsidRDefault="003927E3" w:rsidP="00F72709">
            <w:pPr>
              <w:tabs>
                <w:tab w:val="decimal" w:pos="525"/>
              </w:tabs>
              <w:spacing w:after="0" w:line="240" w:lineRule="auto"/>
              <w:jc w:val="both"/>
            </w:pPr>
            <w:r w:rsidRPr="003A6D99">
              <w:t>69kV</w:t>
            </w:r>
          </w:p>
        </w:tc>
      </w:tr>
    </w:tbl>
    <w:p w14:paraId="2F2C864E" w14:textId="51682399" w:rsidR="00B56AAB" w:rsidRDefault="00B56AAB" w:rsidP="00F72709">
      <w:pPr>
        <w:spacing w:after="0" w:line="240" w:lineRule="auto"/>
        <w:jc w:val="both"/>
      </w:pPr>
    </w:p>
    <w:p w14:paraId="6F985457" w14:textId="4EEB5B7C" w:rsidR="00F0317A" w:rsidRDefault="00F0317A" w:rsidP="00F72709">
      <w:pPr>
        <w:spacing w:after="0" w:line="240" w:lineRule="auto"/>
        <w:jc w:val="both"/>
      </w:pPr>
    </w:p>
    <w:p w14:paraId="17A37FB1" w14:textId="50C5E0EA" w:rsidR="006F474E" w:rsidRDefault="006F474E" w:rsidP="00F72709">
      <w:pPr>
        <w:widowControl w:val="0"/>
        <w:tabs>
          <w:tab w:val="left" w:pos="2263"/>
          <w:tab w:val="left" w:pos="2264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</w:p>
    <w:sectPr w:rsidR="006F474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890A7" w14:textId="77777777" w:rsidR="003D2EC0" w:rsidRDefault="003D2EC0" w:rsidP="00D31304">
      <w:pPr>
        <w:spacing w:after="0" w:line="240" w:lineRule="auto"/>
      </w:pPr>
      <w:r>
        <w:separator/>
      </w:r>
    </w:p>
  </w:endnote>
  <w:endnote w:type="continuationSeparator" w:id="0">
    <w:p w14:paraId="6294DF0A" w14:textId="77777777" w:rsidR="003D2EC0" w:rsidRDefault="003D2EC0" w:rsidP="00D31304">
      <w:pPr>
        <w:spacing w:after="0" w:line="240" w:lineRule="auto"/>
      </w:pPr>
      <w:r>
        <w:continuationSeparator/>
      </w:r>
    </w:p>
  </w:endnote>
  <w:endnote w:type="continuationNotice" w:id="1">
    <w:p w14:paraId="4311089C" w14:textId="77777777" w:rsidR="003D2EC0" w:rsidRDefault="003D2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CE556" w14:textId="5111E704" w:rsidR="003D2EC0" w:rsidRPr="00503C16" w:rsidRDefault="003D2EC0" w:rsidP="00503C16">
    <w:pPr>
      <w:pStyle w:val="Footer"/>
      <w:tabs>
        <w:tab w:val="clear" w:pos="4680"/>
        <w:tab w:val="right" w:pos="0"/>
        <w:tab w:val="left" w:pos="7020"/>
        <w:tab w:val="left" w:pos="8100"/>
      </w:tabs>
    </w:pPr>
    <w:r>
      <w:tab/>
      <w:t xml:space="preserve">Approved:  </w:t>
    </w:r>
    <w:r w:rsidRPr="00503C16">
      <w:tab/>
    </w:r>
    <w:r w:rsidRPr="00503C16">
      <w:rPr>
        <w:u w:val="single"/>
      </w:rPr>
      <w:tab/>
    </w:r>
  </w:p>
  <w:p w14:paraId="11D5A131" w14:textId="08904690" w:rsidR="003D2EC0" w:rsidRDefault="003D2EC0" w:rsidP="00503C16">
    <w:pPr>
      <w:pStyle w:val="Footer"/>
      <w:tabs>
        <w:tab w:val="clear" w:pos="4680"/>
        <w:tab w:val="right" w:pos="0"/>
        <w:tab w:val="left" w:pos="7020"/>
        <w:tab w:val="left" w:pos="8100"/>
      </w:tabs>
    </w:pPr>
    <w:r>
      <w:tab/>
      <w:t xml:space="preserve">Effective:  </w:t>
    </w:r>
    <w:r w:rsidRPr="00503C16">
      <w:tab/>
    </w:r>
    <w:r>
      <w:rPr>
        <w:u w:val="single"/>
      </w:rPr>
      <w:tab/>
    </w:r>
    <w:r w:rsidRPr="00D31304">
      <w:rPr>
        <w:u w:val="single"/>
      </w:rPr>
      <w:t>May 1, 201</w:t>
    </w:r>
    <w:r>
      <w:rPr>
        <w:u w:val="single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2BDAE" w14:textId="77777777" w:rsidR="003D2EC0" w:rsidRDefault="003D2EC0" w:rsidP="00D31304">
      <w:pPr>
        <w:spacing w:after="0" w:line="240" w:lineRule="auto"/>
      </w:pPr>
      <w:r>
        <w:separator/>
      </w:r>
    </w:p>
  </w:footnote>
  <w:footnote w:type="continuationSeparator" w:id="0">
    <w:p w14:paraId="08724F05" w14:textId="77777777" w:rsidR="003D2EC0" w:rsidRDefault="003D2EC0" w:rsidP="00D31304">
      <w:pPr>
        <w:spacing w:after="0" w:line="240" w:lineRule="auto"/>
      </w:pPr>
      <w:r>
        <w:continuationSeparator/>
      </w:r>
    </w:p>
  </w:footnote>
  <w:footnote w:type="continuationNotice" w:id="1">
    <w:p w14:paraId="65E07440" w14:textId="77777777" w:rsidR="003D2EC0" w:rsidRDefault="003D2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57528" w14:textId="02BD97FB" w:rsidR="003D2EC0" w:rsidRDefault="00F727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5004D9" wp14:editId="3114B70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7095" cy="1142365"/>
              <wp:effectExtent l="0" t="2286000" r="0" b="213423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7095" cy="1142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ED4A9" w14:textId="77777777" w:rsidR="00F72709" w:rsidRDefault="00F72709" w:rsidP="00F7270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AEAAAA" w:themeColor="background2" w:themeShade="BF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DRAFT AR RATE SCHEDULE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004D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9.85pt;height:89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65ED4A9" w14:textId="77777777" w:rsidR="00F72709" w:rsidRDefault="00F72709" w:rsidP="00F7270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AEAAAA" w:themeColor="background2" w:themeShade="BF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DRAFT AR RATE SCHEDULE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40AE" w14:textId="557B1595" w:rsidR="003D2EC0" w:rsidRPr="001D5052" w:rsidRDefault="003D2EC0">
    <w:pPr>
      <w:pStyle w:val="Header"/>
      <w:rPr>
        <w:b/>
      </w:rPr>
    </w:pPr>
    <w:r>
      <w:rPr>
        <w:i/>
        <w:color w:val="C00000"/>
      </w:rPr>
      <w:t xml:space="preserve">DRAFT </w:t>
    </w:r>
    <w:r w:rsidRPr="001D5052">
      <w:rPr>
        <w:i/>
        <w:color w:val="C00000"/>
      </w:rPr>
      <w:t xml:space="preserve">RATE SCHEDULE – </w:t>
    </w:r>
    <w:r>
      <w:rPr>
        <w:i/>
        <w:color w:val="C00000"/>
      </w:rPr>
      <w:t>for AR Project Member review</w:t>
    </w:r>
    <w:r>
      <w:tab/>
    </w:r>
    <w:r w:rsidRPr="001D5052">
      <w:rPr>
        <w:b/>
      </w:rPr>
      <w:t>AR Rate Schedule</w:t>
    </w:r>
  </w:p>
  <w:p w14:paraId="0AF93BB7" w14:textId="3FF53DDB" w:rsidR="003D2EC0" w:rsidRPr="001D5052" w:rsidRDefault="003D2EC0">
    <w:pPr>
      <w:pStyle w:val="Header"/>
      <w:rPr>
        <w:b/>
        <w:bCs/>
      </w:rPr>
    </w:pPr>
    <w:r>
      <w:rPr>
        <w:i/>
        <w:color w:val="C00000"/>
      </w:rPr>
      <w:tab/>
    </w:r>
    <w:r w:rsidRPr="001D5052">
      <w:rPr>
        <w:b/>
      </w:rPr>
      <w:tab/>
      <w:t xml:space="preserve">Page </w:t>
    </w:r>
    <w:r w:rsidRPr="001D5052">
      <w:rPr>
        <w:b/>
        <w:bCs/>
      </w:rPr>
      <w:fldChar w:fldCharType="begin"/>
    </w:r>
    <w:r w:rsidRPr="001D5052">
      <w:rPr>
        <w:b/>
        <w:bCs/>
      </w:rPr>
      <w:instrText xml:space="preserve"> PAGE  \* Arabic  \* MERGEFORMAT </w:instrText>
    </w:r>
    <w:r w:rsidRPr="001D5052">
      <w:rPr>
        <w:b/>
        <w:bCs/>
      </w:rPr>
      <w:fldChar w:fldCharType="separate"/>
    </w:r>
    <w:r w:rsidR="002324F0">
      <w:rPr>
        <w:b/>
        <w:bCs/>
        <w:noProof/>
      </w:rPr>
      <w:t>5</w:t>
    </w:r>
    <w:r w:rsidRPr="001D5052">
      <w:rPr>
        <w:b/>
        <w:bCs/>
      </w:rPr>
      <w:fldChar w:fldCharType="end"/>
    </w:r>
    <w:r w:rsidRPr="001D5052">
      <w:rPr>
        <w:b/>
      </w:rPr>
      <w:t xml:space="preserve"> of </w:t>
    </w:r>
    <w:r w:rsidRPr="001D5052">
      <w:rPr>
        <w:b/>
        <w:bCs/>
      </w:rPr>
      <w:fldChar w:fldCharType="begin"/>
    </w:r>
    <w:r w:rsidRPr="001D5052">
      <w:rPr>
        <w:b/>
        <w:bCs/>
      </w:rPr>
      <w:instrText xml:space="preserve"> NUMPAGES  \* Arabic  \* MERGEFORMAT </w:instrText>
    </w:r>
    <w:r w:rsidRPr="001D5052">
      <w:rPr>
        <w:b/>
        <w:bCs/>
      </w:rPr>
      <w:fldChar w:fldCharType="separate"/>
    </w:r>
    <w:r w:rsidR="002324F0">
      <w:rPr>
        <w:b/>
        <w:bCs/>
        <w:noProof/>
      </w:rPr>
      <w:t>6</w:t>
    </w:r>
    <w:r w:rsidRPr="001D5052">
      <w:rPr>
        <w:b/>
        <w:bCs/>
      </w:rPr>
      <w:fldChar w:fldCharType="end"/>
    </w:r>
  </w:p>
  <w:p w14:paraId="0C6F7049" w14:textId="77777777" w:rsidR="003D2EC0" w:rsidRDefault="003D2EC0" w:rsidP="00097820">
    <w:pPr>
      <w:spacing w:after="0" w:line="240" w:lineRule="auto"/>
      <w:jc w:val="center"/>
      <w:rPr>
        <w:b/>
        <w:sz w:val="24"/>
      </w:rPr>
    </w:pPr>
  </w:p>
  <w:p w14:paraId="11B4066B" w14:textId="1A460D0D" w:rsidR="003D2EC0" w:rsidRPr="00D31304" w:rsidRDefault="003D2EC0" w:rsidP="00097820">
    <w:pPr>
      <w:spacing w:after="0" w:line="240" w:lineRule="auto"/>
      <w:jc w:val="center"/>
      <w:rPr>
        <w:b/>
        <w:sz w:val="24"/>
      </w:rPr>
    </w:pPr>
    <w:r w:rsidRPr="00D31304">
      <w:rPr>
        <w:b/>
        <w:sz w:val="24"/>
      </w:rPr>
      <w:t>KENTUCKY MUNICIPAL ENERGY AGENCY</w:t>
    </w:r>
  </w:p>
  <w:p w14:paraId="4266EAA6" w14:textId="77777777" w:rsidR="003D2EC0" w:rsidRPr="00D31304" w:rsidRDefault="003D2EC0" w:rsidP="00097820">
    <w:pPr>
      <w:spacing w:after="0" w:line="240" w:lineRule="auto"/>
      <w:jc w:val="center"/>
      <w:rPr>
        <w:b/>
        <w:sz w:val="24"/>
      </w:rPr>
    </w:pPr>
    <w:r w:rsidRPr="00D31304">
      <w:rPr>
        <w:b/>
        <w:sz w:val="24"/>
      </w:rPr>
      <w:t>ALL REQUIREMENTS PROJECT -- WHOLESALE POWER RATE SCHEDULE</w:t>
    </w:r>
  </w:p>
  <w:p w14:paraId="5DCDC67E" w14:textId="6A2420A3" w:rsidR="003D2EC0" w:rsidRDefault="003D2E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9DD47" w14:textId="226FD6BB" w:rsidR="003D2EC0" w:rsidRDefault="002324F0">
    <w:pPr>
      <w:pStyle w:val="Header"/>
    </w:pPr>
    <w:r>
      <w:rPr>
        <w:noProof/>
      </w:rPr>
      <w:pict w14:anchorId="4740F7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9.85pt;height:89.95pt;rotation:315;z-index:-25165824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DRAFT AR RATE SCHEDU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14958" w14:textId="6DF7D0D7" w:rsidR="003D2EC0" w:rsidRPr="006F474E" w:rsidRDefault="003D2EC0">
    <w:pPr>
      <w:pStyle w:val="Header"/>
      <w:rPr>
        <w:b/>
      </w:rPr>
    </w:pPr>
    <w:r>
      <w:rPr>
        <w:i/>
        <w:color w:val="C00000"/>
      </w:rPr>
      <w:t xml:space="preserve">DRAFT </w:t>
    </w:r>
    <w:r w:rsidRPr="001D5052">
      <w:rPr>
        <w:i/>
        <w:color w:val="C00000"/>
      </w:rPr>
      <w:t xml:space="preserve">RATE SCHEDULE – </w:t>
    </w:r>
    <w:r>
      <w:rPr>
        <w:i/>
        <w:color w:val="C00000"/>
      </w:rPr>
      <w:t>for AR Project Member review</w:t>
    </w:r>
    <w:r>
      <w:tab/>
    </w:r>
    <w:r w:rsidR="002171E2" w:rsidRPr="00F72709">
      <w:rPr>
        <w:b/>
      </w:rPr>
      <w:t xml:space="preserve">Schedule A to </w:t>
    </w:r>
    <w:r w:rsidRPr="000C679F">
      <w:rPr>
        <w:b/>
      </w:rPr>
      <w:t>AR Rate Schedule</w:t>
    </w:r>
    <w:r w:rsidRPr="001D5052">
      <w:rPr>
        <w:b/>
      </w:rPr>
      <w:tab/>
    </w:r>
    <w:r w:rsidRPr="001D5052">
      <w:rPr>
        <w:b/>
      </w:rPr>
      <w:tab/>
    </w:r>
  </w:p>
  <w:p w14:paraId="71478643" w14:textId="77777777" w:rsidR="003D2EC0" w:rsidRDefault="003D2EC0" w:rsidP="00097820">
    <w:pPr>
      <w:spacing w:after="0" w:line="240" w:lineRule="auto"/>
      <w:jc w:val="center"/>
      <w:rPr>
        <w:b/>
        <w:sz w:val="24"/>
      </w:rPr>
    </w:pPr>
  </w:p>
  <w:p w14:paraId="5FF6BB9D" w14:textId="77777777" w:rsidR="003D2EC0" w:rsidRPr="00D31304" w:rsidRDefault="003D2EC0" w:rsidP="00097820">
    <w:pPr>
      <w:spacing w:after="0" w:line="240" w:lineRule="auto"/>
      <w:jc w:val="center"/>
      <w:rPr>
        <w:b/>
        <w:sz w:val="24"/>
      </w:rPr>
    </w:pPr>
    <w:r w:rsidRPr="00D31304">
      <w:rPr>
        <w:b/>
        <w:sz w:val="24"/>
      </w:rPr>
      <w:t>KENTUCKY MUNICIPAL ENERGY AGENCY</w:t>
    </w:r>
  </w:p>
  <w:p w14:paraId="178858DE" w14:textId="4DF60B72" w:rsidR="003D2EC0" w:rsidRPr="00D31304" w:rsidRDefault="003D2EC0" w:rsidP="00097820">
    <w:pPr>
      <w:spacing w:after="0" w:line="240" w:lineRule="auto"/>
      <w:jc w:val="center"/>
      <w:rPr>
        <w:b/>
        <w:sz w:val="24"/>
      </w:rPr>
    </w:pPr>
    <w:r w:rsidRPr="00D31304">
      <w:rPr>
        <w:b/>
        <w:sz w:val="24"/>
      </w:rPr>
      <w:t>ALL REQUIREMENTS PROJECT -- WHOLESALE POWER RATE SCHEDULE</w:t>
    </w:r>
  </w:p>
  <w:p w14:paraId="64C60687" w14:textId="77777777" w:rsidR="003D2EC0" w:rsidRDefault="003D2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C4538"/>
    <w:multiLevelType w:val="hybridMultilevel"/>
    <w:tmpl w:val="C020FCE4"/>
    <w:lvl w:ilvl="0" w:tplc="A7529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493D"/>
    <w:multiLevelType w:val="hybridMultilevel"/>
    <w:tmpl w:val="DECCB5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DD63B9"/>
    <w:multiLevelType w:val="hybridMultilevel"/>
    <w:tmpl w:val="E424F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DA7B5B"/>
    <w:multiLevelType w:val="hybridMultilevel"/>
    <w:tmpl w:val="E15ADA24"/>
    <w:lvl w:ilvl="0" w:tplc="EBF23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A18A9"/>
    <w:multiLevelType w:val="hybridMultilevel"/>
    <w:tmpl w:val="8A28B518"/>
    <w:lvl w:ilvl="0" w:tplc="D1E28704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420A7E"/>
    <w:multiLevelType w:val="hybridMultilevel"/>
    <w:tmpl w:val="655CF9F8"/>
    <w:lvl w:ilvl="0" w:tplc="59A22C38">
      <w:start w:val="1"/>
      <w:numFmt w:val="decimal"/>
      <w:lvlText w:val="%1."/>
      <w:lvlJc w:val="left"/>
      <w:pPr>
        <w:ind w:left="823" w:hanging="7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A6208B4">
      <w:start w:val="1"/>
      <w:numFmt w:val="upperLetter"/>
      <w:lvlText w:val="%2."/>
      <w:lvlJc w:val="left"/>
      <w:pPr>
        <w:ind w:left="1543" w:hanging="7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42E48EFE">
      <w:start w:val="1"/>
      <w:numFmt w:val="decimal"/>
      <w:lvlText w:val="%3."/>
      <w:lvlJc w:val="left"/>
      <w:pPr>
        <w:ind w:left="2263" w:hanging="72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359270F6">
      <w:start w:val="1"/>
      <w:numFmt w:val="decimal"/>
      <w:lvlText w:val="%4."/>
      <w:lvlJc w:val="left"/>
      <w:pPr>
        <w:ind w:left="2984" w:hanging="1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4" w:tplc="FC4ED9C6">
      <w:numFmt w:val="bullet"/>
      <w:lvlText w:val="•"/>
      <w:lvlJc w:val="left"/>
      <w:pPr>
        <w:ind w:left="3968" w:hanging="180"/>
      </w:pPr>
      <w:rPr>
        <w:rFonts w:hint="default"/>
      </w:rPr>
    </w:lvl>
    <w:lvl w:ilvl="5" w:tplc="40E888BE">
      <w:numFmt w:val="bullet"/>
      <w:lvlText w:val="•"/>
      <w:lvlJc w:val="left"/>
      <w:pPr>
        <w:ind w:left="4957" w:hanging="180"/>
      </w:pPr>
      <w:rPr>
        <w:rFonts w:hint="default"/>
      </w:rPr>
    </w:lvl>
    <w:lvl w:ilvl="6" w:tplc="75DE485A">
      <w:numFmt w:val="bullet"/>
      <w:lvlText w:val="•"/>
      <w:lvlJc w:val="left"/>
      <w:pPr>
        <w:ind w:left="5945" w:hanging="180"/>
      </w:pPr>
      <w:rPr>
        <w:rFonts w:hint="default"/>
      </w:rPr>
    </w:lvl>
    <w:lvl w:ilvl="7" w:tplc="0A522E24">
      <w:numFmt w:val="bullet"/>
      <w:lvlText w:val="•"/>
      <w:lvlJc w:val="left"/>
      <w:pPr>
        <w:ind w:left="6934" w:hanging="180"/>
      </w:pPr>
      <w:rPr>
        <w:rFonts w:hint="default"/>
      </w:rPr>
    </w:lvl>
    <w:lvl w:ilvl="8" w:tplc="89643004">
      <w:numFmt w:val="bullet"/>
      <w:lvlText w:val="•"/>
      <w:lvlJc w:val="left"/>
      <w:pPr>
        <w:ind w:left="7922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06"/>
    <w:rsid w:val="00005080"/>
    <w:rsid w:val="00021167"/>
    <w:rsid w:val="0002605F"/>
    <w:rsid w:val="000318EB"/>
    <w:rsid w:val="000371DB"/>
    <w:rsid w:val="00040B79"/>
    <w:rsid w:val="000474D5"/>
    <w:rsid w:val="00053B44"/>
    <w:rsid w:val="00062895"/>
    <w:rsid w:val="000706B7"/>
    <w:rsid w:val="00076CE5"/>
    <w:rsid w:val="000853B7"/>
    <w:rsid w:val="00085F54"/>
    <w:rsid w:val="000906BD"/>
    <w:rsid w:val="0009174A"/>
    <w:rsid w:val="000938A4"/>
    <w:rsid w:val="00097820"/>
    <w:rsid w:val="000B49B0"/>
    <w:rsid w:val="000B649D"/>
    <w:rsid w:val="000C3D59"/>
    <w:rsid w:val="000C679F"/>
    <w:rsid w:val="000D214A"/>
    <w:rsid w:val="000E3889"/>
    <w:rsid w:val="000E7E18"/>
    <w:rsid w:val="000F5C46"/>
    <w:rsid w:val="0010000F"/>
    <w:rsid w:val="001005E4"/>
    <w:rsid w:val="00121A24"/>
    <w:rsid w:val="001338D9"/>
    <w:rsid w:val="00143C73"/>
    <w:rsid w:val="0014720C"/>
    <w:rsid w:val="0015502B"/>
    <w:rsid w:val="001724A4"/>
    <w:rsid w:val="001741AC"/>
    <w:rsid w:val="001C341F"/>
    <w:rsid w:val="001C5D53"/>
    <w:rsid w:val="001D33FA"/>
    <w:rsid w:val="001D5052"/>
    <w:rsid w:val="001E12E6"/>
    <w:rsid w:val="001E4BBF"/>
    <w:rsid w:val="001F486A"/>
    <w:rsid w:val="00201F71"/>
    <w:rsid w:val="00210CD3"/>
    <w:rsid w:val="002171E2"/>
    <w:rsid w:val="002324F0"/>
    <w:rsid w:val="00242084"/>
    <w:rsid w:val="002446DE"/>
    <w:rsid w:val="002448F2"/>
    <w:rsid w:val="0025568F"/>
    <w:rsid w:val="002727C5"/>
    <w:rsid w:val="00275FB9"/>
    <w:rsid w:val="002932EF"/>
    <w:rsid w:val="00293CB0"/>
    <w:rsid w:val="002A302D"/>
    <w:rsid w:val="002E20C3"/>
    <w:rsid w:val="002F4F4A"/>
    <w:rsid w:val="00313B1D"/>
    <w:rsid w:val="00316194"/>
    <w:rsid w:val="003241A9"/>
    <w:rsid w:val="00325F5C"/>
    <w:rsid w:val="00341820"/>
    <w:rsid w:val="00360D16"/>
    <w:rsid w:val="00370928"/>
    <w:rsid w:val="003727A8"/>
    <w:rsid w:val="003805DD"/>
    <w:rsid w:val="003927E3"/>
    <w:rsid w:val="00395D71"/>
    <w:rsid w:val="003B5DF5"/>
    <w:rsid w:val="003C3F79"/>
    <w:rsid w:val="003D2CA9"/>
    <w:rsid w:val="003D2EC0"/>
    <w:rsid w:val="003D3515"/>
    <w:rsid w:val="003D52F5"/>
    <w:rsid w:val="003F53F4"/>
    <w:rsid w:val="00400517"/>
    <w:rsid w:val="004044AD"/>
    <w:rsid w:val="00410557"/>
    <w:rsid w:val="004225A8"/>
    <w:rsid w:val="004342F8"/>
    <w:rsid w:val="00436982"/>
    <w:rsid w:val="00442939"/>
    <w:rsid w:val="00463F9D"/>
    <w:rsid w:val="00466086"/>
    <w:rsid w:val="004674FF"/>
    <w:rsid w:val="004743D9"/>
    <w:rsid w:val="0047471F"/>
    <w:rsid w:val="004804A5"/>
    <w:rsid w:val="00482797"/>
    <w:rsid w:val="00483EAC"/>
    <w:rsid w:val="0048488A"/>
    <w:rsid w:val="004A27D0"/>
    <w:rsid w:val="004B11AF"/>
    <w:rsid w:val="004B4D9D"/>
    <w:rsid w:val="004D63DD"/>
    <w:rsid w:val="004E3722"/>
    <w:rsid w:val="005017DF"/>
    <w:rsid w:val="00503C16"/>
    <w:rsid w:val="005105D3"/>
    <w:rsid w:val="00515C49"/>
    <w:rsid w:val="00523842"/>
    <w:rsid w:val="00525085"/>
    <w:rsid w:val="00542AD5"/>
    <w:rsid w:val="00566610"/>
    <w:rsid w:val="005A28A8"/>
    <w:rsid w:val="005E00EF"/>
    <w:rsid w:val="00605999"/>
    <w:rsid w:val="00616474"/>
    <w:rsid w:val="00622B7F"/>
    <w:rsid w:val="00623875"/>
    <w:rsid w:val="00624A87"/>
    <w:rsid w:val="0064544B"/>
    <w:rsid w:val="00647512"/>
    <w:rsid w:val="006532A5"/>
    <w:rsid w:val="006542CE"/>
    <w:rsid w:val="006604D8"/>
    <w:rsid w:val="006809A2"/>
    <w:rsid w:val="00684E06"/>
    <w:rsid w:val="00685224"/>
    <w:rsid w:val="006A7670"/>
    <w:rsid w:val="006B3DC7"/>
    <w:rsid w:val="006D330D"/>
    <w:rsid w:val="006E4DBC"/>
    <w:rsid w:val="006E769E"/>
    <w:rsid w:val="006F21C8"/>
    <w:rsid w:val="006F474E"/>
    <w:rsid w:val="007143C6"/>
    <w:rsid w:val="007175B5"/>
    <w:rsid w:val="00724B00"/>
    <w:rsid w:val="007369A6"/>
    <w:rsid w:val="00746CFB"/>
    <w:rsid w:val="00751C1A"/>
    <w:rsid w:val="00753C29"/>
    <w:rsid w:val="00775AAF"/>
    <w:rsid w:val="00781A15"/>
    <w:rsid w:val="007B2EFF"/>
    <w:rsid w:val="007B3B67"/>
    <w:rsid w:val="007B620F"/>
    <w:rsid w:val="007D5EC9"/>
    <w:rsid w:val="007E1EFF"/>
    <w:rsid w:val="007F726E"/>
    <w:rsid w:val="00802AF2"/>
    <w:rsid w:val="00811D72"/>
    <w:rsid w:val="008157A8"/>
    <w:rsid w:val="008540E9"/>
    <w:rsid w:val="00854F60"/>
    <w:rsid w:val="00855120"/>
    <w:rsid w:val="008A457E"/>
    <w:rsid w:val="008A52C5"/>
    <w:rsid w:val="008B1845"/>
    <w:rsid w:val="008B4B4E"/>
    <w:rsid w:val="008B6762"/>
    <w:rsid w:val="008E5ABB"/>
    <w:rsid w:val="00910906"/>
    <w:rsid w:val="00911947"/>
    <w:rsid w:val="009209D9"/>
    <w:rsid w:val="009368A9"/>
    <w:rsid w:val="00937F39"/>
    <w:rsid w:val="00950735"/>
    <w:rsid w:val="00963E5A"/>
    <w:rsid w:val="00985613"/>
    <w:rsid w:val="009C2302"/>
    <w:rsid w:val="009F57F8"/>
    <w:rsid w:val="00A051D6"/>
    <w:rsid w:val="00A22092"/>
    <w:rsid w:val="00A411A6"/>
    <w:rsid w:val="00A675EA"/>
    <w:rsid w:val="00A75207"/>
    <w:rsid w:val="00A81ADC"/>
    <w:rsid w:val="00A83F70"/>
    <w:rsid w:val="00A85DA8"/>
    <w:rsid w:val="00A87A93"/>
    <w:rsid w:val="00A91D21"/>
    <w:rsid w:val="00AA47D7"/>
    <w:rsid w:val="00AC4188"/>
    <w:rsid w:val="00AE2542"/>
    <w:rsid w:val="00AF2DC9"/>
    <w:rsid w:val="00B00CBE"/>
    <w:rsid w:val="00B07B03"/>
    <w:rsid w:val="00B20B4D"/>
    <w:rsid w:val="00B25656"/>
    <w:rsid w:val="00B25A30"/>
    <w:rsid w:val="00B33695"/>
    <w:rsid w:val="00B4790C"/>
    <w:rsid w:val="00B50125"/>
    <w:rsid w:val="00B50F04"/>
    <w:rsid w:val="00B53D77"/>
    <w:rsid w:val="00B55EB3"/>
    <w:rsid w:val="00B56AAB"/>
    <w:rsid w:val="00B67F87"/>
    <w:rsid w:val="00B80FA5"/>
    <w:rsid w:val="00B82BB0"/>
    <w:rsid w:val="00B84AEA"/>
    <w:rsid w:val="00B92DB4"/>
    <w:rsid w:val="00BD2528"/>
    <w:rsid w:val="00BD4ADA"/>
    <w:rsid w:val="00BD72D8"/>
    <w:rsid w:val="00BE04F2"/>
    <w:rsid w:val="00BF48A1"/>
    <w:rsid w:val="00C10063"/>
    <w:rsid w:val="00C218F3"/>
    <w:rsid w:val="00C360E2"/>
    <w:rsid w:val="00C3628E"/>
    <w:rsid w:val="00C45D01"/>
    <w:rsid w:val="00C5245D"/>
    <w:rsid w:val="00C57CC7"/>
    <w:rsid w:val="00C6798A"/>
    <w:rsid w:val="00C83958"/>
    <w:rsid w:val="00C840E6"/>
    <w:rsid w:val="00C91BB4"/>
    <w:rsid w:val="00C92E22"/>
    <w:rsid w:val="00CB4740"/>
    <w:rsid w:val="00CB56A2"/>
    <w:rsid w:val="00CD7920"/>
    <w:rsid w:val="00CE428A"/>
    <w:rsid w:val="00CF1DA7"/>
    <w:rsid w:val="00CF454F"/>
    <w:rsid w:val="00D035D3"/>
    <w:rsid w:val="00D102BF"/>
    <w:rsid w:val="00D31304"/>
    <w:rsid w:val="00D33E56"/>
    <w:rsid w:val="00D3473B"/>
    <w:rsid w:val="00D514F5"/>
    <w:rsid w:val="00D531BA"/>
    <w:rsid w:val="00D56276"/>
    <w:rsid w:val="00D664CA"/>
    <w:rsid w:val="00D6732C"/>
    <w:rsid w:val="00D75CC0"/>
    <w:rsid w:val="00D7653D"/>
    <w:rsid w:val="00D767E0"/>
    <w:rsid w:val="00D82DF7"/>
    <w:rsid w:val="00D91FD4"/>
    <w:rsid w:val="00DB324C"/>
    <w:rsid w:val="00DB6693"/>
    <w:rsid w:val="00DD5994"/>
    <w:rsid w:val="00DD67C1"/>
    <w:rsid w:val="00DE2882"/>
    <w:rsid w:val="00DF4394"/>
    <w:rsid w:val="00DF44C9"/>
    <w:rsid w:val="00E107D6"/>
    <w:rsid w:val="00E119B9"/>
    <w:rsid w:val="00E1438A"/>
    <w:rsid w:val="00E1583F"/>
    <w:rsid w:val="00E2719C"/>
    <w:rsid w:val="00E36132"/>
    <w:rsid w:val="00E40CFC"/>
    <w:rsid w:val="00E422CD"/>
    <w:rsid w:val="00E63D0A"/>
    <w:rsid w:val="00E75E98"/>
    <w:rsid w:val="00E76CF7"/>
    <w:rsid w:val="00E82278"/>
    <w:rsid w:val="00E95950"/>
    <w:rsid w:val="00EA3F73"/>
    <w:rsid w:val="00EC014B"/>
    <w:rsid w:val="00ED7891"/>
    <w:rsid w:val="00EE6307"/>
    <w:rsid w:val="00F0317A"/>
    <w:rsid w:val="00F10400"/>
    <w:rsid w:val="00F11CC5"/>
    <w:rsid w:val="00F2024B"/>
    <w:rsid w:val="00F25B8B"/>
    <w:rsid w:val="00F25E66"/>
    <w:rsid w:val="00F3227A"/>
    <w:rsid w:val="00F72709"/>
    <w:rsid w:val="00F80144"/>
    <w:rsid w:val="00F84633"/>
    <w:rsid w:val="00F85CE3"/>
    <w:rsid w:val="00F94198"/>
    <w:rsid w:val="00F96F91"/>
    <w:rsid w:val="00FB14FF"/>
    <w:rsid w:val="00FB22CB"/>
    <w:rsid w:val="00FC20E4"/>
    <w:rsid w:val="00FD2B81"/>
    <w:rsid w:val="00FD7F97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A83223"/>
  <w15:docId w15:val="{1A69BFAC-79CF-439E-9F3C-C5AFE0AF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04"/>
  </w:style>
  <w:style w:type="paragraph" w:styleId="Footer">
    <w:name w:val="footer"/>
    <w:basedOn w:val="Normal"/>
    <w:link w:val="FooterChar"/>
    <w:uiPriority w:val="99"/>
    <w:unhideWhenUsed/>
    <w:rsid w:val="00D3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04"/>
  </w:style>
  <w:style w:type="paragraph" w:styleId="ListParagraph">
    <w:name w:val="List Paragraph"/>
    <w:basedOn w:val="Normal"/>
    <w:uiPriority w:val="1"/>
    <w:qFormat/>
    <w:rsid w:val="004A27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2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C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96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96F91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B11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27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CB5981B6164AA47525A2C48DA5E1" ma:contentTypeVersion="8" ma:contentTypeDescription="Create a new document." ma:contentTypeScope="" ma:versionID="314a7d87d52c499e3d8888e78e81e93b">
  <xsd:schema xmlns:xsd="http://www.w3.org/2001/XMLSchema" xmlns:xs="http://www.w3.org/2001/XMLSchema" xmlns:p="http://schemas.microsoft.com/office/2006/metadata/properties" xmlns:ns2="444fad00-ec21-46cc-a133-d70aaec15ab6" xmlns:ns3="1fa53526-6d3b-4fe0-a02b-5a59034c5b11" targetNamespace="http://schemas.microsoft.com/office/2006/metadata/properties" ma:root="true" ma:fieldsID="6fcc54e64f9e5268ac87c918e0dbd05e" ns2:_="" ns3:_="">
    <xsd:import namespace="444fad00-ec21-46cc-a133-d70aaec15ab6"/>
    <xsd:import namespace="1fa53526-6d3b-4fe0-a02b-5a59034c5b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ad00-ec21-46cc-a133-d70aaec15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53526-6d3b-4fe0-a02b-5a59034c5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F63927-9053-4A4F-B2A5-4F0D0A712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2A9C6-D494-46E8-8F08-2B12B936773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fa53526-6d3b-4fe0-a02b-5a59034c5b11"/>
    <ds:schemaRef ds:uri="444fad00-ec21-46cc-a133-d70aaec15ab6"/>
  </ds:schemaRefs>
</ds:datastoreItem>
</file>

<file path=customXml/itemProps3.xml><?xml version="1.0" encoding="utf-8"?>
<ds:datastoreItem xmlns:ds="http://schemas.openxmlformats.org/officeDocument/2006/customXml" ds:itemID="{EA5A64AD-5587-42C8-84BD-C9DF5D484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ad00-ec21-46cc-a133-d70aaec15ab6"/>
    <ds:schemaRef ds:uri="1fa53526-6d3b-4fe0-a02b-5a59034c5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74724-0763-4580-82A6-4138D03A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Musson</dc:creator>
  <cp:lastModifiedBy>Charlie Musson</cp:lastModifiedBy>
  <cp:revision>2</cp:revision>
  <dcterms:created xsi:type="dcterms:W3CDTF">2019-02-26T22:41:00Z</dcterms:created>
  <dcterms:modified xsi:type="dcterms:W3CDTF">2019-02-26T22:41:00Z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83cbab92-8bac-4798-99da-6efe4be706f7</vt:lpwstr>
  </property>
</Properties>
</file>