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06D75" w:rsidRDefault="005F03F0">
      <w:pPr>
        <w:spacing w:after="173" w:line="216" w:lineRule="auto"/>
        <w:ind w:left="1971" w:firstLine="25"/>
      </w:pPr>
      <w:r>
        <w:rPr>
          <w:i w:val="0"/>
          <w:noProof/>
          <w:color w:val="000000"/>
          <w:sz w:val="22"/>
        </w:rPr>
        <mc:AlternateContent>
          <mc:Choice Requires="wpg">
            <w:drawing>
              <wp:inline distT="0" distB="0" distL="0" distR="0">
                <wp:extent cx="3914775" cy="2566416"/>
                <wp:effectExtent l="0" t="0" r="0" b="0"/>
                <wp:docPr id="691" name="Group 691"/>
                <wp:cNvGraphicFramePr/>
                <a:graphic xmlns:a="http://schemas.openxmlformats.org/drawingml/2006/main">
                  <a:graphicData uri="http://schemas.microsoft.com/office/word/2010/wordprocessingGroup">
                    <wpg:wgp>
                      <wpg:cNvGrpSpPr/>
                      <wpg:grpSpPr>
                        <a:xfrm>
                          <a:off x="0" y="0"/>
                          <a:ext cx="3914775" cy="2566416"/>
                          <a:chOff x="0" y="0"/>
                          <a:chExt cx="3914775" cy="2566416"/>
                        </a:xfrm>
                      </wpg:grpSpPr>
                      <pic:pic xmlns:pic="http://schemas.openxmlformats.org/drawingml/2006/picture">
                        <pic:nvPicPr>
                          <pic:cNvPr id="877" name="Picture 877"/>
                          <pic:cNvPicPr/>
                        </pic:nvPicPr>
                        <pic:blipFill>
                          <a:blip r:embed="rId5"/>
                          <a:stretch>
                            <a:fillRect/>
                          </a:stretch>
                        </pic:blipFill>
                        <pic:spPr>
                          <a:xfrm>
                            <a:off x="-3809" y="-4063"/>
                            <a:ext cx="3919728" cy="2569464"/>
                          </a:xfrm>
                          <a:prstGeom prst="rect">
                            <a:avLst/>
                          </a:prstGeom>
                        </pic:spPr>
                      </pic:pic>
                      <wps:wsp>
                        <wps:cNvPr id="9" name="Rectangle 9"/>
                        <wps:cNvSpPr/>
                        <wps:spPr>
                          <a:xfrm>
                            <a:off x="2028317" y="409955"/>
                            <a:ext cx="42143" cy="189937"/>
                          </a:xfrm>
                          <a:prstGeom prst="rect">
                            <a:avLst/>
                          </a:prstGeom>
                          <a:ln>
                            <a:noFill/>
                          </a:ln>
                        </wps:spPr>
                        <wps:txbx>
                          <w:txbxContent>
                            <w:p w:rsidR="00406D75" w:rsidRDefault="005F03F0">
                              <w:pPr>
                                <w:spacing w:after="160" w:line="259" w:lineRule="auto"/>
                                <w:ind w:left="0" w:firstLine="0"/>
                              </w:pPr>
                              <w:r>
                                <w:rPr>
                                  <w:i w:val="0"/>
                                  <w:color w:val="000000"/>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91" style="width:308.25pt;height:202.08pt;mso-position-horizontal-relative:char;mso-position-vertical-relative:line" coordsize="39147,25664">
                <v:shape id="Picture 877" style="position:absolute;width:39197;height:25694;left:-38;top:-40;" filled="f">
                  <v:imagedata r:id="rId6"/>
                </v:shape>
                <v:rect id="Rectangle 9" style="position:absolute;width:421;height:1899;left:20283;top:4099;" filled="f" stroked="f">
                  <v:textbox inset="0,0,0,0">
                    <w:txbxContent>
                      <w:p>
                        <w:pPr>
                          <w:spacing w:before="0" w:after="160" w:line="259" w:lineRule="auto"/>
                          <w:ind w:left="0" w:firstLine="0"/>
                        </w:pPr>
                        <w:r>
                          <w:rPr>
                            <w:rFonts w:cs="Calibri" w:hAnsi="Calibri" w:eastAsia="Calibri" w:ascii="Calibri"/>
                            <w:i w:val="0"/>
                            <w:color w:val="000000"/>
                            <w:sz w:val="22"/>
                          </w:rPr>
                          <w:t xml:space="preserve"> </w:t>
                        </w:r>
                      </w:p>
                    </w:txbxContent>
                  </v:textbox>
                </v:rect>
              </v:group>
            </w:pict>
          </mc:Fallback>
        </mc:AlternateContent>
      </w:r>
      <w:r>
        <w:rPr>
          <w:b/>
          <w:i w:val="0"/>
          <w:color w:val="352F25"/>
          <w:sz w:val="56"/>
        </w:rPr>
        <w:t xml:space="preserve"> </w:t>
      </w:r>
      <w:r>
        <w:rPr>
          <w:b/>
          <w:i w:val="0"/>
          <w:color w:val="005A85"/>
          <w:sz w:val="80"/>
        </w:rPr>
        <w:t xml:space="preserve">PartnerCorps STEM </w:t>
      </w:r>
    </w:p>
    <w:p w:rsidR="00406D75" w:rsidRDefault="005F03F0">
      <w:pPr>
        <w:spacing w:after="98" w:line="276" w:lineRule="auto"/>
        <w:ind w:left="0" w:firstLine="0"/>
        <w:jc w:val="both"/>
      </w:pPr>
      <w:r>
        <w:rPr>
          <w:i w:val="0"/>
          <w:color w:val="000000"/>
          <w:sz w:val="24"/>
        </w:rPr>
        <w:t xml:space="preserve">PartnerCorps: STEM is an AmeriCorps program that increases student competency in the science, technology, engineering and mathematics, or “STEM” fields.  PartnerCorps will place 10 full-time members to serve within Algebra I, II, and Geometry courses at Breathitt County High School to provide in-class tutoring and assistance.   </w:t>
      </w:r>
    </w:p>
    <w:p w:rsidR="00406D75" w:rsidRDefault="005F03F0">
      <w:pPr>
        <w:spacing w:after="186" w:line="259" w:lineRule="auto"/>
        <w:ind w:left="0" w:firstLine="0"/>
      </w:pPr>
      <w:r>
        <w:rPr>
          <w:i w:val="0"/>
          <w:color w:val="000000"/>
          <w:sz w:val="22"/>
          <w:u w:val="single" w:color="000000"/>
        </w:rPr>
        <w:t>Each full-time member selected to serve will receive the following</w:t>
      </w:r>
      <w:r>
        <w:rPr>
          <w:i w:val="0"/>
          <w:color w:val="000000"/>
          <w:sz w:val="22"/>
        </w:rPr>
        <w:t xml:space="preserve">: </w:t>
      </w:r>
    </w:p>
    <w:p w:rsidR="00406D75" w:rsidRDefault="005F03F0">
      <w:pPr>
        <w:numPr>
          <w:ilvl w:val="0"/>
          <w:numId w:val="1"/>
        </w:numPr>
        <w:ind w:hanging="360"/>
      </w:pPr>
      <w:r>
        <w:t xml:space="preserve">A living allowance in the monthly amount of $1248.36 over a 4-5 month service period while serving in a full time capacity; </w:t>
      </w:r>
    </w:p>
    <w:p w:rsidR="00406D75" w:rsidRDefault="005F03F0">
      <w:pPr>
        <w:spacing w:after="22" w:line="259" w:lineRule="auto"/>
        <w:ind w:left="720" w:firstLine="0"/>
      </w:pPr>
      <w:r>
        <w:t xml:space="preserve"> </w:t>
      </w:r>
    </w:p>
    <w:p w:rsidR="00406D75" w:rsidRDefault="005F03F0">
      <w:pPr>
        <w:numPr>
          <w:ilvl w:val="0"/>
          <w:numId w:val="1"/>
        </w:numPr>
        <w:ind w:hanging="360"/>
      </w:pPr>
      <w:r>
        <w:t xml:space="preserve">Health insurance, if needed, for the member only; </w:t>
      </w:r>
    </w:p>
    <w:p w:rsidR="00406D75" w:rsidRDefault="005F03F0">
      <w:pPr>
        <w:spacing w:after="23" w:line="259" w:lineRule="auto"/>
        <w:ind w:left="720" w:firstLine="0"/>
      </w:pPr>
      <w:r>
        <w:t xml:space="preserve"> </w:t>
      </w:r>
    </w:p>
    <w:p w:rsidR="00406D75" w:rsidRDefault="005F03F0">
      <w:pPr>
        <w:numPr>
          <w:ilvl w:val="0"/>
          <w:numId w:val="1"/>
        </w:numPr>
        <w:ind w:hanging="360"/>
      </w:pPr>
      <w:r>
        <w:t xml:space="preserve">Members may qualify for child care assistance (dependent upon the state guidelines for subsidized child care); </w:t>
      </w:r>
    </w:p>
    <w:p w:rsidR="00406D75" w:rsidRDefault="005F03F0">
      <w:pPr>
        <w:spacing w:after="23" w:line="259" w:lineRule="auto"/>
        <w:ind w:left="720" w:firstLine="0"/>
      </w:pPr>
      <w:r>
        <w:t xml:space="preserve"> </w:t>
      </w:r>
    </w:p>
    <w:p w:rsidR="00406D75" w:rsidRDefault="005F03F0">
      <w:pPr>
        <w:numPr>
          <w:ilvl w:val="0"/>
          <w:numId w:val="1"/>
        </w:numPr>
        <w:ind w:hanging="360"/>
      </w:pPr>
      <w:r>
        <w:t xml:space="preserve">Members may also qualify for postponement, or forbearance, of the repayment of federal student loans during service; and </w:t>
      </w:r>
    </w:p>
    <w:p w:rsidR="00406D75" w:rsidRDefault="005F03F0">
      <w:pPr>
        <w:spacing w:after="23" w:line="259" w:lineRule="auto"/>
        <w:ind w:left="720" w:firstLine="0"/>
      </w:pPr>
      <w:r>
        <w:t xml:space="preserve"> </w:t>
      </w:r>
    </w:p>
    <w:p w:rsidR="00406D75" w:rsidRDefault="005F03F0">
      <w:pPr>
        <w:numPr>
          <w:ilvl w:val="0"/>
          <w:numId w:val="1"/>
        </w:numPr>
        <w:spacing w:after="368"/>
        <w:ind w:hanging="360"/>
      </w:pPr>
      <w:r>
        <w:t xml:space="preserve">At the conclusion of the 1200 hour commitment, if service has been completed satisfactorily, each member will receive an educational award.  The education award may be used to pay educational costs at eligible post-secondary institutions, as well as to repay qualified student loans.  The dollar amount of a full-time award is tied to the maximum amount of the U.S. Department of Education’s Pell Grant, thus it can vary from year </w:t>
      </w:r>
      <w:r>
        <w:lastRenderedPageBreak/>
        <w:t xml:space="preserve">to year.  Currently, AmeriCorps members may earn up to the value of two full-time education awards and have seven years from the date they earned each award to use it.  </w:t>
      </w:r>
      <w:r>
        <w:rPr>
          <w:i w:val="0"/>
        </w:rPr>
        <w:t xml:space="preserve"> </w:t>
      </w:r>
    </w:p>
    <w:p w:rsidR="00406D75" w:rsidRDefault="005F03F0">
      <w:pPr>
        <w:shd w:val="clear" w:color="auto" w:fill="A5A5A5"/>
        <w:spacing w:after="69" w:line="259" w:lineRule="auto"/>
        <w:ind w:left="10" w:right="139" w:hanging="10"/>
        <w:jc w:val="center"/>
      </w:pPr>
      <w:r>
        <w:rPr>
          <w:i w:val="0"/>
          <w:color w:val="FFFFFF"/>
          <w:sz w:val="22"/>
        </w:rPr>
        <w:t xml:space="preserve">TO APPLY CONTACT: Linda Poppas | linda_poppas@berea.edu | 606.666.5711 </w:t>
      </w:r>
    </w:p>
    <w:p w:rsidR="00406D75" w:rsidRDefault="005F03F0">
      <w:pPr>
        <w:shd w:val="clear" w:color="auto" w:fill="A5A5A5"/>
        <w:spacing w:after="260" w:line="259" w:lineRule="auto"/>
        <w:ind w:left="10" w:right="139" w:hanging="10"/>
        <w:jc w:val="center"/>
      </w:pPr>
      <w:r>
        <w:rPr>
          <w:i w:val="0"/>
          <w:color w:val="FFFFFF"/>
          <w:sz w:val="22"/>
        </w:rPr>
        <w:t xml:space="preserve">Project Director, Partnercorps, STEM </w:t>
      </w:r>
    </w:p>
    <w:p w:rsidR="00406D75" w:rsidRDefault="005F03F0">
      <w:pPr>
        <w:tabs>
          <w:tab w:val="center" w:pos="2986"/>
          <w:tab w:val="center" w:pos="4717"/>
          <w:tab w:val="center" w:pos="6976"/>
        </w:tabs>
        <w:spacing w:after="0" w:line="259" w:lineRule="auto"/>
        <w:ind w:left="0" w:firstLine="0"/>
      </w:pPr>
      <w:r>
        <w:rPr>
          <w:i w:val="0"/>
          <w:color w:val="000000"/>
          <w:sz w:val="22"/>
        </w:rPr>
        <w:tab/>
      </w:r>
      <w:r>
        <w:rPr>
          <w:noProof/>
        </w:rPr>
        <w:drawing>
          <wp:inline distT="0" distB="0" distL="0" distR="0">
            <wp:extent cx="1352677" cy="75628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stretch>
                      <a:fillRect/>
                    </a:stretch>
                  </pic:blipFill>
                  <pic:spPr>
                    <a:xfrm>
                      <a:off x="0" y="0"/>
                      <a:ext cx="1352677" cy="756285"/>
                    </a:xfrm>
                    <a:prstGeom prst="rect">
                      <a:avLst/>
                    </a:prstGeom>
                  </pic:spPr>
                </pic:pic>
              </a:graphicData>
            </a:graphic>
          </wp:inline>
        </w:drawing>
      </w:r>
      <w:r>
        <w:rPr>
          <w:i w:val="0"/>
          <w:color w:val="000000"/>
          <w:sz w:val="22"/>
        </w:rPr>
        <w:t xml:space="preserve">  </w:t>
      </w:r>
      <w:r>
        <w:rPr>
          <w:i w:val="0"/>
          <w:color w:val="000000"/>
          <w:sz w:val="22"/>
        </w:rPr>
        <w:tab/>
        <w:t xml:space="preserve"> </w:t>
      </w:r>
      <w:r>
        <w:rPr>
          <w:i w:val="0"/>
          <w:color w:val="000000"/>
          <w:sz w:val="22"/>
        </w:rPr>
        <w:tab/>
      </w:r>
      <w:r>
        <w:rPr>
          <w:noProof/>
        </w:rPr>
        <w:drawing>
          <wp:inline distT="0" distB="0" distL="0" distR="0">
            <wp:extent cx="1921510" cy="66669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1921510" cy="666699"/>
                    </a:xfrm>
                    <a:prstGeom prst="rect">
                      <a:avLst/>
                    </a:prstGeom>
                  </pic:spPr>
                </pic:pic>
              </a:graphicData>
            </a:graphic>
          </wp:inline>
        </w:drawing>
      </w:r>
      <w:r>
        <w:rPr>
          <w:i w:val="0"/>
          <w:color w:val="000000"/>
          <w:sz w:val="22"/>
        </w:rPr>
        <w:t xml:space="preserve"> </w:t>
      </w:r>
    </w:p>
    <w:p w:rsidR="00406D75" w:rsidRDefault="00A40353">
      <w:pPr>
        <w:spacing w:after="0" w:line="259" w:lineRule="auto"/>
        <w:ind w:left="0" w:right="90" w:firstLine="0"/>
        <w:jc w:val="center"/>
      </w:pPr>
      <w:hyperlink r:id="rId9">
        <w:r w:rsidR="005F03F0">
          <w:rPr>
            <w:b/>
            <w:i w:val="0"/>
            <w:color w:val="005A85"/>
            <w:sz w:val="28"/>
          </w:rPr>
          <w:t>www.berea.edu/pfe</w:t>
        </w:r>
      </w:hyperlink>
      <w:hyperlink r:id="rId10">
        <w:r w:rsidR="005F03F0">
          <w:rPr>
            <w:i w:val="0"/>
            <w:color w:val="000000"/>
            <w:sz w:val="22"/>
          </w:rPr>
          <w:t xml:space="preserve"> </w:t>
        </w:r>
      </w:hyperlink>
    </w:p>
    <w:sectPr w:rsidR="00406D75">
      <w:pgSz w:w="12240" w:h="15840"/>
      <w:pgMar w:top="720" w:right="828" w:bottom="1048" w:left="10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F54CB"/>
    <w:multiLevelType w:val="hybridMultilevel"/>
    <w:tmpl w:val="592E8E36"/>
    <w:lvl w:ilvl="0" w:tplc="41328412">
      <w:start w:val="1"/>
      <w:numFmt w:val="bullet"/>
      <w:lvlText w:val="•"/>
      <w:lvlJc w:val="left"/>
      <w:pPr>
        <w:ind w:left="705"/>
      </w:pPr>
      <w:rPr>
        <w:rFonts w:ascii="Arial" w:eastAsia="Arial" w:hAnsi="Arial" w:cs="Arial"/>
        <w:b w:val="0"/>
        <w:i w:val="0"/>
        <w:strike w:val="0"/>
        <w:dstrike w:val="0"/>
        <w:color w:val="191919"/>
        <w:sz w:val="20"/>
        <w:szCs w:val="20"/>
        <w:u w:val="none" w:color="000000"/>
        <w:bdr w:val="none" w:sz="0" w:space="0" w:color="auto"/>
        <w:shd w:val="clear" w:color="auto" w:fill="auto"/>
        <w:vertAlign w:val="baseline"/>
      </w:rPr>
    </w:lvl>
    <w:lvl w:ilvl="1" w:tplc="07AEE744">
      <w:start w:val="1"/>
      <w:numFmt w:val="bullet"/>
      <w:lvlText w:val="o"/>
      <w:lvlJc w:val="left"/>
      <w:pPr>
        <w:ind w:left="1440"/>
      </w:pPr>
      <w:rPr>
        <w:rFonts w:ascii="Segoe UI Symbol" w:eastAsia="Segoe UI Symbol" w:hAnsi="Segoe UI Symbol" w:cs="Segoe UI Symbol"/>
        <w:b w:val="0"/>
        <w:i w:val="0"/>
        <w:strike w:val="0"/>
        <w:dstrike w:val="0"/>
        <w:color w:val="191919"/>
        <w:sz w:val="20"/>
        <w:szCs w:val="20"/>
        <w:u w:val="none" w:color="000000"/>
        <w:bdr w:val="none" w:sz="0" w:space="0" w:color="auto"/>
        <w:shd w:val="clear" w:color="auto" w:fill="auto"/>
        <w:vertAlign w:val="baseline"/>
      </w:rPr>
    </w:lvl>
    <w:lvl w:ilvl="2" w:tplc="A29A731C">
      <w:start w:val="1"/>
      <w:numFmt w:val="bullet"/>
      <w:lvlText w:val="▪"/>
      <w:lvlJc w:val="left"/>
      <w:pPr>
        <w:ind w:left="2160"/>
      </w:pPr>
      <w:rPr>
        <w:rFonts w:ascii="Segoe UI Symbol" w:eastAsia="Segoe UI Symbol" w:hAnsi="Segoe UI Symbol" w:cs="Segoe UI Symbol"/>
        <w:b w:val="0"/>
        <w:i w:val="0"/>
        <w:strike w:val="0"/>
        <w:dstrike w:val="0"/>
        <w:color w:val="191919"/>
        <w:sz w:val="20"/>
        <w:szCs w:val="20"/>
        <w:u w:val="none" w:color="000000"/>
        <w:bdr w:val="none" w:sz="0" w:space="0" w:color="auto"/>
        <w:shd w:val="clear" w:color="auto" w:fill="auto"/>
        <w:vertAlign w:val="baseline"/>
      </w:rPr>
    </w:lvl>
    <w:lvl w:ilvl="3" w:tplc="66380C80">
      <w:start w:val="1"/>
      <w:numFmt w:val="bullet"/>
      <w:lvlText w:val="•"/>
      <w:lvlJc w:val="left"/>
      <w:pPr>
        <w:ind w:left="2880"/>
      </w:pPr>
      <w:rPr>
        <w:rFonts w:ascii="Arial" w:eastAsia="Arial" w:hAnsi="Arial" w:cs="Arial"/>
        <w:b w:val="0"/>
        <w:i w:val="0"/>
        <w:strike w:val="0"/>
        <w:dstrike w:val="0"/>
        <w:color w:val="191919"/>
        <w:sz w:val="20"/>
        <w:szCs w:val="20"/>
        <w:u w:val="none" w:color="000000"/>
        <w:bdr w:val="none" w:sz="0" w:space="0" w:color="auto"/>
        <w:shd w:val="clear" w:color="auto" w:fill="auto"/>
        <w:vertAlign w:val="baseline"/>
      </w:rPr>
    </w:lvl>
    <w:lvl w:ilvl="4" w:tplc="C55AB1CC">
      <w:start w:val="1"/>
      <w:numFmt w:val="bullet"/>
      <w:lvlText w:val="o"/>
      <w:lvlJc w:val="left"/>
      <w:pPr>
        <w:ind w:left="3600"/>
      </w:pPr>
      <w:rPr>
        <w:rFonts w:ascii="Segoe UI Symbol" w:eastAsia="Segoe UI Symbol" w:hAnsi="Segoe UI Symbol" w:cs="Segoe UI Symbol"/>
        <w:b w:val="0"/>
        <w:i w:val="0"/>
        <w:strike w:val="0"/>
        <w:dstrike w:val="0"/>
        <w:color w:val="191919"/>
        <w:sz w:val="20"/>
        <w:szCs w:val="20"/>
        <w:u w:val="none" w:color="000000"/>
        <w:bdr w:val="none" w:sz="0" w:space="0" w:color="auto"/>
        <w:shd w:val="clear" w:color="auto" w:fill="auto"/>
        <w:vertAlign w:val="baseline"/>
      </w:rPr>
    </w:lvl>
    <w:lvl w:ilvl="5" w:tplc="6A387776">
      <w:start w:val="1"/>
      <w:numFmt w:val="bullet"/>
      <w:lvlText w:val="▪"/>
      <w:lvlJc w:val="left"/>
      <w:pPr>
        <w:ind w:left="4320"/>
      </w:pPr>
      <w:rPr>
        <w:rFonts w:ascii="Segoe UI Symbol" w:eastAsia="Segoe UI Symbol" w:hAnsi="Segoe UI Symbol" w:cs="Segoe UI Symbol"/>
        <w:b w:val="0"/>
        <w:i w:val="0"/>
        <w:strike w:val="0"/>
        <w:dstrike w:val="0"/>
        <w:color w:val="191919"/>
        <w:sz w:val="20"/>
        <w:szCs w:val="20"/>
        <w:u w:val="none" w:color="000000"/>
        <w:bdr w:val="none" w:sz="0" w:space="0" w:color="auto"/>
        <w:shd w:val="clear" w:color="auto" w:fill="auto"/>
        <w:vertAlign w:val="baseline"/>
      </w:rPr>
    </w:lvl>
    <w:lvl w:ilvl="6" w:tplc="77102818">
      <w:start w:val="1"/>
      <w:numFmt w:val="bullet"/>
      <w:lvlText w:val="•"/>
      <w:lvlJc w:val="left"/>
      <w:pPr>
        <w:ind w:left="5040"/>
      </w:pPr>
      <w:rPr>
        <w:rFonts w:ascii="Arial" w:eastAsia="Arial" w:hAnsi="Arial" w:cs="Arial"/>
        <w:b w:val="0"/>
        <w:i w:val="0"/>
        <w:strike w:val="0"/>
        <w:dstrike w:val="0"/>
        <w:color w:val="191919"/>
        <w:sz w:val="20"/>
        <w:szCs w:val="20"/>
        <w:u w:val="none" w:color="000000"/>
        <w:bdr w:val="none" w:sz="0" w:space="0" w:color="auto"/>
        <w:shd w:val="clear" w:color="auto" w:fill="auto"/>
        <w:vertAlign w:val="baseline"/>
      </w:rPr>
    </w:lvl>
    <w:lvl w:ilvl="7" w:tplc="6B369344">
      <w:start w:val="1"/>
      <w:numFmt w:val="bullet"/>
      <w:lvlText w:val="o"/>
      <w:lvlJc w:val="left"/>
      <w:pPr>
        <w:ind w:left="5760"/>
      </w:pPr>
      <w:rPr>
        <w:rFonts w:ascii="Segoe UI Symbol" w:eastAsia="Segoe UI Symbol" w:hAnsi="Segoe UI Symbol" w:cs="Segoe UI Symbol"/>
        <w:b w:val="0"/>
        <w:i w:val="0"/>
        <w:strike w:val="0"/>
        <w:dstrike w:val="0"/>
        <w:color w:val="191919"/>
        <w:sz w:val="20"/>
        <w:szCs w:val="20"/>
        <w:u w:val="none" w:color="000000"/>
        <w:bdr w:val="none" w:sz="0" w:space="0" w:color="auto"/>
        <w:shd w:val="clear" w:color="auto" w:fill="auto"/>
        <w:vertAlign w:val="baseline"/>
      </w:rPr>
    </w:lvl>
    <w:lvl w:ilvl="8" w:tplc="20E6A06E">
      <w:start w:val="1"/>
      <w:numFmt w:val="bullet"/>
      <w:lvlText w:val="▪"/>
      <w:lvlJc w:val="left"/>
      <w:pPr>
        <w:ind w:left="6480"/>
      </w:pPr>
      <w:rPr>
        <w:rFonts w:ascii="Segoe UI Symbol" w:eastAsia="Segoe UI Symbol" w:hAnsi="Segoe UI Symbol" w:cs="Segoe UI Symbol"/>
        <w:b w:val="0"/>
        <w:i w:val="0"/>
        <w:strike w:val="0"/>
        <w:dstrike w:val="0"/>
        <w:color w:val="191919"/>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75"/>
    <w:rsid w:val="00406D75"/>
    <w:rsid w:val="005F03F0"/>
    <w:rsid w:val="00A4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CD6C3-AA4B-4318-99A9-6E6EA269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730" w:hanging="370"/>
    </w:pPr>
    <w:rPr>
      <w:rFonts w:ascii="Calibri" w:eastAsia="Calibri" w:hAnsi="Calibri" w:cs="Calibri"/>
      <w:i/>
      <w:color w:val="19191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berea.edu/pfe" TargetMode="External"/><Relationship Id="rId4" Type="http://schemas.openxmlformats.org/officeDocument/2006/relationships/webSettings" Target="webSettings.xml"/><Relationship Id="rId9" Type="http://schemas.openxmlformats.org/officeDocument/2006/relationships/hyperlink" Target="http://www.berea.edu/p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Berea College</dc:creator>
  <cp:keywords/>
  <cp:lastModifiedBy>Haddix, Sheretta - Secretary to Superintendent</cp:lastModifiedBy>
  <cp:revision>2</cp:revision>
  <dcterms:created xsi:type="dcterms:W3CDTF">2019-01-15T14:58:00Z</dcterms:created>
  <dcterms:modified xsi:type="dcterms:W3CDTF">2019-01-15T14:58:00Z</dcterms:modified>
</cp:coreProperties>
</file>