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C53" w:rsidRPr="00A73141" w:rsidRDefault="003A2E39">
      <w:pPr>
        <w:rPr>
          <w:sz w:val="28"/>
          <w:szCs w:val="28"/>
        </w:rPr>
      </w:pPr>
      <w:bookmarkStart w:id="0" w:name="_GoBack"/>
      <w:bookmarkEnd w:id="0"/>
      <w:r>
        <w:rPr>
          <w:sz w:val="28"/>
          <w:szCs w:val="28"/>
        </w:rPr>
        <w:t>201</w:t>
      </w:r>
      <w:r w:rsidR="00E90E56">
        <w:rPr>
          <w:sz w:val="28"/>
          <w:szCs w:val="28"/>
        </w:rPr>
        <w:t>9-2020</w:t>
      </w:r>
      <w:r w:rsidR="003875BA" w:rsidRPr="00A73141">
        <w:rPr>
          <w:sz w:val="28"/>
          <w:szCs w:val="28"/>
        </w:rPr>
        <w:t xml:space="preserve"> Draft Budget</w:t>
      </w:r>
    </w:p>
    <w:p w:rsidR="003875BA" w:rsidRDefault="003875BA"/>
    <w:p w:rsidR="003875BA" w:rsidRDefault="003875BA">
      <w:r>
        <w:t>The Draft Budget is a preliminary projection for the upcoming fiscal ye</w:t>
      </w:r>
      <w:r w:rsidR="00E90E56">
        <w:t xml:space="preserve">ar, and </w:t>
      </w:r>
      <w:r>
        <w:t>provides a look at the budgetary situation based on data as we know it and gives an opportunity to plan in case the funding situation</w:t>
      </w:r>
      <w:r w:rsidR="003C6046">
        <w:t xml:space="preserve"> improves or</w:t>
      </w:r>
      <w:r>
        <w:t xml:space="preserve"> does not improve.</w:t>
      </w:r>
      <w:r w:rsidR="00E90E56">
        <w:t xml:space="preserve"> </w:t>
      </w:r>
      <w:r w:rsidR="00B50064">
        <w:t>The Tenta</w:t>
      </w:r>
      <w:r w:rsidR="00DE2EB4">
        <w:t>tive Budget in May will provide a more complete picture as this fiscal year nea</w:t>
      </w:r>
      <w:r w:rsidR="00E90E56">
        <w:t>rs a close</w:t>
      </w:r>
      <w:r w:rsidR="00DE2EB4">
        <w:t>.</w:t>
      </w:r>
    </w:p>
    <w:p w:rsidR="003875BA" w:rsidRPr="00A73141" w:rsidRDefault="00A73141">
      <w:pPr>
        <w:rPr>
          <w:sz w:val="24"/>
          <w:szCs w:val="24"/>
          <w:u w:val="single"/>
        </w:rPr>
      </w:pPr>
      <w:r w:rsidRPr="00A73141">
        <w:rPr>
          <w:sz w:val="24"/>
          <w:szCs w:val="24"/>
          <w:u w:val="single"/>
        </w:rPr>
        <w:t>General Fund</w:t>
      </w:r>
    </w:p>
    <w:p w:rsidR="003875BA" w:rsidRDefault="003875BA">
      <w:r>
        <w:t>Revenues</w:t>
      </w:r>
    </w:p>
    <w:p w:rsidR="0058787D" w:rsidRDefault="00714AD7">
      <w:r>
        <w:t>Even though the compensating rate has been assumed, l</w:t>
      </w:r>
      <w:r w:rsidR="00C061BC">
        <w:t>ocal</w:t>
      </w:r>
      <w:r w:rsidR="002839AA">
        <w:t xml:space="preserve"> property</w:t>
      </w:r>
      <w:r w:rsidR="00C061BC">
        <w:t xml:space="preserve"> ta</w:t>
      </w:r>
      <w:r w:rsidR="00672E39">
        <w:t xml:space="preserve">x revenues were increased slightly to allow for new </w:t>
      </w:r>
      <w:r w:rsidR="000A3CF5">
        <w:t>property</w:t>
      </w:r>
      <w:r w:rsidR="00E90E56">
        <w:t xml:space="preserve"> and consideration of this year’s collections</w:t>
      </w:r>
      <w:r w:rsidR="000A3CF5">
        <w:t>.  This</w:t>
      </w:r>
      <w:r w:rsidR="00E90E56">
        <w:t xml:space="preserve"> increase was $7</w:t>
      </w:r>
      <w:r w:rsidR="00672E39">
        <w:t xml:space="preserve">2,000. </w:t>
      </w:r>
      <w:r>
        <w:t xml:space="preserve"> M</w:t>
      </w:r>
      <w:r w:rsidR="003D5343">
        <w:t xml:space="preserve">otor vehicles tax </w:t>
      </w:r>
      <w:r w:rsidR="00E90E56">
        <w:t>is also expected to increase slightly ($17,7</w:t>
      </w:r>
      <w:r>
        <w:t>00) and utility</w:t>
      </w:r>
      <w:r w:rsidR="00C061BC">
        <w:t xml:space="preserve"> tax revenu</w:t>
      </w:r>
      <w:r w:rsidR="00720682">
        <w:t>es</w:t>
      </w:r>
      <w:r w:rsidR="00E90E56">
        <w:t xml:space="preserve"> are budgeted at a $88,9</w:t>
      </w:r>
      <w:r>
        <w:t>00 increase</w:t>
      </w:r>
      <w:r w:rsidR="003D5343">
        <w:t xml:space="preserve">. </w:t>
      </w:r>
      <w:r w:rsidR="006C5D33">
        <w:t xml:space="preserve">The </w:t>
      </w:r>
      <w:r w:rsidR="00E90E56">
        <w:t xml:space="preserve">state budget maintains the </w:t>
      </w:r>
      <w:r w:rsidR="006C5D33">
        <w:t xml:space="preserve">SEEK base </w:t>
      </w:r>
      <w:r w:rsidR="00E90E56">
        <w:t xml:space="preserve">is </w:t>
      </w:r>
      <w:r w:rsidR="006C5D33">
        <w:t>at the current</w:t>
      </w:r>
      <w:r w:rsidR="00E90E56">
        <w:t xml:space="preserve"> year’s</w:t>
      </w:r>
      <w:r w:rsidR="006C5D33">
        <w:t xml:space="preserve"> </w:t>
      </w:r>
      <w:r w:rsidR="00E90E56">
        <w:t>level.</w:t>
      </w:r>
      <w:r w:rsidR="006C5D33">
        <w:t xml:space="preserve"> </w:t>
      </w:r>
      <w:r w:rsidR="00E90E56">
        <w:t>SEEK ADA is estimated at 1409</w:t>
      </w:r>
      <w:r w:rsidR="00720682">
        <w:t xml:space="preserve"> and current at risk and exceptional children numbers are used in the projection</w:t>
      </w:r>
      <w:r w:rsidR="006C5D33">
        <w:t>.</w:t>
      </w:r>
      <w:r>
        <w:t xml:space="preserve"> </w:t>
      </w:r>
      <w:r w:rsidR="00E90E56">
        <w:t xml:space="preserve">ADA of 1409 is the </w:t>
      </w:r>
      <w:r w:rsidR="00243BB8">
        <w:t>2</w:t>
      </w:r>
      <w:r w:rsidR="00243BB8" w:rsidRPr="00243BB8">
        <w:rPr>
          <w:vertAlign w:val="superscript"/>
        </w:rPr>
        <w:t>nd</w:t>
      </w:r>
      <w:r w:rsidR="00243BB8">
        <w:t xml:space="preserve"> Month number for this year. </w:t>
      </w:r>
      <w:r>
        <w:t>We are estimating a</w:t>
      </w:r>
      <w:r w:rsidR="00243BB8">
        <w:t>nother decrease of $110,000</w:t>
      </w:r>
      <w:r w:rsidR="00720682">
        <w:t xml:space="preserve"> in SEEK</w:t>
      </w:r>
      <w:r w:rsidR="00243BB8">
        <w:t xml:space="preserve"> Revenue</w:t>
      </w:r>
      <w:r w:rsidR="00720682">
        <w:t xml:space="preserve">. </w:t>
      </w:r>
      <w:r w:rsidR="00243BB8">
        <w:t>The decrease is SEEK funding is having a serious impac</w:t>
      </w:r>
      <w:r w:rsidR="0058787D">
        <w:t xml:space="preserve">t on the budget. It is almost completely offsetting any local revenue increases. </w:t>
      </w:r>
    </w:p>
    <w:p w:rsidR="0058787D" w:rsidRDefault="0058787D">
      <w:r>
        <w:rPr>
          <w:noProof/>
        </w:rPr>
        <w:lastRenderedPageBreak/>
        <w:drawing>
          <wp:inline distT="0" distB="0" distL="0" distR="0" wp14:anchorId="58CE6E53" wp14:editId="4FCBF42F">
            <wp:extent cx="4924425" cy="3638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8787D" w:rsidRDefault="0058787D"/>
    <w:p w:rsidR="00E115A2" w:rsidRDefault="00714AD7">
      <w:r>
        <w:t>Transfers from Capital acco</w:t>
      </w:r>
      <w:r w:rsidR="00243BB8">
        <w:t>unts equal $175</w:t>
      </w:r>
      <w:r w:rsidR="00B03D89">
        <w:t>,000,</w:t>
      </w:r>
      <w:r w:rsidR="00243BB8">
        <w:t xml:space="preserve"> decreasing $36,</w:t>
      </w:r>
      <w:r>
        <w:t>000</w:t>
      </w:r>
      <w:r w:rsidR="00DE2EB4">
        <w:t xml:space="preserve"> due</w:t>
      </w:r>
      <w:r w:rsidR="00243BB8">
        <w:t xml:space="preserve"> to the debt service payment that is anticipated from the upcoming bond issue</w:t>
      </w:r>
      <w:r>
        <w:t xml:space="preserve">. </w:t>
      </w:r>
      <w:r w:rsidR="00243BB8">
        <w:t xml:space="preserve">This year we had </w:t>
      </w:r>
      <w:r w:rsidR="00B60958">
        <w:t>an</w:t>
      </w:r>
      <w:r w:rsidR="00243BB8">
        <w:t xml:space="preserve"> extraordinary revenue item of $168,000 that was reimbursed from the KISTA bond issue. Obviously, that will not be forthcoming in FY 2020. Therefore, t</w:t>
      </w:r>
      <w:r w:rsidR="00720682">
        <w:t>otal receipts a</w:t>
      </w:r>
      <w:r>
        <w:t xml:space="preserve">re </w:t>
      </w:r>
      <w:r w:rsidR="00243BB8">
        <w:t>estimated to de</w:t>
      </w:r>
      <w:r>
        <w:t xml:space="preserve">crease </w:t>
      </w:r>
      <w:r w:rsidR="00243BB8">
        <w:t>approximately $102</w:t>
      </w:r>
      <w:r>
        <w:t>,000</w:t>
      </w:r>
      <w:r w:rsidR="00720682">
        <w:t xml:space="preserve">. </w:t>
      </w:r>
      <w:r w:rsidR="00243BB8">
        <w:t xml:space="preserve"> Total receipts equal $15,265,636.  </w:t>
      </w:r>
    </w:p>
    <w:p w:rsidR="00E60DF7" w:rsidRDefault="003569A4">
      <w:r>
        <w:t>Expenditures</w:t>
      </w:r>
    </w:p>
    <w:p w:rsidR="00B5298E" w:rsidRDefault="00E60DF7" w:rsidP="00B5298E">
      <w:r>
        <w:lastRenderedPageBreak/>
        <w:t>Salar</w:t>
      </w:r>
      <w:r w:rsidR="0058787D">
        <w:t>y</w:t>
      </w:r>
      <w:r w:rsidR="00714AD7">
        <w:t xml:space="preserve"> costs are </w:t>
      </w:r>
      <w:r w:rsidR="000A3CF5">
        <w:t xml:space="preserve">increased </w:t>
      </w:r>
      <w:r w:rsidR="00A9597E">
        <w:t>$121,000 (</w:t>
      </w:r>
      <w:r w:rsidR="0058787D">
        <w:t xml:space="preserve">1.5% </w:t>
      </w:r>
      <w:r w:rsidR="000A3CF5">
        <w:t>for</w:t>
      </w:r>
      <w:r w:rsidR="0058787D">
        <w:t xml:space="preserve"> the step up in experience</w:t>
      </w:r>
      <w:r w:rsidR="00A9597E">
        <w:t xml:space="preserve"> plus 1% schedule increase, allowing for some turnover in personnel)</w:t>
      </w:r>
      <w:r w:rsidR="0058787D">
        <w:t xml:space="preserve">. </w:t>
      </w:r>
      <w:r w:rsidR="00A9597E">
        <w:t xml:space="preserve">Employer matching costs are budgeted to increase $56,000. </w:t>
      </w:r>
      <w:r w:rsidR="00DE2EB4">
        <w:t xml:space="preserve">The CERS employer </w:t>
      </w:r>
      <w:r w:rsidR="00A9597E">
        <w:t>match rate is increasing 11</w:t>
      </w:r>
      <w:r w:rsidR="00DE2EB4">
        <w:t xml:space="preserve">%. </w:t>
      </w:r>
      <w:r w:rsidR="00CB46B7">
        <w:t xml:space="preserve">The total increase to salaries </w:t>
      </w:r>
      <w:r w:rsidR="00A9597E">
        <w:t>and benefits is budgeted at $177</w:t>
      </w:r>
      <w:r w:rsidR="00CB46B7">
        <w:t>,00</w:t>
      </w:r>
      <w:r w:rsidR="000A3CF5">
        <w:t>0</w:t>
      </w:r>
      <w:r w:rsidR="00CB46B7">
        <w:t>.</w:t>
      </w:r>
      <w:r w:rsidR="004D189D">
        <w:t xml:space="preserve"> </w:t>
      </w:r>
      <w:r w:rsidR="005E727C">
        <w:t xml:space="preserve"> </w:t>
      </w:r>
      <w:r w:rsidR="00E323D7">
        <w:t>Only c</w:t>
      </w:r>
      <w:r w:rsidR="005E727C">
        <w:t>urrent s</w:t>
      </w:r>
      <w:r w:rsidR="003569A4">
        <w:t>taff employed is reflected in this budget.</w:t>
      </w:r>
      <w:r w:rsidR="00B5298E">
        <w:t xml:space="preserve"> Total salary and benefits </w:t>
      </w:r>
      <w:r w:rsidR="00A9597E">
        <w:t>are budget at $9,335,402</w:t>
      </w:r>
      <w:r w:rsidR="00B5298E">
        <w:t xml:space="preserve">. </w:t>
      </w:r>
      <w:r w:rsidR="00A9597E">
        <w:t>On-B</w:t>
      </w:r>
      <w:r w:rsidR="00B630F7">
        <w:t>ehalf state payments equal $4,985,333.</w:t>
      </w:r>
    </w:p>
    <w:p w:rsidR="00C51D34" w:rsidRDefault="00B5298E">
      <w:r>
        <w:t xml:space="preserve">Non-personnel costs are budgeted at </w:t>
      </w:r>
      <w:r w:rsidR="00262E39">
        <w:t>$2,352,3</w:t>
      </w:r>
      <w:r w:rsidR="00A9597E">
        <w:t>44 compared to this y</w:t>
      </w:r>
      <w:r w:rsidR="00262E39">
        <w:t>ears $2,445,501, a reduction $93</w:t>
      </w:r>
      <w:r w:rsidR="00A9597E">
        <w:t>,000</w:t>
      </w:r>
      <w:r w:rsidR="00CF1D12">
        <w:t>.</w:t>
      </w:r>
      <w:r w:rsidR="00B03D89">
        <w:t xml:space="preserve"> </w:t>
      </w:r>
      <w:r w:rsidR="00262E39">
        <w:t xml:space="preserve">Repair parts have been reduced $20,000, SBDM carryovers reduced $35,000, fuel and utility costs by $8,300, General Fund grant contributions by $8700, equipment purchases by $6,000, and KISTA payments by $15,000. </w:t>
      </w:r>
      <w:r w:rsidR="00B03D89">
        <w:t>The fund balance</w:t>
      </w:r>
      <w:r w:rsidR="000A3CF5">
        <w:t xml:space="preserve"> </w:t>
      </w:r>
      <w:r w:rsidR="00B03D89">
        <w:t>(conti</w:t>
      </w:r>
      <w:r w:rsidR="00262E39">
        <w:t>ngency) is projected at $1,297,8</w:t>
      </w:r>
      <w:r w:rsidR="00CF1D12">
        <w:t>67</w:t>
      </w:r>
      <w:r w:rsidR="000A3CF5">
        <w:t xml:space="preserve">. </w:t>
      </w:r>
      <w:r w:rsidR="00B03D89">
        <w:t xml:space="preserve"> The</w:t>
      </w:r>
      <w:r w:rsidR="00630450">
        <w:t xml:space="preserve"> </w:t>
      </w:r>
      <w:r w:rsidR="0084770C">
        <w:t>contingency percentage</w:t>
      </w:r>
      <w:r w:rsidR="00262E39">
        <w:t xml:space="preserve"> is 10</w:t>
      </w:r>
      <w:r w:rsidR="00B03D89">
        <w:t xml:space="preserve">%. </w:t>
      </w:r>
      <w:r w:rsidR="00262E39">
        <w:t>We have added staffing in several areas this year</w:t>
      </w:r>
      <w:r w:rsidR="00C05DB0">
        <w:t xml:space="preserve"> including Instructional Supervision, Transportation, Exceptional Children and Psychological Services. These additional salary costs are equal to approximately $110,000. In addition, we are currently funding PD and Instructional Resources out of General Fund at an additional cost of $60,000 and paying cash for a bus for $100,000. However, we historically</w:t>
      </w:r>
      <w:r w:rsidR="00B03D89">
        <w:t xml:space="preserve"> have retirements and staff who transfer to other districts each year, so we tend to gain back salary </w:t>
      </w:r>
      <w:r w:rsidR="000A3CF5">
        <w:t xml:space="preserve">costs when these personnel changes are made. In addition, for the last three years we have adjusted staffing allocations to align with student population and will begin that process in February. </w:t>
      </w:r>
    </w:p>
    <w:p w:rsidR="00C51D34" w:rsidRPr="00A73141" w:rsidRDefault="00C51D34">
      <w:pPr>
        <w:rPr>
          <w:sz w:val="24"/>
          <w:szCs w:val="24"/>
          <w:u w:val="single"/>
        </w:rPr>
      </w:pPr>
      <w:r w:rsidRPr="00A73141">
        <w:rPr>
          <w:sz w:val="24"/>
          <w:szCs w:val="24"/>
          <w:u w:val="single"/>
        </w:rPr>
        <w:t>Special Revenue Fund</w:t>
      </w:r>
    </w:p>
    <w:p w:rsidR="00C51D34" w:rsidRDefault="00C51D34">
      <w:r>
        <w:t>The Special Revenue Fund is not a part of the Draft Budget preparation. The budgets in the Special Revenue Fund are dictated by state and federal grant awards and hopefully this information will be available in time for inclusion in the Tentative Budget presented in May.</w:t>
      </w:r>
    </w:p>
    <w:p w:rsidR="00C51D34" w:rsidRDefault="00C51D34"/>
    <w:p w:rsidR="00C51D34" w:rsidRPr="00A73141" w:rsidRDefault="00C51D34">
      <w:pPr>
        <w:rPr>
          <w:sz w:val="24"/>
          <w:szCs w:val="24"/>
          <w:u w:val="single"/>
        </w:rPr>
      </w:pPr>
      <w:r w:rsidRPr="00A73141">
        <w:rPr>
          <w:sz w:val="24"/>
          <w:szCs w:val="24"/>
          <w:u w:val="single"/>
        </w:rPr>
        <w:lastRenderedPageBreak/>
        <w:t>Capital Outlay Fund</w:t>
      </w:r>
    </w:p>
    <w:p w:rsidR="00E510B8" w:rsidRDefault="003A2E39">
      <w:r>
        <w:t>Re</w:t>
      </w:r>
      <w:r w:rsidR="00E115A2">
        <w:t>ceipts of</w:t>
      </w:r>
      <w:r>
        <w:t xml:space="preserve"> $</w:t>
      </w:r>
      <w:r w:rsidR="00C05DB0">
        <w:t>140,90</w:t>
      </w:r>
      <w:r w:rsidR="001C0CB8">
        <w:t xml:space="preserve">0 </w:t>
      </w:r>
      <w:r w:rsidR="00C51D34">
        <w:t>is budgeted in Capital Outl</w:t>
      </w:r>
      <w:r w:rsidR="003C6046">
        <w:t>ay, based on the projected</w:t>
      </w:r>
      <w:r>
        <w:t xml:space="preserve"> average daily attendance of </w:t>
      </w:r>
      <w:r w:rsidR="00C05DB0">
        <w:t>1409</w:t>
      </w:r>
      <w:r w:rsidR="00E115A2">
        <w:t xml:space="preserve">. This </w:t>
      </w:r>
      <w:r w:rsidR="00E510B8">
        <w:t>total allotment will be transferred to General Fund for operating expense.</w:t>
      </w:r>
    </w:p>
    <w:p w:rsidR="00C51D34" w:rsidRPr="00A73141" w:rsidRDefault="00E510B8">
      <w:pPr>
        <w:rPr>
          <w:sz w:val="24"/>
          <w:szCs w:val="24"/>
          <w:u w:val="single"/>
        </w:rPr>
      </w:pPr>
      <w:r w:rsidRPr="00A73141">
        <w:rPr>
          <w:sz w:val="24"/>
          <w:szCs w:val="24"/>
          <w:u w:val="single"/>
        </w:rPr>
        <w:t xml:space="preserve"> </w:t>
      </w:r>
      <w:r w:rsidR="00C51D34" w:rsidRPr="00A73141">
        <w:rPr>
          <w:sz w:val="24"/>
          <w:szCs w:val="24"/>
          <w:u w:val="single"/>
        </w:rPr>
        <w:t>Building Fund</w:t>
      </w:r>
    </w:p>
    <w:p w:rsidR="00C51D34" w:rsidRDefault="0034447B">
      <w:r>
        <w:t>R</w:t>
      </w:r>
      <w:r w:rsidR="0088506C">
        <w:t>eceipts</w:t>
      </w:r>
      <w:r>
        <w:t xml:space="preserve"> of $</w:t>
      </w:r>
      <w:r w:rsidR="0088506C">
        <w:t>1</w:t>
      </w:r>
      <w:r w:rsidR="00C05DB0">
        <w:t>,762,659</w:t>
      </w:r>
      <w:r w:rsidR="00465550">
        <w:t xml:space="preserve"> </w:t>
      </w:r>
      <w:r>
        <w:t>($</w:t>
      </w:r>
      <w:r w:rsidR="00C05DB0">
        <w:t>797,678</w:t>
      </w:r>
      <w:r w:rsidR="0088506C">
        <w:t xml:space="preserve"> </w:t>
      </w:r>
      <w:r>
        <w:t>state/$</w:t>
      </w:r>
      <w:r w:rsidR="00C05DB0">
        <w:t>964,981</w:t>
      </w:r>
      <w:r w:rsidR="00465550">
        <w:t xml:space="preserve"> local) </w:t>
      </w:r>
      <w:r w:rsidR="001C0CB8">
        <w:t xml:space="preserve">are </w:t>
      </w:r>
      <w:r w:rsidR="00465550">
        <w:t xml:space="preserve">budgeted </w:t>
      </w:r>
      <w:r w:rsidR="00901D36">
        <w:t>for next ye</w:t>
      </w:r>
      <w:r>
        <w:t>ar.</w:t>
      </w:r>
      <w:r w:rsidR="0088506C">
        <w:t xml:space="preserve"> </w:t>
      </w:r>
      <w:r>
        <w:t xml:space="preserve"> The Building Fund revenues will </w:t>
      </w:r>
      <w:r w:rsidR="00F744C4">
        <w:t>be used to make debt payments</w:t>
      </w:r>
      <w:r w:rsidR="0088506C">
        <w:t xml:space="preserve"> of $1</w:t>
      </w:r>
      <w:r w:rsidR="00C05DB0">
        <w:t>,728,464</w:t>
      </w:r>
      <w:r w:rsidR="00F744C4">
        <w:t>.</w:t>
      </w:r>
      <w:r w:rsidR="00901D36">
        <w:t xml:space="preserve"> </w:t>
      </w:r>
      <w:r w:rsidR="00C05DB0">
        <w:t xml:space="preserve">Payments for the new bond issue this spring are included in this budget. </w:t>
      </w:r>
      <w:r w:rsidR="00B60958">
        <w:t>$34,195</w:t>
      </w:r>
      <w:r w:rsidR="0088506C">
        <w:t xml:space="preserve"> will be transferred to General Fund for operating expense</w:t>
      </w:r>
      <w:r w:rsidR="005C00A3">
        <w:t>.</w:t>
      </w:r>
    </w:p>
    <w:p w:rsidR="00A73141" w:rsidRDefault="00A73141">
      <w:pPr>
        <w:rPr>
          <w:sz w:val="24"/>
          <w:szCs w:val="24"/>
          <w:u w:val="single"/>
        </w:rPr>
      </w:pPr>
    </w:p>
    <w:p w:rsidR="00465550" w:rsidRPr="00A73141" w:rsidRDefault="00465550">
      <w:pPr>
        <w:rPr>
          <w:sz w:val="24"/>
          <w:szCs w:val="24"/>
          <w:u w:val="single"/>
        </w:rPr>
      </w:pPr>
      <w:r w:rsidRPr="00A73141">
        <w:rPr>
          <w:sz w:val="24"/>
          <w:szCs w:val="24"/>
          <w:u w:val="single"/>
        </w:rPr>
        <w:t>Debt Service Fund</w:t>
      </w:r>
    </w:p>
    <w:p w:rsidR="00465550" w:rsidRDefault="00465550">
      <w:r>
        <w:t>This is a transfer fund to record debt payments. The Dis</w:t>
      </w:r>
      <w:r w:rsidR="00EF474B">
        <w:t xml:space="preserve">trict </w:t>
      </w:r>
      <w:r w:rsidR="00F744C4">
        <w:t xml:space="preserve">local </w:t>
      </w:r>
      <w:r w:rsidR="00EF474B">
        <w:t>d</w:t>
      </w:r>
      <w:r>
        <w:t xml:space="preserve">ebt service </w:t>
      </w:r>
      <w:r w:rsidR="00F744C4">
        <w:t xml:space="preserve">requirements </w:t>
      </w:r>
      <w:r w:rsidR="0034447B">
        <w:t xml:space="preserve">are </w:t>
      </w:r>
      <w:r w:rsidR="00B60958">
        <w:t xml:space="preserve">estimated at </w:t>
      </w:r>
      <w:r w:rsidR="0034447B">
        <w:t>$1</w:t>
      </w:r>
      <w:r w:rsidR="00B60958">
        <w:t>,728,464</w:t>
      </w:r>
      <w:r w:rsidR="0034447B">
        <w:t xml:space="preserve"> </w:t>
      </w:r>
      <w:r>
        <w:t>ne</w:t>
      </w:r>
      <w:r w:rsidR="00F744C4">
        <w:t>x</w:t>
      </w:r>
      <w:r w:rsidR="00B60958">
        <w:t xml:space="preserve">t year. </w:t>
      </w:r>
      <w:r w:rsidR="00391B38">
        <w:t xml:space="preserve"> State contributions for debt are $869,400.</w:t>
      </w:r>
    </w:p>
    <w:p w:rsidR="00465550" w:rsidRDefault="00465550"/>
    <w:p w:rsidR="00465550" w:rsidRPr="00A73141" w:rsidRDefault="00465550">
      <w:pPr>
        <w:rPr>
          <w:sz w:val="24"/>
          <w:szCs w:val="24"/>
          <w:u w:val="single"/>
        </w:rPr>
      </w:pPr>
      <w:r w:rsidRPr="00A73141">
        <w:rPr>
          <w:sz w:val="24"/>
          <w:szCs w:val="24"/>
          <w:u w:val="single"/>
        </w:rPr>
        <w:t>Food Service Fund</w:t>
      </w:r>
    </w:p>
    <w:p w:rsidR="00C51D34" w:rsidRDefault="00EF474B">
      <w:r>
        <w:t>The Food Service Fund</w:t>
      </w:r>
      <w:r w:rsidR="005C00A3">
        <w:t xml:space="preserve"> </w:t>
      </w:r>
      <w:r w:rsidR="004D4F32">
        <w:t>r</w:t>
      </w:r>
      <w:r w:rsidR="00E20889">
        <w:t xml:space="preserve">evenues </w:t>
      </w:r>
      <w:r w:rsidR="00B60958">
        <w:t>are projected to be level with this year</w:t>
      </w:r>
      <w:r w:rsidR="00B05ACB">
        <w:t xml:space="preserve">. </w:t>
      </w:r>
      <w:r w:rsidR="00B60958">
        <w:t>Although federal reimbursements are on the rise, local revenues have decreased slightly.</w:t>
      </w:r>
      <w:r w:rsidR="005C00A3">
        <w:t xml:space="preserve"> </w:t>
      </w:r>
      <w:r w:rsidR="00B60958">
        <w:t xml:space="preserve">Fortunately, food and supply costs have been reduced and are budgeted consistent with the current year, allowing for minor increases. </w:t>
      </w:r>
      <w:r w:rsidR="00B05ACB">
        <w:t>T</w:t>
      </w:r>
      <w:r w:rsidR="006126FC">
        <w:t>he</w:t>
      </w:r>
      <w:r w:rsidR="00B05ACB">
        <w:t xml:space="preserve"> ending</w:t>
      </w:r>
      <w:r w:rsidR="006126FC">
        <w:t xml:space="preserve"> fund balance is </w:t>
      </w:r>
      <w:r w:rsidR="00B60958">
        <w:t>estimated $105,268</w:t>
      </w:r>
      <w:r w:rsidR="00B05ACB">
        <w:t>.</w:t>
      </w:r>
      <w:r w:rsidR="006126FC">
        <w:t xml:space="preserve"> </w:t>
      </w:r>
      <w:r w:rsidR="00B05ACB">
        <w:t xml:space="preserve"> </w:t>
      </w:r>
      <w:r w:rsidR="00B60958">
        <w:t>This is equivalent to 9.2% of budgeted expenditures</w:t>
      </w:r>
      <w:r w:rsidR="00790EAD">
        <w:t>.</w:t>
      </w:r>
    </w:p>
    <w:sectPr w:rsidR="00C51D34" w:rsidSect="0004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BA"/>
    <w:rsid w:val="00037868"/>
    <w:rsid w:val="000477ED"/>
    <w:rsid w:val="00047C53"/>
    <w:rsid w:val="000939C0"/>
    <w:rsid w:val="000A3CF5"/>
    <w:rsid w:val="001C0CB8"/>
    <w:rsid w:val="001E76F7"/>
    <w:rsid w:val="00243BB8"/>
    <w:rsid w:val="00262E39"/>
    <w:rsid w:val="002829AA"/>
    <w:rsid w:val="002839AA"/>
    <w:rsid w:val="002F40BA"/>
    <w:rsid w:val="00332B97"/>
    <w:rsid w:val="0034447B"/>
    <w:rsid w:val="003569A4"/>
    <w:rsid w:val="003875BA"/>
    <w:rsid w:val="00391B38"/>
    <w:rsid w:val="003A2E39"/>
    <w:rsid w:val="003B149E"/>
    <w:rsid w:val="003B7F88"/>
    <w:rsid w:val="003C0607"/>
    <w:rsid w:val="003C6046"/>
    <w:rsid w:val="003D5343"/>
    <w:rsid w:val="003E312D"/>
    <w:rsid w:val="003E6C58"/>
    <w:rsid w:val="00465550"/>
    <w:rsid w:val="004D189D"/>
    <w:rsid w:val="004D4F32"/>
    <w:rsid w:val="004F0870"/>
    <w:rsid w:val="00536FEA"/>
    <w:rsid w:val="00553B85"/>
    <w:rsid w:val="0058787D"/>
    <w:rsid w:val="005C00A3"/>
    <w:rsid w:val="005C12D5"/>
    <w:rsid w:val="005E727C"/>
    <w:rsid w:val="006126FC"/>
    <w:rsid w:val="00630450"/>
    <w:rsid w:val="00672E39"/>
    <w:rsid w:val="006A3EFF"/>
    <w:rsid w:val="006B5CB0"/>
    <w:rsid w:val="006C5D33"/>
    <w:rsid w:val="00714AD7"/>
    <w:rsid w:val="00720682"/>
    <w:rsid w:val="00730E09"/>
    <w:rsid w:val="0077168A"/>
    <w:rsid w:val="00790EAD"/>
    <w:rsid w:val="007E5D85"/>
    <w:rsid w:val="0084770C"/>
    <w:rsid w:val="008642A4"/>
    <w:rsid w:val="0088506C"/>
    <w:rsid w:val="00901D36"/>
    <w:rsid w:val="00910CF0"/>
    <w:rsid w:val="009A6A63"/>
    <w:rsid w:val="009F0C5B"/>
    <w:rsid w:val="009F7FD1"/>
    <w:rsid w:val="00A5177D"/>
    <w:rsid w:val="00A73141"/>
    <w:rsid w:val="00A9597E"/>
    <w:rsid w:val="00AB2DA8"/>
    <w:rsid w:val="00B03D89"/>
    <w:rsid w:val="00B05ACB"/>
    <w:rsid w:val="00B50064"/>
    <w:rsid w:val="00B5298E"/>
    <w:rsid w:val="00B539FF"/>
    <w:rsid w:val="00B60958"/>
    <w:rsid w:val="00B630F7"/>
    <w:rsid w:val="00BF0140"/>
    <w:rsid w:val="00C05DB0"/>
    <w:rsid w:val="00C061BC"/>
    <w:rsid w:val="00C36712"/>
    <w:rsid w:val="00C51D34"/>
    <w:rsid w:val="00CB46B7"/>
    <w:rsid w:val="00CF1D12"/>
    <w:rsid w:val="00CF6DB8"/>
    <w:rsid w:val="00D4232D"/>
    <w:rsid w:val="00D90B01"/>
    <w:rsid w:val="00DE2EB4"/>
    <w:rsid w:val="00E115A2"/>
    <w:rsid w:val="00E20889"/>
    <w:rsid w:val="00E323D7"/>
    <w:rsid w:val="00E510B8"/>
    <w:rsid w:val="00E60DF7"/>
    <w:rsid w:val="00E90E56"/>
    <w:rsid w:val="00EF474B"/>
    <w:rsid w:val="00F25AC8"/>
    <w:rsid w:val="00F7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19F86-6A73-4B40-B73C-0CC57493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SEEK</a:t>
            </a:r>
            <a:r>
              <a:rPr lang="en-US" baseline="0"/>
              <a:t> FUNDING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Sheet1!$B$7:$B$11</c:f>
              <c:strCache>
                <c:ptCount val="5"/>
                <c:pt idx="0">
                  <c:v>FY 2016</c:v>
                </c:pt>
                <c:pt idx="1">
                  <c:v>FY 2017</c:v>
                </c:pt>
                <c:pt idx="2">
                  <c:v>FY 2018</c:v>
                </c:pt>
                <c:pt idx="3">
                  <c:v>FY 2019</c:v>
                </c:pt>
                <c:pt idx="4">
                  <c:v>FY 2020</c:v>
                </c:pt>
              </c:strCache>
            </c:strRef>
          </c:cat>
          <c:val>
            <c:numRef>
              <c:f>Sheet1!$C$7:$C$11</c:f>
              <c:numCache>
                <c:formatCode>General</c:formatCode>
                <c:ptCount val="5"/>
              </c:numCache>
            </c:numRef>
          </c:val>
          <c:extLst>
            <c:ext xmlns:c16="http://schemas.microsoft.com/office/drawing/2014/chart" uri="{C3380CC4-5D6E-409C-BE32-E72D297353CC}">
              <c16:uniqueId val="{00000000-0519-403D-8C9C-693B6591A991}"/>
            </c:ext>
          </c:extLst>
        </c:ser>
        <c:ser>
          <c:idx val="1"/>
          <c:order val="1"/>
          <c:spPr>
            <a:solidFill>
              <a:schemeClr val="accent2"/>
            </a:solidFill>
            <a:ln>
              <a:noFill/>
            </a:ln>
            <a:effectLst/>
          </c:spPr>
          <c:invertIfNegative val="0"/>
          <c:cat>
            <c:strRef>
              <c:f>Sheet1!$B$7:$B$11</c:f>
              <c:strCache>
                <c:ptCount val="5"/>
                <c:pt idx="0">
                  <c:v>FY 2016</c:v>
                </c:pt>
                <c:pt idx="1">
                  <c:v>FY 2017</c:v>
                </c:pt>
                <c:pt idx="2">
                  <c:v>FY 2018</c:v>
                </c:pt>
                <c:pt idx="3">
                  <c:v>FY 2019</c:v>
                </c:pt>
                <c:pt idx="4">
                  <c:v>FY 2020</c:v>
                </c:pt>
              </c:strCache>
            </c:strRef>
          </c:cat>
          <c:val>
            <c:numRef>
              <c:f>Sheet1!$D$7:$D$11</c:f>
              <c:numCache>
                <c:formatCode>"$"#,##0</c:formatCode>
                <c:ptCount val="5"/>
                <c:pt idx="0">
                  <c:v>6635192</c:v>
                </c:pt>
                <c:pt idx="1">
                  <c:v>6461635</c:v>
                </c:pt>
                <c:pt idx="2">
                  <c:v>6332540</c:v>
                </c:pt>
                <c:pt idx="3">
                  <c:v>6179379</c:v>
                </c:pt>
                <c:pt idx="4">
                  <c:v>6069385</c:v>
                </c:pt>
              </c:numCache>
            </c:numRef>
          </c:val>
          <c:extLst>
            <c:ext xmlns:c16="http://schemas.microsoft.com/office/drawing/2014/chart" uri="{C3380CC4-5D6E-409C-BE32-E72D297353CC}">
              <c16:uniqueId val="{00000001-0519-403D-8C9C-693B6591A991}"/>
            </c:ext>
          </c:extLst>
        </c:ser>
        <c:dLbls>
          <c:showLegendKey val="0"/>
          <c:showVal val="0"/>
          <c:showCatName val="0"/>
          <c:showSerName val="0"/>
          <c:showPercent val="0"/>
          <c:showBubbleSize val="0"/>
        </c:dLbls>
        <c:gapWidth val="150"/>
        <c:axId val="448620704"/>
        <c:axId val="258417192"/>
      </c:barChart>
      <c:catAx>
        <c:axId val="44862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8417192"/>
        <c:crosses val="autoZero"/>
        <c:auto val="1"/>
        <c:lblAlgn val="ctr"/>
        <c:lblOffset val="100"/>
        <c:noMultiLvlLbl val="0"/>
      </c:catAx>
      <c:valAx>
        <c:axId val="258417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620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Glenn, Marty</cp:lastModifiedBy>
  <cp:revision>2</cp:revision>
  <dcterms:created xsi:type="dcterms:W3CDTF">2019-01-10T19:47:00Z</dcterms:created>
  <dcterms:modified xsi:type="dcterms:W3CDTF">2019-01-10T19:47:00Z</dcterms:modified>
</cp:coreProperties>
</file>