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BB4E25">
        <w:rPr>
          <w:rFonts w:ascii="Times New Roman" w:eastAsia="Times New Roman" w:hAnsi="Times New Roman" w:cs="Times New Roman"/>
          <w:b/>
          <w:sz w:val="24"/>
          <w:szCs w:val="20"/>
        </w:rPr>
        <w:t xml:space="preserve">September </w:t>
      </w:r>
      <w:r w:rsidR="00AB7EE2">
        <w:rPr>
          <w:rFonts w:ascii="Times New Roman" w:eastAsia="Times New Roman" w:hAnsi="Times New Roman" w:cs="Times New Roman"/>
          <w:b/>
          <w:sz w:val="24"/>
          <w:szCs w:val="20"/>
        </w:rPr>
        <w:t>28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B04C5">
        <w:rPr>
          <w:rFonts w:ascii="Times New Roman" w:eastAsia="Times New Roman" w:hAnsi="Times New Roman" w:cs="Times New Roman"/>
          <w:b/>
          <w:sz w:val="24"/>
          <w:szCs w:val="20"/>
        </w:rPr>
        <w:t>2018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EE2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AB7EE2">
        <w:rPr>
          <w:rFonts w:ascii="Times New Roman" w:eastAsia="Times New Roman" w:hAnsi="Times New Roman" w:cs="Times New Roman"/>
          <w:b/>
          <w:sz w:val="24"/>
          <w:szCs w:val="24"/>
        </w:rPr>
        <w:t>YTD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4BD0"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costs of 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AB7EE2">
        <w:rPr>
          <w:rFonts w:ascii="Times New Roman" w:eastAsia="Times New Roman" w:hAnsi="Times New Roman" w:cs="Times New Roman"/>
          <w:b/>
          <w:bCs/>
          <w:sz w:val="24"/>
          <w:szCs w:val="24"/>
        </w:rPr>
        <w:t>54</w:t>
      </w:r>
      <w:r w:rsidR="005727D6">
        <w:rPr>
          <w:rFonts w:ascii="Times New Roman" w:eastAsia="Times New Roman" w:hAnsi="Times New Roman" w:cs="Times New Roman"/>
          <w:b/>
          <w:bCs/>
          <w:sz w:val="24"/>
          <w:szCs w:val="24"/>
        </w:rPr>
        <w:t>1.08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  <w:r w:rsidR="00543EFE" w:rsidRPr="00291B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43D5" w:rsidRDefault="00B143D5" w:rsidP="00B143D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B143D5" w:rsidP="000F1C82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>Credit of $1</w:t>
      </w:r>
      <w:r w:rsidR="004339E3" w:rsidRPr="000F1C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B7EE2" w:rsidRPr="000F1C82">
        <w:rPr>
          <w:rFonts w:ascii="Times New Roman" w:eastAsia="Times New Roman" w:hAnsi="Times New Roman" w:cs="Times New Roman"/>
          <w:b/>
          <w:sz w:val="24"/>
          <w:szCs w:val="24"/>
        </w:rPr>
        <w:t xml:space="preserve">023.91 </w:t>
      </w: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 xml:space="preserve">from participation in the Duke Power Share program for the month of </w:t>
      </w:r>
      <w:r w:rsidR="005727D6" w:rsidRPr="000F1C82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1C82" w:rsidRDefault="000F1C82" w:rsidP="000F1C82">
      <w:pPr>
        <w:pStyle w:val="ListParagraph"/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Pr="000F1C82" w:rsidRDefault="000F1C82" w:rsidP="000F1C82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>Seven Schools were awarded 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 2018</w:t>
      </w: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 xml:space="preserve"> EPA ENERGY STAR re-certification! These schools are BES, FES, KES, L</w:t>
      </w:r>
      <w:bookmarkStart w:id="0" w:name="_GoBack"/>
      <w:bookmarkEnd w:id="0"/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 xml:space="preserve">ES, SES, TES and CMS.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 you know, </w:t>
      </w: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>ENERGY STAR buildings are independently certified to use less energy and cause fewer greenhouse gas emissions.   ENERGY STAR buildings are easily recognizable by their label:</w:t>
      </w:r>
    </w:p>
    <w:p w:rsidR="00F5033A" w:rsidRDefault="000F1C82" w:rsidP="000F1C8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355">
        <w:rPr>
          <w:noProof/>
        </w:rPr>
        <w:drawing>
          <wp:inline distT="0" distB="0" distL="0" distR="0" wp14:anchorId="406F1A66" wp14:editId="01549952">
            <wp:extent cx="896845" cy="918857"/>
            <wp:effectExtent l="0" t="0" r="0" b="0"/>
            <wp:docPr id="3" name="Picture 3" descr="C:\Users\karen.lenihan\AppData\Local\Microsoft\Windows\Temporary Internet Files\Content.Outlook\UTGT4EDZ\ENE_cr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lenihan\AppData\Local\Microsoft\Windows\Temporary Internet Files\Content.Outlook\UTGT4EDZ\ENE_crt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8D" w:rsidRPr="00E3058D" w:rsidRDefault="00E3058D" w:rsidP="00E3058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4A" w:rsidRDefault="0003464A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0F1C82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584" w:rsidRDefault="000A658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9E3" w:rsidRDefault="004339E3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9E3" w:rsidRDefault="004339E3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9E3" w:rsidRPr="00E64598" w:rsidRDefault="004339E3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AB7EE2" w:rsidRDefault="00AB7EE2" w:rsidP="00656630">
      <w:r w:rsidRPr="00AB7EE2">
        <w:rPr>
          <w:noProof/>
        </w:rPr>
        <w:drawing>
          <wp:inline distT="0" distB="0" distL="0" distR="0">
            <wp:extent cx="6499860" cy="1889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>
      <w:r w:rsidRPr="00AB7EE2">
        <w:rPr>
          <w:noProof/>
        </w:rPr>
        <w:drawing>
          <wp:inline distT="0" distB="0" distL="0" distR="0">
            <wp:extent cx="6499860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C1132A" w:rsidRDefault="00AB7EE2" w:rsidP="00656630">
      <w:pPr>
        <w:rPr>
          <w:b/>
        </w:rPr>
      </w:pPr>
      <w:r w:rsidRPr="00AB7EE2">
        <w:rPr>
          <w:noProof/>
        </w:rPr>
        <w:drawing>
          <wp:inline distT="0" distB="0" distL="0" distR="0">
            <wp:extent cx="6568440" cy="8763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>
      <w:pPr>
        <w:rPr>
          <w:b/>
        </w:rPr>
      </w:pPr>
    </w:p>
    <w:p w:rsidR="00BA0990" w:rsidRDefault="00BA0990" w:rsidP="00656630">
      <w:pPr>
        <w:rPr>
          <w:b/>
        </w:rPr>
      </w:pPr>
      <w:r>
        <w:rPr>
          <w:b/>
        </w:rPr>
        <w:t>Action Items:</w:t>
      </w:r>
    </w:p>
    <w:p w:rsidR="00AB7EE2" w:rsidRDefault="00BA0990" w:rsidP="00656630">
      <w:pPr>
        <w:rPr>
          <w:b/>
        </w:rPr>
      </w:pPr>
      <w:r w:rsidRPr="00BA0990">
        <w:rPr>
          <w:noProof/>
        </w:rPr>
        <w:drawing>
          <wp:inline distT="0" distB="0" distL="0" distR="0">
            <wp:extent cx="6499860" cy="563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AB7EE2" w:rsidP="00656630">
      <w:pPr>
        <w:rPr>
          <w:b/>
        </w:rPr>
      </w:pPr>
      <w:r w:rsidRPr="00AB7EE2">
        <w:rPr>
          <w:noProof/>
        </w:rPr>
        <w:drawing>
          <wp:inline distT="0" distB="0" distL="0" distR="0">
            <wp:extent cx="6858000" cy="83270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Pr="00C1132A" w:rsidRDefault="00C1132A" w:rsidP="00C1132A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1132A">
        <w:rPr>
          <w:b/>
          <w:i/>
          <w:iCs/>
        </w:rPr>
        <w:t>above</w:t>
      </w:r>
      <w:r w:rsidRPr="00C1132A">
        <w:rPr>
          <w:b/>
        </w:rPr>
        <w:t xml:space="preserve"> a certain level (i.e., 65°F).</w:t>
      </w:r>
    </w:p>
    <w:p w:rsidR="00C1132A" w:rsidRDefault="00C1132A" w:rsidP="00656630">
      <w:pPr>
        <w:rPr>
          <w:b/>
        </w:rPr>
      </w:pPr>
    </w:p>
    <w:sectPr w:rsidR="00C1132A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464A"/>
    <w:rsid w:val="00051EB4"/>
    <w:rsid w:val="0005337B"/>
    <w:rsid w:val="00056B28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0F1C82"/>
    <w:rsid w:val="0012533C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39E3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63D52"/>
    <w:rsid w:val="005727D6"/>
    <w:rsid w:val="00584215"/>
    <w:rsid w:val="00595E8C"/>
    <w:rsid w:val="005A31AC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704AA4"/>
    <w:rsid w:val="00707850"/>
    <w:rsid w:val="00711722"/>
    <w:rsid w:val="00725FAF"/>
    <w:rsid w:val="00726367"/>
    <w:rsid w:val="00751ABF"/>
    <w:rsid w:val="00763923"/>
    <w:rsid w:val="00765C88"/>
    <w:rsid w:val="0078266A"/>
    <w:rsid w:val="007904AF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91059F"/>
    <w:rsid w:val="0091639E"/>
    <w:rsid w:val="00920DE1"/>
    <w:rsid w:val="009425DC"/>
    <w:rsid w:val="0094666C"/>
    <w:rsid w:val="00966A0F"/>
    <w:rsid w:val="0097086F"/>
    <w:rsid w:val="0098192A"/>
    <w:rsid w:val="009B3C0D"/>
    <w:rsid w:val="009E1A03"/>
    <w:rsid w:val="009E54D0"/>
    <w:rsid w:val="009F3232"/>
    <w:rsid w:val="009F4359"/>
    <w:rsid w:val="00A13A11"/>
    <w:rsid w:val="00A62682"/>
    <w:rsid w:val="00A711D9"/>
    <w:rsid w:val="00A718FD"/>
    <w:rsid w:val="00A733AE"/>
    <w:rsid w:val="00A92AD2"/>
    <w:rsid w:val="00AA3D92"/>
    <w:rsid w:val="00AB7EE2"/>
    <w:rsid w:val="00AC44CC"/>
    <w:rsid w:val="00AD29BD"/>
    <w:rsid w:val="00AD33D9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87592"/>
    <w:rsid w:val="00BA0990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56F3"/>
    <w:rsid w:val="00C829B4"/>
    <w:rsid w:val="00C90137"/>
    <w:rsid w:val="00CB04C5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4598"/>
    <w:rsid w:val="00E70141"/>
    <w:rsid w:val="00E93F37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033A"/>
    <w:rsid w:val="00F53577"/>
    <w:rsid w:val="00F61404"/>
    <w:rsid w:val="00F70762"/>
    <w:rsid w:val="00F81F34"/>
    <w:rsid w:val="00F85449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9</cp:revision>
  <cp:lastPrinted>2015-02-04T16:18:00Z</cp:lastPrinted>
  <dcterms:created xsi:type="dcterms:W3CDTF">2018-09-24T17:55:00Z</dcterms:created>
  <dcterms:modified xsi:type="dcterms:W3CDTF">2018-09-26T16:38:00Z</dcterms:modified>
</cp:coreProperties>
</file>