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62" w:rsidRDefault="00333762" w:rsidP="00333762">
      <w:pPr>
        <w:pStyle w:val="Heading1"/>
      </w:pPr>
      <w:r>
        <w:t>PERSONNEL</w:t>
      </w:r>
      <w:r>
        <w:tab/>
        <w:t>03.1311</w:t>
      </w:r>
    </w:p>
    <w:p w:rsidR="00333762" w:rsidRDefault="00333762" w:rsidP="00333762">
      <w:pPr>
        <w:pStyle w:val="certstyle"/>
      </w:pPr>
      <w:r>
        <w:noBreakHyphen/>
        <w:t xml:space="preserve"> Certified Personnel </w:t>
      </w:r>
      <w:r>
        <w:noBreakHyphen/>
      </w:r>
    </w:p>
    <w:p w:rsidR="00333762" w:rsidRDefault="00333762" w:rsidP="00333762">
      <w:pPr>
        <w:pStyle w:val="policytitle"/>
      </w:pPr>
      <w:r>
        <w:t>Transfer</w:t>
      </w:r>
    </w:p>
    <w:p w:rsidR="00333762" w:rsidRDefault="00333762" w:rsidP="00333762">
      <w:pPr>
        <w:pStyle w:val="policytext"/>
      </w:pPr>
      <w:r>
        <w:t>Transfers of certified personnel shall be made by the Superintendent who, at the first meeting following the transfer, shall notify the Board of same. Such notification shall be recorded in the Board minutes. No personnel action shall be effective prior to receipt of written notice of the action by the affected employee from the Superintendent.</w:t>
      </w:r>
    </w:p>
    <w:p w:rsidR="00333762" w:rsidRDefault="00333762" w:rsidP="00333762">
      <w:pPr>
        <w:pStyle w:val="policytext"/>
      </w:pPr>
      <w:r>
        <w:rPr>
          <w:rStyle w:val="ksbanormal"/>
        </w:rPr>
        <w:t>Transfer or reassignment of certified personnel will be made no later than thirty (30) days before the first student attendance day of the school year except to fill vacancies created</w:t>
      </w:r>
      <w:r>
        <w:t xml:space="preserve"> by illness, death, or resignations; to reduce or increase personnel because of a shift in school population; to make personnel adjustments after consolidation or merger; or to assign personnel according to their major or minor fields of training.</w:t>
      </w:r>
      <w:r>
        <w:rPr>
          <w:vertAlign w:val="superscript"/>
        </w:rPr>
        <w:t>1</w:t>
      </w:r>
    </w:p>
    <w:p w:rsidR="00333762" w:rsidRPr="00B35375" w:rsidRDefault="00333762" w:rsidP="00333762">
      <w:pPr>
        <w:pStyle w:val="policytext"/>
        <w:rPr>
          <w:rStyle w:val="ksbanormal"/>
        </w:rPr>
      </w:pPr>
      <w:r w:rsidRPr="00B35375">
        <w:rPr>
          <w:rStyle w:val="ksbanormal"/>
        </w:rPr>
        <w:t>Transfer of District-wide employees, including but not limited to itinerant teac</w:t>
      </w:r>
      <w:bookmarkStart w:id="0" w:name="_GoBack"/>
      <w:bookmarkEnd w:id="0"/>
      <w:r w:rsidRPr="00B35375">
        <w:rPr>
          <w:rStyle w:val="ksbanormal"/>
        </w:rPr>
        <w:t>hers, transportation personnel and food service personnel, shall be determined solely by the Superintendent.</w:t>
      </w:r>
    </w:p>
    <w:p w:rsidR="00333762" w:rsidRPr="00B35375" w:rsidRDefault="00333762" w:rsidP="00333762">
      <w:pPr>
        <w:pStyle w:val="policytext"/>
        <w:rPr>
          <w:rStyle w:val="ksbanormal"/>
        </w:rPr>
      </w:pPr>
      <w:r w:rsidRPr="00B35375">
        <w:rPr>
          <w:rStyle w:val="ksbanormal"/>
        </w:rPr>
        <w:t>In making transfers within the system, the convenience and wishes of the individual employee will be honored in keeping with the best interests of the school system and the pupils.</w:t>
      </w:r>
    </w:p>
    <w:p w:rsidR="00333762" w:rsidRDefault="00333762" w:rsidP="00333762">
      <w:pPr>
        <w:pStyle w:val="sideheading"/>
        <w:rPr>
          <w:rStyle w:val="ksbanormal"/>
        </w:rPr>
      </w:pPr>
      <w:r>
        <w:rPr>
          <w:rStyle w:val="ksbanormal"/>
        </w:rPr>
        <w:t>Voluntary Transfer Requests</w:t>
      </w:r>
    </w:p>
    <w:p w:rsidR="00333762" w:rsidRPr="00B35375" w:rsidRDefault="00333762" w:rsidP="00333762">
      <w:pPr>
        <w:pStyle w:val="policytext"/>
        <w:rPr>
          <w:rStyle w:val="ksbanormal"/>
        </w:rPr>
      </w:pPr>
      <w:r w:rsidRPr="00B35375">
        <w:rPr>
          <w:rStyle w:val="ksbanormal"/>
        </w:rPr>
        <w:t>A written request for voluntary transfer must be submitted to the Superintendent by March 1.</w:t>
      </w:r>
    </w:p>
    <w:p w:rsidR="00333762" w:rsidRDefault="00333762" w:rsidP="00333762">
      <w:pPr>
        <w:pStyle w:val="sideheading"/>
        <w:rPr>
          <w:rStyle w:val="ksbanormal"/>
        </w:rPr>
      </w:pPr>
      <w:r>
        <w:rPr>
          <w:rStyle w:val="ksbanormal"/>
        </w:rPr>
        <w:t>Notice of Transfer</w:t>
      </w:r>
    </w:p>
    <w:p w:rsidR="00333762" w:rsidRPr="00B35375" w:rsidRDefault="00333762" w:rsidP="00333762">
      <w:pPr>
        <w:pStyle w:val="policytext"/>
        <w:rPr>
          <w:rStyle w:val="ksbanormal"/>
        </w:rPr>
      </w:pPr>
      <w:r w:rsidRPr="00B35375">
        <w:rPr>
          <w:rStyle w:val="ksbanormal"/>
        </w:rPr>
        <w:t>Notice of transfer will be given to the employee as soon as practical. Under normal circumstances, this will occur no later than June 15. Reasons for transfers shall be clearly stated in an attempt to bring clear understanding to all those concerned.</w:t>
      </w:r>
    </w:p>
    <w:p w:rsidR="00333762" w:rsidRDefault="00333762" w:rsidP="00333762">
      <w:pPr>
        <w:pStyle w:val="sideheading"/>
      </w:pPr>
      <w:r>
        <w:t>Criteria Considered in Making Transfers</w:t>
      </w:r>
    </w:p>
    <w:p w:rsidR="00333762" w:rsidRPr="00B35375" w:rsidRDefault="00333762" w:rsidP="00333762">
      <w:pPr>
        <w:pStyle w:val="policytext"/>
        <w:rPr>
          <w:rStyle w:val="ksbanormal"/>
        </w:rPr>
      </w:pPr>
      <w:r w:rsidRPr="00B35375">
        <w:rPr>
          <w:rStyle w:val="ksbanormal"/>
        </w:rPr>
        <w:t>The Superintendent/Principal may consider the following criteria in determining transfers of employees, provided such criteria are not in conflict with law or written Board policy:</w:t>
      </w:r>
    </w:p>
    <w:p w:rsidR="00333762" w:rsidRDefault="00333762" w:rsidP="00333762">
      <w:pPr>
        <w:pStyle w:val="policytext"/>
        <w:numPr>
          <w:ilvl w:val="0"/>
          <w:numId w:val="1"/>
        </w:numPr>
      </w:pPr>
      <w:r>
        <w:t>Selection by the Principal/SBDM council, if required by law</w:t>
      </w:r>
    </w:p>
    <w:p w:rsidR="00333762" w:rsidRDefault="00333762" w:rsidP="00333762">
      <w:pPr>
        <w:pStyle w:val="policytext"/>
        <w:numPr>
          <w:ilvl w:val="0"/>
          <w:numId w:val="1"/>
        </w:numPr>
      </w:pPr>
      <w:r>
        <w:t>Certification of employee</w:t>
      </w:r>
    </w:p>
    <w:p w:rsidR="00333762" w:rsidRDefault="00333762" w:rsidP="00333762">
      <w:pPr>
        <w:pStyle w:val="policytext"/>
        <w:numPr>
          <w:ilvl w:val="0"/>
          <w:numId w:val="1"/>
        </w:numPr>
      </w:pPr>
      <w:r>
        <w:t>Request of employee</w:t>
      </w:r>
    </w:p>
    <w:p w:rsidR="00333762" w:rsidRDefault="00333762" w:rsidP="00333762">
      <w:pPr>
        <w:pStyle w:val="policytext"/>
        <w:numPr>
          <w:ilvl w:val="0"/>
          <w:numId w:val="1"/>
        </w:numPr>
      </w:pPr>
      <w:r>
        <w:t>Seniority of the employee</w:t>
      </w:r>
    </w:p>
    <w:p w:rsidR="00333762" w:rsidRDefault="00333762" w:rsidP="00333762">
      <w:pPr>
        <w:pStyle w:val="policytext"/>
        <w:numPr>
          <w:ilvl w:val="0"/>
          <w:numId w:val="1"/>
        </w:numPr>
      </w:pPr>
      <w:r>
        <w:t>Needs of The District</w:t>
      </w:r>
    </w:p>
    <w:p w:rsidR="00333762" w:rsidRDefault="00333762" w:rsidP="00333762">
      <w:pPr>
        <w:pStyle w:val="policytext"/>
        <w:numPr>
          <w:ilvl w:val="0"/>
          <w:numId w:val="1"/>
        </w:numPr>
      </w:pPr>
      <w:r>
        <w:t>Best interests of the students</w:t>
      </w:r>
    </w:p>
    <w:p w:rsidR="00333762" w:rsidRDefault="00333762" w:rsidP="00333762">
      <w:pPr>
        <w:pStyle w:val="policytext"/>
        <w:numPr>
          <w:ilvl w:val="0"/>
          <w:numId w:val="1"/>
        </w:numPr>
      </w:pPr>
      <w:r>
        <w:t>Appropriate notification to building staff/summer vacancies on web site</w:t>
      </w:r>
    </w:p>
    <w:p w:rsidR="00333762" w:rsidRDefault="00333762" w:rsidP="00333762">
      <w:pPr>
        <w:pStyle w:val="Heading1"/>
      </w:pPr>
      <w:r>
        <w:br w:type="page"/>
      </w:r>
      <w:r>
        <w:lastRenderedPageBreak/>
        <w:t>PERSONNEL</w:t>
      </w:r>
      <w:r>
        <w:tab/>
        <w:t>03.1311</w:t>
      </w:r>
    </w:p>
    <w:p w:rsidR="00333762" w:rsidRDefault="00333762" w:rsidP="00333762">
      <w:pPr>
        <w:pStyle w:val="Heading1"/>
      </w:pPr>
      <w:r>
        <w:tab/>
        <w:t>(Continued)</w:t>
      </w:r>
    </w:p>
    <w:p w:rsidR="00333762" w:rsidRDefault="00333762" w:rsidP="00333762">
      <w:pPr>
        <w:pStyle w:val="policytitle"/>
      </w:pPr>
      <w:r>
        <w:t>Transfer</w:t>
      </w:r>
    </w:p>
    <w:p w:rsidR="00333762" w:rsidRDefault="00333762" w:rsidP="00333762">
      <w:pPr>
        <w:pStyle w:val="sideheading"/>
      </w:pPr>
      <w:r>
        <w:t>Criteria Considered in Making Transfers (continued)</w:t>
      </w:r>
    </w:p>
    <w:p w:rsidR="00333762" w:rsidRDefault="00333762" w:rsidP="00333762">
      <w:pPr>
        <w:pStyle w:val="policytext"/>
        <w:rPr>
          <w:b/>
          <w:bCs/>
        </w:rPr>
      </w:pPr>
      <w:r>
        <w:rPr>
          <w:b/>
          <w:bCs/>
        </w:rPr>
        <w:t>Seniority shall be defined as:</w:t>
      </w:r>
    </w:p>
    <w:p w:rsidR="00333762" w:rsidRDefault="00333762" w:rsidP="00333762">
      <w:pPr>
        <w:pStyle w:val="policytext"/>
        <w:numPr>
          <w:ilvl w:val="0"/>
          <w:numId w:val="2"/>
        </w:numPr>
        <w:spacing w:after="20"/>
      </w:pPr>
      <w:r>
        <w:t>The number of years in service to the Covington Schools completed from the first compensable day of employment.</w:t>
      </w:r>
    </w:p>
    <w:p w:rsidR="00333762" w:rsidRDefault="00333762" w:rsidP="00333762">
      <w:pPr>
        <w:pStyle w:val="policytext"/>
        <w:numPr>
          <w:ilvl w:val="0"/>
          <w:numId w:val="2"/>
        </w:numPr>
        <w:spacing w:after="20"/>
      </w:pPr>
      <w:r>
        <w:t>If a tie exists, then the date that the Superintendent signs the recommendation to hire document.</w:t>
      </w:r>
    </w:p>
    <w:p w:rsidR="00333762" w:rsidRDefault="00333762" w:rsidP="00333762">
      <w:pPr>
        <w:pStyle w:val="policytext"/>
        <w:numPr>
          <w:ilvl w:val="0"/>
          <w:numId w:val="2"/>
        </w:numPr>
        <w:spacing w:after="20"/>
      </w:pPr>
      <w:r>
        <w:t>If a tie still exists, the largest sum of the last 4 digits of each employee’s social security number.</w:t>
      </w:r>
    </w:p>
    <w:p w:rsidR="00333762" w:rsidRDefault="00333762" w:rsidP="00333762">
      <w:pPr>
        <w:pStyle w:val="policytext"/>
        <w:numPr>
          <w:ilvl w:val="0"/>
          <w:numId w:val="2"/>
        </w:numPr>
      </w:pPr>
      <w:r>
        <w:t>If a tie still remains, a coin shall be tossed.</w:t>
      </w:r>
    </w:p>
    <w:p w:rsidR="00333762" w:rsidRDefault="00333762" w:rsidP="00333762">
      <w:pPr>
        <w:pStyle w:val="policytext"/>
      </w:pPr>
      <w:r>
        <w:rPr>
          <w:b/>
          <w:bCs/>
        </w:rPr>
        <w:t>Involuntary Transfer</w:t>
      </w:r>
      <w:r>
        <w:t xml:space="preserve"> – a transfer not initiated by the employee. If no one within the building volunteers for the transfer, then this shall be the procedure:</w:t>
      </w:r>
    </w:p>
    <w:p w:rsidR="00333762" w:rsidRDefault="00333762" w:rsidP="00333762">
      <w:pPr>
        <w:pStyle w:val="policytext"/>
        <w:numPr>
          <w:ilvl w:val="0"/>
          <w:numId w:val="3"/>
        </w:numPr>
      </w:pPr>
      <w:r>
        <w:t>Teacher (within the respective building) with the least District seniority within the needed certification category will be involuntary transferred (seniority as defined above).</w:t>
      </w:r>
    </w:p>
    <w:p w:rsidR="00333762" w:rsidRDefault="00333762" w:rsidP="00333762">
      <w:pPr>
        <w:pStyle w:val="policytext"/>
        <w:numPr>
          <w:ilvl w:val="0"/>
          <w:numId w:val="3"/>
        </w:numPr>
      </w:pPr>
      <w:r>
        <w:t>Teachers affected by involuntary transfers shall be released from their contractual obligation, if requested in writing by the teacher, with their certification intact.</w:t>
      </w:r>
    </w:p>
    <w:p w:rsidR="00333762" w:rsidRDefault="00333762" w:rsidP="00333762">
      <w:pPr>
        <w:pStyle w:val="policytext"/>
        <w:numPr>
          <w:ilvl w:val="0"/>
          <w:numId w:val="3"/>
        </w:numPr>
      </w:pPr>
      <w:r>
        <w:t>Any teacher transferred involuntarily shall receive priority consideration for future vacancies for a period of three (3) school years from the date of the involuntary transfer (unless they accept another transfer or refuse to transfer back to the position from which they were involuntarily transferred).</w:t>
      </w:r>
    </w:p>
    <w:p w:rsidR="00333762" w:rsidRPr="00942F3F" w:rsidRDefault="00333762" w:rsidP="00333762">
      <w:pPr>
        <w:pStyle w:val="sideheading"/>
      </w:pPr>
      <w:r w:rsidRPr="00942F3F">
        <w:t>Transfer of Employees Charged with a Felony</w:t>
      </w:r>
    </w:p>
    <w:p w:rsidR="00333762" w:rsidRPr="009334D5" w:rsidRDefault="00333762" w:rsidP="00333762">
      <w:pPr>
        <w:pStyle w:val="policytext"/>
      </w:pPr>
      <w:r>
        <w:t xml:space="preserve">Notwithstanding any other policy provision, the Superintendent may transfer an employee charged with a felony offense as permitted under </w:t>
      </w:r>
      <w:hyperlink r:id="rId8" w:history="1">
        <w:r w:rsidR="00B35375">
          <w:rPr>
            <w:rStyle w:val="Hyperlink"/>
          </w:rPr>
          <w:t>KRS 160.380</w:t>
        </w:r>
      </w:hyperlink>
      <w:r>
        <w:t>.</w:t>
      </w:r>
    </w:p>
    <w:p w:rsidR="00333762" w:rsidRDefault="00333762" w:rsidP="00333762">
      <w:pPr>
        <w:pStyle w:val="sideheading"/>
      </w:pPr>
      <w:r>
        <w:t>References:</w:t>
      </w:r>
    </w:p>
    <w:p w:rsidR="00333762" w:rsidRDefault="00333762" w:rsidP="00333762">
      <w:pPr>
        <w:pStyle w:val="Reference"/>
      </w:pPr>
      <w:r>
        <w:rPr>
          <w:vertAlign w:val="superscript"/>
        </w:rPr>
        <w:t>1</w:t>
      </w:r>
      <w:hyperlink r:id="rId9" w:history="1">
        <w:r w:rsidR="00B35375">
          <w:rPr>
            <w:rStyle w:val="Hyperlink"/>
          </w:rPr>
          <w:t>KRS 161.760</w:t>
        </w:r>
      </w:hyperlink>
      <w:r>
        <w:t xml:space="preserve">; </w:t>
      </w:r>
      <w:hyperlink r:id="rId10" w:history="1">
        <w:r w:rsidR="00B35375">
          <w:rPr>
            <w:rStyle w:val="Hyperlink"/>
          </w:rPr>
          <w:t>OAG 78</w:t>
        </w:r>
        <w:r w:rsidR="00B35375">
          <w:rPr>
            <w:rStyle w:val="Hyperlink"/>
          </w:rPr>
          <w:noBreakHyphen/>
          <w:t>266</w:t>
        </w:r>
      </w:hyperlink>
    </w:p>
    <w:p w:rsidR="00333762" w:rsidRDefault="00333762" w:rsidP="00333762">
      <w:pPr>
        <w:pStyle w:val="Reference"/>
      </w:pPr>
      <w:r>
        <w:t xml:space="preserve"> </w:t>
      </w:r>
      <w:hyperlink r:id="rId11" w:history="1">
        <w:r w:rsidR="00B35375">
          <w:rPr>
            <w:rStyle w:val="Hyperlink"/>
          </w:rPr>
          <w:t>KRS 160.380</w:t>
        </w:r>
      </w:hyperlink>
      <w:r>
        <w:t xml:space="preserve">; </w:t>
      </w:r>
      <w:hyperlink r:id="rId12" w:history="1">
        <w:r w:rsidR="00B35375">
          <w:rPr>
            <w:rStyle w:val="Hyperlink"/>
          </w:rPr>
          <w:t>OAG 76</w:t>
        </w:r>
        <w:r w:rsidR="00B35375">
          <w:rPr>
            <w:rStyle w:val="Hyperlink"/>
          </w:rPr>
          <w:noBreakHyphen/>
          <w:t>360</w:t>
        </w:r>
      </w:hyperlink>
    </w:p>
    <w:p w:rsidR="00333762" w:rsidRDefault="00333762" w:rsidP="00333762">
      <w:pPr>
        <w:pStyle w:val="Reference"/>
      </w:pPr>
      <w:r>
        <w:t xml:space="preserve"> </w:t>
      </w:r>
      <w:hyperlink r:id="rId13" w:history="1">
        <w:r w:rsidR="00B35375">
          <w:rPr>
            <w:rStyle w:val="Hyperlink"/>
          </w:rPr>
          <w:t>OAG 91</w:t>
        </w:r>
        <w:r w:rsidR="00B35375">
          <w:rPr>
            <w:rStyle w:val="Hyperlink"/>
          </w:rPr>
          <w:noBreakHyphen/>
          <w:t>149</w:t>
        </w:r>
      </w:hyperlink>
    </w:p>
    <w:p w:rsidR="00333762" w:rsidRDefault="00333762" w:rsidP="00333762">
      <w:pPr>
        <w:pStyle w:val="Reference"/>
      </w:pPr>
      <w:r>
        <w:t xml:space="preserve"> </w:t>
      </w:r>
      <w:hyperlink r:id="rId14" w:history="1">
        <w:r w:rsidR="00B35375">
          <w:rPr>
            <w:rStyle w:val="Hyperlink"/>
          </w:rPr>
          <w:t>OAG 92</w:t>
        </w:r>
        <w:r w:rsidR="00B35375">
          <w:rPr>
            <w:rStyle w:val="Hyperlink"/>
          </w:rPr>
          <w:noBreakHyphen/>
          <w:t>1</w:t>
        </w:r>
      </w:hyperlink>
    </w:p>
    <w:p w:rsidR="00333762" w:rsidRDefault="00333762" w:rsidP="00333762">
      <w:pPr>
        <w:pStyle w:val="Reference"/>
      </w:pPr>
      <w:r>
        <w:t xml:space="preserve"> </w:t>
      </w:r>
      <w:hyperlink r:id="rId15" w:history="1">
        <w:r w:rsidR="00B35375">
          <w:rPr>
            <w:rStyle w:val="Hyperlink"/>
          </w:rPr>
          <w:t>OAG 91-115</w:t>
        </w:r>
      </w:hyperlink>
    </w:p>
    <w:p w:rsidR="00333762" w:rsidRDefault="00333762" w:rsidP="00333762">
      <w:pPr>
        <w:pStyle w:val="Reference"/>
      </w:pPr>
      <w:r>
        <w:t xml:space="preserve"> </w:t>
      </w:r>
      <w:hyperlink r:id="rId16" w:history="1">
        <w:r w:rsidR="00B35375">
          <w:rPr>
            <w:rStyle w:val="Hyperlink"/>
          </w:rPr>
          <w:t>OAG 92</w:t>
        </w:r>
        <w:r w:rsidR="00B35375">
          <w:rPr>
            <w:rStyle w:val="Hyperlink"/>
          </w:rPr>
          <w:noBreakHyphen/>
          <w:t>135</w:t>
        </w:r>
      </w:hyperlink>
    </w:p>
    <w:p w:rsidR="00333762" w:rsidRDefault="00333762" w:rsidP="00333762">
      <w:pPr>
        <w:pStyle w:val="Reference"/>
      </w:pPr>
      <w:r>
        <w:t xml:space="preserve"> </w:t>
      </w:r>
      <w:hyperlink r:id="rId17" w:history="1">
        <w:r w:rsidR="00B35375">
          <w:rPr>
            <w:rStyle w:val="Hyperlink"/>
          </w:rPr>
          <w:t>OAG 92</w:t>
        </w:r>
        <w:r w:rsidR="00B35375">
          <w:rPr>
            <w:rStyle w:val="Hyperlink"/>
          </w:rPr>
          <w:noBreakHyphen/>
          <w:t>78</w:t>
        </w:r>
      </w:hyperlink>
    </w:p>
    <w:p w:rsidR="00333762" w:rsidRDefault="00333762" w:rsidP="00333762">
      <w:pPr>
        <w:pStyle w:val="relatedsideheading"/>
      </w:pPr>
      <w:r>
        <w:t>Related Policy:</w:t>
      </w:r>
    </w:p>
    <w:p w:rsidR="00333762" w:rsidRDefault="00333762" w:rsidP="00333762">
      <w:pPr>
        <w:pStyle w:val="Reference"/>
      </w:pPr>
      <w:r>
        <w:t>02.4244</w:t>
      </w:r>
    </w:p>
    <w:p w:rsidR="00333762" w:rsidRDefault="00333762" w:rsidP="00333762">
      <w:pPr>
        <w:pStyle w:val="Reference"/>
      </w:pPr>
      <w:r>
        <w:t>03.172</w:t>
      </w:r>
    </w:p>
    <w:p w:rsidR="009B3B76" w:rsidRDefault="00B35375" w:rsidP="00271D17">
      <w:pPr>
        <w:pStyle w:val="policytextright"/>
      </w:pPr>
      <w:r>
        <w:t>Adopted/Amended: 8/24/2006</w:t>
      </w:r>
    </w:p>
    <w:p w:rsidR="00195EDE" w:rsidRPr="00333762" w:rsidRDefault="00B35375" w:rsidP="00271D17">
      <w:pPr>
        <w:pStyle w:val="policytextright"/>
      </w:pPr>
      <w:r>
        <w:t>Order #:         11</w:t>
      </w:r>
    </w:p>
    <w:sectPr w:rsidR="00195EDE" w:rsidRPr="00333762" w:rsidSect="00C80031">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080" w:right="1080" w:bottom="720" w:left="1800" w:header="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6D4" w:rsidRDefault="000516D4">
      <w:r>
        <w:separator/>
      </w:r>
    </w:p>
  </w:endnote>
  <w:endnote w:type="continuationSeparator" w:id="0">
    <w:p w:rsidR="000516D4" w:rsidRDefault="0005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693" w:rsidRDefault="00740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EDE" w:rsidRDefault="00195ED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4069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74069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693" w:rsidRDefault="00740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6D4" w:rsidRDefault="000516D4">
      <w:r>
        <w:separator/>
      </w:r>
    </w:p>
  </w:footnote>
  <w:footnote w:type="continuationSeparator" w:id="0">
    <w:p w:rsidR="000516D4" w:rsidRDefault="00051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693" w:rsidRDefault="007406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9806914" o:spid="_x0000_s2050" type="#_x0000_t136" style="position:absolute;margin-left:0;margin-top:0;width:518.4pt;height:52.8pt;rotation:315;z-index:-251655168;mso-position-horizontal:center;mso-position-horizontal-relative:margin;mso-position-vertical:center;mso-position-vertical-relative:margin" o:allowincell="f" fillcolor="red" stroked="f">
          <v:fill opacity=".5"/>
          <v:textpath style="font-family:&quot;Tahoma&quot;;font-size:44pt" string="CURRENT POLICY 03.1311"/>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693" w:rsidRDefault="007406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9806915" o:spid="_x0000_s2051" type="#_x0000_t136" style="position:absolute;margin-left:0;margin-top:0;width:518.4pt;height:52.8pt;rotation:315;z-index:-251653120;mso-position-horizontal:center;mso-position-horizontal-relative:margin;mso-position-vertical:center;mso-position-vertical-relative:margin" o:allowincell="f" fillcolor="red" stroked="f">
          <v:fill opacity=".5"/>
          <v:textpath style="font-family:&quot;Tahoma&quot;;font-size:44pt" string="CURRENT POLICY 03.1311"/>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693" w:rsidRDefault="007406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9806913" o:spid="_x0000_s2049" type="#_x0000_t136" style="position:absolute;margin-left:0;margin-top:0;width:518.4pt;height:52.8pt;rotation:315;z-index:-251657216;mso-position-horizontal:center;mso-position-horizontal-relative:margin;mso-position-vertical:center;mso-position-vertical-relative:margin" o:allowincell="f" fillcolor="red" stroked="f">
          <v:fill opacity=".5"/>
          <v:textpath style="font-family:&quot;Tahoma&quot;;font-size:44pt" string="CURRENT POLICY 03.131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9482D"/>
    <w:multiLevelType w:val="hybridMultilevel"/>
    <w:tmpl w:val="71346C0C"/>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8906D38"/>
    <w:multiLevelType w:val="hybridMultilevel"/>
    <w:tmpl w:val="B5C4997E"/>
    <w:lvl w:ilvl="0" w:tplc="89BA509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BF70912"/>
    <w:multiLevelType w:val="hybridMultilevel"/>
    <w:tmpl w:val="494686B2"/>
    <w:lvl w:ilvl="0" w:tplc="89BA509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B5"/>
    <w:rsid w:val="000219CD"/>
    <w:rsid w:val="000516D4"/>
    <w:rsid w:val="0017496A"/>
    <w:rsid w:val="00195EDE"/>
    <w:rsid w:val="00271D17"/>
    <w:rsid w:val="002C6E20"/>
    <w:rsid w:val="00333762"/>
    <w:rsid w:val="003C30CE"/>
    <w:rsid w:val="003E6785"/>
    <w:rsid w:val="006A5EC9"/>
    <w:rsid w:val="00713F72"/>
    <w:rsid w:val="00740693"/>
    <w:rsid w:val="007445EB"/>
    <w:rsid w:val="008224DF"/>
    <w:rsid w:val="00974EB5"/>
    <w:rsid w:val="009B3B76"/>
    <w:rsid w:val="00AD4B08"/>
    <w:rsid w:val="00B35375"/>
    <w:rsid w:val="00C80031"/>
    <w:rsid w:val="00EA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22EB5FF3-FCFE-490F-86B8-5C65FEBC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D17"/>
    <w:pPr>
      <w:overflowPunct w:val="0"/>
      <w:autoSpaceDE w:val="0"/>
      <w:autoSpaceDN w:val="0"/>
      <w:adjustRightInd w:val="0"/>
      <w:textAlignment w:val="baseline"/>
    </w:pPr>
    <w:rPr>
      <w:sz w:val="24"/>
    </w:rPr>
  </w:style>
  <w:style w:type="paragraph" w:styleId="Heading1">
    <w:name w:val="heading 1"/>
    <w:basedOn w:val="top"/>
    <w:next w:val="policytext"/>
    <w:qFormat/>
    <w:rsid w:val="00271D17"/>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271D17"/>
    <w:pPr>
      <w:tabs>
        <w:tab w:val="right" w:pos="9216"/>
      </w:tabs>
      <w:jc w:val="both"/>
    </w:pPr>
    <w:rPr>
      <w:smallCaps/>
    </w:rPr>
  </w:style>
  <w:style w:type="paragraph" w:customStyle="1" w:styleId="policytext">
    <w:name w:val="policytext"/>
    <w:rsid w:val="00271D17"/>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271D17"/>
    <w:pPr>
      <w:tabs>
        <w:tab w:val="clear" w:pos="9216"/>
      </w:tabs>
      <w:spacing w:before="120" w:after="240"/>
      <w:jc w:val="center"/>
    </w:pPr>
    <w:rPr>
      <w:b/>
      <w:smallCaps w:val="0"/>
      <w:sz w:val="28"/>
      <w:u w:val="words"/>
    </w:rPr>
  </w:style>
  <w:style w:type="paragraph" w:customStyle="1" w:styleId="sideheading">
    <w:name w:val="sideheading"/>
    <w:basedOn w:val="policytext"/>
    <w:next w:val="policytext"/>
    <w:rsid w:val="00271D17"/>
    <w:rPr>
      <w:b/>
      <w:smallCaps/>
    </w:rPr>
  </w:style>
  <w:style w:type="paragraph" w:customStyle="1" w:styleId="indent1">
    <w:name w:val="indent1"/>
    <w:basedOn w:val="policytext"/>
    <w:rsid w:val="00271D17"/>
    <w:pPr>
      <w:ind w:left="432"/>
    </w:pPr>
  </w:style>
  <w:style w:type="character" w:customStyle="1" w:styleId="ksbabold">
    <w:name w:val="ksba bold"/>
    <w:rsid w:val="00271D17"/>
    <w:rPr>
      <w:rFonts w:ascii="Times New Roman" w:hAnsi="Times New Roman"/>
      <w:b/>
      <w:sz w:val="24"/>
    </w:rPr>
  </w:style>
  <w:style w:type="character" w:customStyle="1" w:styleId="ksbanormal">
    <w:name w:val="ksba normal"/>
    <w:rsid w:val="00271D17"/>
    <w:rPr>
      <w:rFonts w:ascii="Times New Roman" w:hAnsi="Times New Roman"/>
      <w:sz w:val="24"/>
    </w:rPr>
  </w:style>
  <w:style w:type="paragraph" w:customStyle="1" w:styleId="List123">
    <w:name w:val="List123"/>
    <w:basedOn w:val="policytext"/>
    <w:rsid w:val="00271D17"/>
    <w:pPr>
      <w:ind w:left="936" w:hanging="360"/>
    </w:pPr>
  </w:style>
  <w:style w:type="paragraph" w:customStyle="1" w:styleId="Listabc">
    <w:name w:val="Listabc"/>
    <w:basedOn w:val="policytext"/>
    <w:rsid w:val="00271D17"/>
    <w:pPr>
      <w:ind w:left="1224" w:hanging="360"/>
    </w:pPr>
  </w:style>
  <w:style w:type="paragraph" w:customStyle="1" w:styleId="Reference">
    <w:name w:val="Reference"/>
    <w:basedOn w:val="policytext"/>
    <w:next w:val="policytext"/>
    <w:rsid w:val="00271D17"/>
    <w:pPr>
      <w:spacing w:after="0"/>
      <w:ind w:left="432"/>
    </w:pPr>
  </w:style>
  <w:style w:type="paragraph" w:customStyle="1" w:styleId="EndHeading">
    <w:name w:val="EndHeading"/>
    <w:basedOn w:val="sideheading"/>
    <w:rsid w:val="00271D17"/>
    <w:pPr>
      <w:spacing w:before="120"/>
    </w:pPr>
  </w:style>
  <w:style w:type="paragraph" w:customStyle="1" w:styleId="relatedsideheading">
    <w:name w:val="related sideheading"/>
    <w:basedOn w:val="sideheading"/>
    <w:rsid w:val="00271D17"/>
    <w:pPr>
      <w:spacing w:before="120"/>
    </w:pPr>
  </w:style>
  <w:style w:type="paragraph" w:styleId="MacroText">
    <w:name w:val="macro"/>
    <w:semiHidden/>
    <w:rsid w:val="00271D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271D17"/>
    <w:pPr>
      <w:ind w:left="360" w:hanging="360"/>
    </w:pPr>
  </w:style>
  <w:style w:type="paragraph" w:customStyle="1" w:styleId="certstyle">
    <w:name w:val="certstyle"/>
    <w:basedOn w:val="policytitle"/>
    <w:next w:val="policytitle"/>
    <w:rsid w:val="00271D17"/>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xpnote">
    <w:name w:val="expnote"/>
    <w:basedOn w:val="Heading1"/>
    <w:rsid w:val="00271D17"/>
    <w:pPr>
      <w:widowControl/>
      <w:outlineLvl w:val="9"/>
    </w:pPr>
    <w:rPr>
      <w:caps/>
      <w:smallCaps w:val="0"/>
      <w:sz w:val="20"/>
    </w:rPr>
  </w:style>
  <w:style w:type="paragraph" w:customStyle="1" w:styleId="policytextright">
    <w:name w:val="policytext+right"/>
    <w:basedOn w:val="policytext"/>
    <w:qFormat/>
    <w:rsid w:val="00271D17"/>
    <w:pPr>
      <w:spacing w:after="0"/>
      <w:jc w:val="right"/>
    </w:pPr>
  </w:style>
  <w:style w:type="character" w:styleId="Hyperlink">
    <w:name w:val="Hyperlink"/>
    <w:rsid w:val="00B35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60-00/380.pdf&amp;requesttype=krs" TargetMode="External"/><Relationship Id="rId13" Type="http://schemas.openxmlformats.org/officeDocument/2006/relationships/hyperlink" Target="http://policy.ksba.org//documentmanager.aspx?requestarticle=/civil/opinions/OAG91149.htm&amp;requesttype=oa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olicy.ksba.org//documentmanager.aspx?requestarticle=/civil/opinions/OAG76360.htm&amp;requesttype=oag" TargetMode="External"/><Relationship Id="rId17" Type="http://schemas.openxmlformats.org/officeDocument/2006/relationships/hyperlink" Target="http://policy.ksba.org//documentmanager.aspx?requestarticle=/civil/opinions/OAG9278.htm&amp;requesttype=oa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olicy.ksba.org//documentmanager.aspx?requestarticle=/civil/opinions/OAG92135.htm&amp;requesttype=o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ksba.org//DocumentManager.aspx?requestarticle=/KRS/160-00/380.pdf&amp;requesttype=k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licy.ksba.org//documentmanager.aspx?requestarticle=/civil/opinions/OAG91115.htm&amp;requesttype=oag" TargetMode="External"/><Relationship Id="rId23" Type="http://schemas.openxmlformats.org/officeDocument/2006/relationships/footer" Target="footer3.xml"/><Relationship Id="rId10" Type="http://schemas.openxmlformats.org/officeDocument/2006/relationships/hyperlink" Target="http://policy.ksba.org//documentmanager.aspx?requestarticle=/civil/opinions/OAG78266.htm&amp;requesttype=oa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olicy.ksba.org//DocumentManager.aspx?requestarticle=/KRS/161-00/760.pdf&amp;requesttype=krs" TargetMode="External"/><Relationship Id="rId14" Type="http://schemas.openxmlformats.org/officeDocument/2006/relationships/hyperlink" Target="http://policy.ksba.org//documentmanager.aspx?requestarticle=/civil/opinions/OAG921.htm&amp;requesttype=oag"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C61E0-3DCB-4C4A-BD1F-54406C60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APOLICYTEMP</Template>
  <TotalTime>0</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03.1311</vt:lpstr>
    </vt:vector>
  </TitlesOfParts>
  <Company>KSBA</Company>
  <LinksUpToDate>false</LinksUpToDate>
  <CharactersWithSpaces>4927</CharactersWithSpaces>
  <SharedDoc>false</SharedDoc>
  <HLinks>
    <vt:vector size="60" baseType="variant">
      <vt:variant>
        <vt:i4>2293796</vt:i4>
      </vt:variant>
      <vt:variant>
        <vt:i4>27</vt:i4>
      </vt:variant>
      <vt:variant>
        <vt:i4>0</vt:i4>
      </vt:variant>
      <vt:variant>
        <vt:i4>5</vt:i4>
      </vt:variant>
      <vt:variant>
        <vt:lpwstr>http://policy.ksba.org//documentmanager.aspx?requestarticle=/civil/opinions/OAG9278.htm&amp;requesttype=oag</vt:lpwstr>
      </vt:variant>
      <vt:variant>
        <vt:lpwstr/>
      </vt:variant>
      <vt:variant>
        <vt:i4>5505036</vt:i4>
      </vt:variant>
      <vt:variant>
        <vt:i4>24</vt:i4>
      </vt:variant>
      <vt:variant>
        <vt:i4>0</vt:i4>
      </vt:variant>
      <vt:variant>
        <vt:i4>5</vt:i4>
      </vt:variant>
      <vt:variant>
        <vt:lpwstr>http://policy.ksba.org//documentmanager.aspx?requestarticle=/civil/opinions/OAG92135.htm&amp;requesttype=oag</vt:lpwstr>
      </vt:variant>
      <vt:variant>
        <vt:lpwstr/>
      </vt:variant>
      <vt:variant>
        <vt:i4>5505037</vt:i4>
      </vt:variant>
      <vt:variant>
        <vt:i4>21</vt:i4>
      </vt:variant>
      <vt:variant>
        <vt:i4>0</vt:i4>
      </vt:variant>
      <vt:variant>
        <vt:i4>5</vt:i4>
      </vt:variant>
      <vt:variant>
        <vt:lpwstr>http://policy.ksba.org//documentmanager.aspx?requestarticle=/civil/opinions/OAG91115.htm&amp;requesttype=oag</vt:lpwstr>
      </vt:variant>
      <vt:variant>
        <vt:lpwstr/>
      </vt:variant>
      <vt:variant>
        <vt:i4>6357055</vt:i4>
      </vt:variant>
      <vt:variant>
        <vt:i4>18</vt:i4>
      </vt:variant>
      <vt:variant>
        <vt:i4>0</vt:i4>
      </vt:variant>
      <vt:variant>
        <vt:i4>5</vt:i4>
      </vt:variant>
      <vt:variant>
        <vt:lpwstr>http://policy.ksba.org//documentmanager.aspx?requestarticle=/civil/opinions/OAG921.htm&amp;requesttype=oag</vt:lpwstr>
      </vt:variant>
      <vt:variant>
        <vt:lpwstr/>
      </vt:variant>
      <vt:variant>
        <vt:i4>5767176</vt:i4>
      </vt:variant>
      <vt:variant>
        <vt:i4>15</vt:i4>
      </vt:variant>
      <vt:variant>
        <vt:i4>0</vt:i4>
      </vt:variant>
      <vt:variant>
        <vt:i4>5</vt:i4>
      </vt:variant>
      <vt:variant>
        <vt:lpwstr>http://policy.ksba.org//documentmanager.aspx?requestarticle=/civil/opinions/OAG91149.htm&amp;requesttype=oag</vt:lpwstr>
      </vt:variant>
      <vt:variant>
        <vt:lpwstr/>
      </vt:variant>
      <vt:variant>
        <vt:i4>6094861</vt:i4>
      </vt:variant>
      <vt:variant>
        <vt:i4>12</vt:i4>
      </vt:variant>
      <vt:variant>
        <vt:i4>0</vt:i4>
      </vt:variant>
      <vt:variant>
        <vt:i4>5</vt:i4>
      </vt:variant>
      <vt:variant>
        <vt:lpwstr>http://policy.ksba.org//documentmanager.aspx?requestarticle=/civil/opinions/OAG76360.htm&amp;requesttype=oag</vt:lpwstr>
      </vt:variant>
      <vt:variant>
        <vt:lpwstr/>
      </vt:variant>
      <vt:variant>
        <vt:i4>2490473</vt:i4>
      </vt:variant>
      <vt:variant>
        <vt:i4>9</vt:i4>
      </vt:variant>
      <vt:variant>
        <vt:i4>0</vt:i4>
      </vt:variant>
      <vt:variant>
        <vt:i4>5</vt:i4>
      </vt:variant>
      <vt:variant>
        <vt:lpwstr>http://policy.ksba.org//DocumentManager.aspx?requestarticle=/KRS/160-00/380.pdf&amp;requesttype=krs</vt:lpwstr>
      </vt:variant>
      <vt:variant>
        <vt:lpwstr/>
      </vt:variant>
      <vt:variant>
        <vt:i4>5898243</vt:i4>
      </vt:variant>
      <vt:variant>
        <vt:i4>6</vt:i4>
      </vt:variant>
      <vt:variant>
        <vt:i4>0</vt:i4>
      </vt:variant>
      <vt:variant>
        <vt:i4>5</vt:i4>
      </vt:variant>
      <vt:variant>
        <vt:lpwstr>http://policy.ksba.org//documentmanager.aspx?requestarticle=/civil/opinions/OAG78266.htm&amp;requesttype=oag</vt:lpwstr>
      </vt:variant>
      <vt:variant>
        <vt:lpwstr/>
      </vt:variant>
      <vt:variant>
        <vt:i4>2687085</vt:i4>
      </vt:variant>
      <vt:variant>
        <vt:i4>3</vt:i4>
      </vt:variant>
      <vt:variant>
        <vt:i4>0</vt:i4>
      </vt:variant>
      <vt:variant>
        <vt:i4>5</vt:i4>
      </vt:variant>
      <vt:variant>
        <vt:lpwstr>http://policy.ksba.org//DocumentManager.aspx?requestarticle=/KRS/161-00/760.pdf&amp;requesttype=krs</vt:lpwstr>
      </vt:variant>
      <vt:variant>
        <vt:lpwstr/>
      </vt:variant>
      <vt:variant>
        <vt:i4>2490473</vt:i4>
      </vt:variant>
      <vt:variant>
        <vt:i4>0</vt:i4>
      </vt:variant>
      <vt:variant>
        <vt:i4>0</vt:i4>
      </vt:variant>
      <vt:variant>
        <vt:i4>5</vt:i4>
      </vt:variant>
      <vt:variant>
        <vt:lpwstr>http://policy.ksba.org//DocumentManager.aspx?requestarticle=/KRS/160-00/380.pdf&amp;requesttype=krs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03.1311</dc:title>
  <dc:subject/>
  <dc:creator>Michelle</dc:creator>
  <cp:keywords/>
  <cp:lastModifiedBy>Egan, Becky - Secretary, Central Office</cp:lastModifiedBy>
  <cp:revision>2</cp:revision>
  <cp:lastPrinted>2017-11-22T23:33:00Z</cp:lastPrinted>
  <dcterms:created xsi:type="dcterms:W3CDTF">2018-10-02T19:10:00Z</dcterms:created>
  <dcterms:modified xsi:type="dcterms:W3CDTF">2018-10-02T19:10:00Z</dcterms:modified>
</cp:coreProperties>
</file>