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52" w:rsidRDefault="00103E88">
      <w:pPr>
        <w:pStyle w:val="Title"/>
        <w:contextualSpacing w:val="0"/>
      </w:pPr>
      <w:bookmarkStart w:id="0" w:name="_GoBack"/>
      <w:bookmarkEnd w:id="0"/>
      <w:r>
        <w:rPr>
          <w:noProof/>
        </w:rPr>
        <w:drawing>
          <wp:inline distT="19050" distB="19050" distL="19050" distR="19050">
            <wp:extent cx="1738313" cy="17442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738313" cy="1744225"/>
                    </a:xfrm>
                    <a:prstGeom prst="rect">
                      <a:avLst/>
                    </a:prstGeom>
                    <a:ln/>
                  </pic:spPr>
                </pic:pic>
              </a:graphicData>
            </a:graphic>
          </wp:inline>
        </w:drawing>
      </w:r>
    </w:p>
    <w:p w:rsidR="00997752" w:rsidRDefault="00997752"/>
    <w:p w:rsidR="00997752" w:rsidRDefault="00103E88">
      <w:pPr>
        <w:pStyle w:val="Title"/>
        <w:contextualSpacing w:val="0"/>
      </w:pPr>
      <w:r>
        <w:rPr>
          <w:sz w:val="56"/>
          <w:szCs w:val="56"/>
        </w:rPr>
        <w:t>Decision Paper</w:t>
      </w:r>
    </w:p>
    <w:tbl>
      <w:tblPr>
        <w:tblStyle w:val="a"/>
        <w:tblW w:w="9360" w:type="dxa"/>
        <w:tblLayout w:type="fixed"/>
        <w:tblLook w:val="0000" w:firstRow="0" w:lastRow="0" w:firstColumn="0" w:lastColumn="0" w:noHBand="0" w:noVBand="0"/>
      </w:tblPr>
      <w:tblGrid>
        <w:gridCol w:w="1110"/>
        <w:gridCol w:w="8250"/>
      </w:tblGrid>
      <w:tr w:rsidR="00997752">
        <w:trPr>
          <w:trHeight w:val="560"/>
        </w:trPr>
        <w:tc>
          <w:tcPr>
            <w:tcW w:w="1110" w:type="dxa"/>
          </w:tcPr>
          <w:p w:rsidR="00997752" w:rsidRDefault="00103E88">
            <w:pPr>
              <w:pStyle w:val="Heading1"/>
              <w:spacing w:after="0" w:line="240" w:lineRule="auto"/>
            </w:pPr>
            <w:r>
              <w:t>To:</w:t>
            </w:r>
          </w:p>
        </w:tc>
        <w:tc>
          <w:tcPr>
            <w:tcW w:w="8250" w:type="dxa"/>
          </w:tcPr>
          <w:p w:rsidR="00997752" w:rsidRDefault="00997752">
            <w:pPr>
              <w:spacing w:after="0" w:line="240" w:lineRule="auto"/>
            </w:pPr>
          </w:p>
          <w:p w:rsidR="00997752" w:rsidRDefault="00103E88">
            <w:pPr>
              <w:spacing w:after="0" w:line="240" w:lineRule="auto"/>
            </w:pPr>
            <w:r>
              <w:t>Nelson County Board of Education</w:t>
            </w:r>
          </w:p>
        </w:tc>
      </w:tr>
      <w:tr w:rsidR="00997752">
        <w:trPr>
          <w:trHeight w:val="560"/>
        </w:trPr>
        <w:tc>
          <w:tcPr>
            <w:tcW w:w="1110" w:type="dxa"/>
          </w:tcPr>
          <w:p w:rsidR="00997752" w:rsidRDefault="00103E88">
            <w:pPr>
              <w:pStyle w:val="Heading1"/>
              <w:spacing w:after="0" w:line="240" w:lineRule="auto"/>
            </w:pPr>
            <w:r>
              <w:t>From:</w:t>
            </w:r>
          </w:p>
        </w:tc>
        <w:tc>
          <w:tcPr>
            <w:tcW w:w="8250" w:type="dxa"/>
          </w:tcPr>
          <w:p w:rsidR="00997752" w:rsidRDefault="00997752">
            <w:pPr>
              <w:spacing w:after="0" w:line="240" w:lineRule="auto"/>
            </w:pPr>
          </w:p>
          <w:p w:rsidR="00997752" w:rsidRDefault="00103E88">
            <w:pPr>
              <w:spacing w:after="0" w:line="240" w:lineRule="auto"/>
            </w:pPr>
            <w:r>
              <w:t>Amy Owens, Chief Financial Officer</w:t>
            </w:r>
          </w:p>
        </w:tc>
      </w:tr>
      <w:tr w:rsidR="00997752">
        <w:trPr>
          <w:trHeight w:val="560"/>
        </w:trPr>
        <w:tc>
          <w:tcPr>
            <w:tcW w:w="1110" w:type="dxa"/>
          </w:tcPr>
          <w:p w:rsidR="00997752" w:rsidRDefault="00103E88">
            <w:pPr>
              <w:pStyle w:val="Heading1"/>
              <w:spacing w:after="0" w:line="240" w:lineRule="auto"/>
            </w:pPr>
            <w:r>
              <w:t>cc:</w:t>
            </w:r>
          </w:p>
        </w:tc>
        <w:tc>
          <w:tcPr>
            <w:tcW w:w="8250" w:type="dxa"/>
          </w:tcPr>
          <w:p w:rsidR="00997752" w:rsidRDefault="00997752">
            <w:pPr>
              <w:spacing w:after="0" w:line="240" w:lineRule="auto"/>
            </w:pPr>
          </w:p>
          <w:p w:rsidR="00997752" w:rsidRDefault="00103E88">
            <w:pPr>
              <w:spacing w:after="0" w:line="240" w:lineRule="auto"/>
            </w:pPr>
            <w:r>
              <w:t>Mr. Wes Bradley, Superintendent</w:t>
            </w:r>
          </w:p>
        </w:tc>
      </w:tr>
      <w:tr w:rsidR="00997752">
        <w:trPr>
          <w:trHeight w:val="560"/>
        </w:trPr>
        <w:tc>
          <w:tcPr>
            <w:tcW w:w="1110" w:type="dxa"/>
          </w:tcPr>
          <w:p w:rsidR="00997752" w:rsidRDefault="00103E88">
            <w:pPr>
              <w:pStyle w:val="Heading1"/>
              <w:spacing w:after="0" w:line="240" w:lineRule="auto"/>
            </w:pPr>
            <w:r>
              <w:t>Date:</w:t>
            </w:r>
          </w:p>
        </w:tc>
        <w:tc>
          <w:tcPr>
            <w:tcW w:w="8250" w:type="dxa"/>
          </w:tcPr>
          <w:p w:rsidR="00997752" w:rsidRDefault="00997752">
            <w:pPr>
              <w:spacing w:after="0" w:line="240" w:lineRule="auto"/>
            </w:pPr>
          </w:p>
          <w:p w:rsidR="00997752" w:rsidRDefault="00103E88">
            <w:pPr>
              <w:spacing w:after="0" w:line="240" w:lineRule="auto"/>
            </w:pPr>
            <w:r>
              <w:t>August 21, 2018</w:t>
            </w:r>
          </w:p>
        </w:tc>
      </w:tr>
      <w:tr w:rsidR="00997752">
        <w:trPr>
          <w:trHeight w:val="560"/>
        </w:trPr>
        <w:tc>
          <w:tcPr>
            <w:tcW w:w="1110" w:type="dxa"/>
          </w:tcPr>
          <w:p w:rsidR="00997752" w:rsidRDefault="00103E88">
            <w:pPr>
              <w:pStyle w:val="Heading1"/>
              <w:spacing w:after="0" w:line="240" w:lineRule="auto"/>
            </w:pPr>
            <w:r>
              <w:t>Re:</w:t>
            </w:r>
          </w:p>
        </w:tc>
        <w:tc>
          <w:tcPr>
            <w:tcW w:w="8250" w:type="dxa"/>
          </w:tcPr>
          <w:p w:rsidR="00997752" w:rsidRDefault="00997752">
            <w:pPr>
              <w:spacing w:after="0" w:line="240" w:lineRule="auto"/>
            </w:pPr>
          </w:p>
          <w:p w:rsidR="00997752" w:rsidRDefault="00103E88">
            <w:pPr>
              <w:spacing w:after="0" w:line="240" w:lineRule="auto"/>
            </w:pPr>
            <w:r>
              <w:t>LGE / KU Rate Case Intervention</w:t>
            </w:r>
          </w:p>
          <w:p w:rsidR="00997752" w:rsidRDefault="00997752">
            <w:pPr>
              <w:spacing w:after="0" w:line="240" w:lineRule="auto"/>
            </w:pPr>
          </w:p>
          <w:p w:rsidR="00997752" w:rsidRDefault="00997752">
            <w:pPr>
              <w:spacing w:after="0" w:line="240" w:lineRule="auto"/>
            </w:pPr>
          </w:p>
          <w:p w:rsidR="00997752" w:rsidRDefault="00997752">
            <w:pPr>
              <w:spacing w:after="0" w:line="240" w:lineRule="auto"/>
            </w:pPr>
          </w:p>
        </w:tc>
      </w:tr>
      <w:tr w:rsidR="00997752">
        <w:trPr>
          <w:trHeight w:val="280"/>
        </w:trPr>
        <w:tc>
          <w:tcPr>
            <w:tcW w:w="1110" w:type="dxa"/>
            <w:tcBorders>
              <w:bottom w:val="single" w:sz="4" w:space="0" w:color="000000"/>
            </w:tcBorders>
            <w:vAlign w:val="center"/>
          </w:tcPr>
          <w:p w:rsidR="00997752" w:rsidRDefault="00997752">
            <w:pPr>
              <w:spacing w:after="0" w:line="240" w:lineRule="auto"/>
            </w:pPr>
          </w:p>
        </w:tc>
        <w:tc>
          <w:tcPr>
            <w:tcW w:w="8250" w:type="dxa"/>
            <w:tcBorders>
              <w:bottom w:val="single" w:sz="4" w:space="0" w:color="000000"/>
            </w:tcBorders>
            <w:vAlign w:val="center"/>
          </w:tcPr>
          <w:p w:rsidR="00997752" w:rsidRDefault="00997752">
            <w:pPr>
              <w:spacing w:after="0" w:line="240" w:lineRule="auto"/>
            </w:pPr>
          </w:p>
        </w:tc>
      </w:tr>
    </w:tbl>
    <w:p w:rsidR="00997752" w:rsidRDefault="00103E88">
      <w:pPr>
        <w:spacing w:after="0" w:line="240" w:lineRule="auto"/>
      </w:pPr>
      <w:r>
        <w:t xml:space="preserve">                      </w:t>
      </w:r>
    </w:p>
    <w:p w:rsidR="00997752" w:rsidRDefault="00103E88">
      <w:pPr>
        <w:spacing w:after="0" w:line="240" w:lineRule="auto"/>
        <w:ind w:left="2880" w:hanging="2880"/>
      </w:pPr>
      <w:r>
        <w:rPr>
          <w:b/>
        </w:rPr>
        <w:t>RECOMMENDATION:</w:t>
      </w:r>
      <w:r>
        <w:rPr>
          <w:b/>
        </w:rPr>
        <w:tab/>
      </w:r>
      <w:r>
        <w:t>The Louisville Gas and Electric and Kentucky Utilities Companies have announced their intent to submit to the Public Service Commission for authority to increase electric and gas rates.   Proposed increases will include dissolution of the pilot rate New Ha</w:t>
      </w:r>
      <w:r>
        <w:t>ven School currently benefits from as well as an increase in the regular rate.  These increases will result in an increase in electric costs for New Haven School.  Although the specific amount is unknown, the pilot rate appears to have saved us approximate</w:t>
      </w:r>
      <w:r>
        <w:t>ly eight thousand dollars in the past year.  KSBA will be coordinating with school districts and is asking each district to cover a proportion share of legal fees.  The proportionate share for Nelson County School District will likely range between $251 an</w:t>
      </w:r>
      <w:r>
        <w:t>d $377.</w:t>
      </w:r>
    </w:p>
    <w:p w:rsidR="00997752" w:rsidRDefault="00997752">
      <w:pPr>
        <w:spacing w:after="0" w:line="240" w:lineRule="auto"/>
        <w:ind w:left="2880" w:hanging="2880"/>
      </w:pPr>
    </w:p>
    <w:p w:rsidR="00997752" w:rsidRDefault="00103E88">
      <w:pPr>
        <w:spacing w:after="0" w:line="240" w:lineRule="auto"/>
        <w:ind w:left="2880" w:hanging="2880"/>
        <w:rPr>
          <w:rFonts w:ascii="Arial Black" w:eastAsia="Arial Black" w:hAnsi="Arial Black" w:cs="Arial Black"/>
          <w:b/>
          <w:color w:val="000000"/>
        </w:rPr>
      </w:pPr>
      <w:r>
        <w:rPr>
          <w:b/>
        </w:rPr>
        <w:t>RECOMMENDED MOTION:</w:t>
      </w:r>
      <w:r>
        <w:t xml:space="preserve">  </w:t>
      </w:r>
      <w:r>
        <w:tab/>
        <w:t xml:space="preserve">I move that the Nelson County Board of Education </w:t>
      </w:r>
      <w:r>
        <w:t xml:space="preserve">authorize the superintendent to provide funding support to the Kentucky School Boards Association to represent the interests of the Board before the PSC.  </w:t>
      </w:r>
    </w:p>
    <w:sectPr w:rsidR="00997752">
      <w:footerReference w:type="default" r:id="rId7"/>
      <w:pgSz w:w="12240" w:h="15840"/>
      <w:pgMar w:top="180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E88" w:rsidRDefault="00103E88">
      <w:pPr>
        <w:spacing w:after="0" w:line="240" w:lineRule="auto"/>
      </w:pPr>
      <w:r>
        <w:separator/>
      </w:r>
    </w:p>
  </w:endnote>
  <w:endnote w:type="continuationSeparator" w:id="0">
    <w:p w:rsidR="00103E88" w:rsidRDefault="0010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52" w:rsidRDefault="00103E88">
    <w:pPr>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E88" w:rsidRDefault="00103E88">
      <w:pPr>
        <w:spacing w:after="0" w:line="240" w:lineRule="auto"/>
      </w:pPr>
      <w:r>
        <w:separator/>
      </w:r>
    </w:p>
  </w:footnote>
  <w:footnote w:type="continuationSeparator" w:id="0">
    <w:p w:rsidR="00103E88" w:rsidRDefault="00103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52"/>
    <w:rsid w:val="00103E88"/>
    <w:rsid w:val="0099172E"/>
    <w:rsid w:val="0099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EEAB3-8E4C-42D6-87B3-4AB896F5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Arial Black" w:eastAsia="Arial Black" w:hAnsi="Arial Black" w:cs="Arial Black"/>
      <w:b/>
      <w:color w:val="000000"/>
    </w:rPr>
  </w:style>
  <w:style w:type="paragraph" w:styleId="Heading2">
    <w:name w:val="heading 2"/>
    <w:basedOn w:val="Normal"/>
    <w:next w:val="Normal"/>
    <w:pPr>
      <w:keepNext/>
      <w:keepLines/>
      <w:outlineLvl w:val="1"/>
    </w:pPr>
    <w:rPr>
      <w:rFonts w:ascii="Arial Black" w:eastAsia="Arial Black" w:hAnsi="Arial Black" w:cs="Arial Black"/>
      <w:b/>
      <w:sz w:val="18"/>
      <w:szCs w:val="1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ind w:left="-720"/>
      <w:contextualSpacing/>
    </w:pPr>
    <w:rPr>
      <w:rFonts w:ascii="Arial Black" w:eastAsia="Arial Black" w:hAnsi="Arial Black" w:cs="Arial Black"/>
      <w:b/>
      <w:color w:val="000000"/>
      <w:sz w:val="96"/>
      <w:szCs w:val="9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Carla</dc:creator>
  <cp:lastModifiedBy>McKay, Carla</cp:lastModifiedBy>
  <cp:revision>2</cp:revision>
  <dcterms:created xsi:type="dcterms:W3CDTF">2018-08-17T20:56:00Z</dcterms:created>
  <dcterms:modified xsi:type="dcterms:W3CDTF">2018-08-17T20:56:00Z</dcterms:modified>
</cp:coreProperties>
</file>