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45" w:type="dxa"/>
        <w:tblCellMar>
          <w:top w:w="43" w:type="dxa"/>
          <w:left w:w="115" w:type="dxa"/>
          <w:bottom w:w="144" w:type="dxa"/>
          <w:right w:w="115" w:type="dxa"/>
        </w:tblCellMar>
        <w:tblLook w:val="04A0" w:firstRow="1" w:lastRow="0" w:firstColumn="1" w:lastColumn="0" w:noHBand="0" w:noVBand="1"/>
      </w:tblPr>
      <w:tblGrid>
        <w:gridCol w:w="3685"/>
        <w:gridCol w:w="5760"/>
      </w:tblGrid>
      <w:tr w:rsidR="00840740" w:rsidRPr="001608C1" w14:paraId="5DA2C9AA" w14:textId="77777777" w:rsidTr="005A7FD8">
        <w:trPr>
          <w:cantSplit/>
          <w:tblHeader/>
        </w:trPr>
        <w:tc>
          <w:tcPr>
            <w:tcW w:w="3685" w:type="dxa"/>
            <w:shd w:val="clear" w:color="auto" w:fill="C9C9C9" w:themeFill="accent3" w:themeFillTint="99"/>
            <w:vAlign w:val="center"/>
          </w:tcPr>
          <w:p w14:paraId="1179E2A6" w14:textId="77777777" w:rsidR="00840740" w:rsidRPr="001608C1" w:rsidRDefault="00840740" w:rsidP="005A7FD8">
            <w:pPr>
              <w:jc w:val="center"/>
              <w:rPr>
                <w:rFonts w:asciiTheme="majorHAnsi" w:hAnsiTheme="majorHAnsi" w:cstheme="majorHAnsi"/>
                <w:b/>
                <w:sz w:val="28"/>
              </w:rPr>
            </w:pPr>
            <w:r w:rsidRPr="001608C1">
              <w:rPr>
                <w:rFonts w:asciiTheme="majorHAnsi" w:hAnsiTheme="majorHAnsi" w:cstheme="majorHAnsi"/>
                <w:b/>
                <w:sz w:val="28"/>
              </w:rPr>
              <w:t>Item</w:t>
            </w:r>
          </w:p>
        </w:tc>
        <w:tc>
          <w:tcPr>
            <w:tcW w:w="5760" w:type="dxa"/>
            <w:shd w:val="clear" w:color="auto" w:fill="C9C9C9" w:themeFill="accent3" w:themeFillTint="99"/>
            <w:vAlign w:val="center"/>
          </w:tcPr>
          <w:p w14:paraId="0BF8AA1D" w14:textId="47ECC4D0" w:rsidR="00840740" w:rsidRPr="001608C1" w:rsidRDefault="001608C1" w:rsidP="005A7FD8">
            <w:pPr>
              <w:jc w:val="center"/>
              <w:rPr>
                <w:rFonts w:asciiTheme="majorHAnsi" w:hAnsiTheme="majorHAnsi" w:cstheme="majorHAnsi"/>
                <w:b/>
                <w:sz w:val="28"/>
              </w:rPr>
            </w:pPr>
            <w:r>
              <w:rPr>
                <w:rFonts w:asciiTheme="majorHAnsi" w:hAnsiTheme="majorHAnsi" w:cstheme="majorHAnsi"/>
                <w:b/>
                <w:sz w:val="28"/>
              </w:rPr>
              <w:t>Description</w:t>
            </w:r>
          </w:p>
        </w:tc>
      </w:tr>
      <w:tr w:rsidR="00840740" w:rsidRPr="001608C1" w14:paraId="0C7C6DE7" w14:textId="77777777" w:rsidTr="005A7FD8">
        <w:trPr>
          <w:cantSplit/>
        </w:trPr>
        <w:tc>
          <w:tcPr>
            <w:tcW w:w="3685" w:type="dxa"/>
          </w:tcPr>
          <w:p w14:paraId="491F6243" w14:textId="77777777" w:rsidR="00840740" w:rsidRPr="001608C1" w:rsidRDefault="00840740" w:rsidP="004D7003">
            <w:pPr>
              <w:rPr>
                <w:rFonts w:asciiTheme="majorHAnsi" w:hAnsiTheme="majorHAnsi" w:cstheme="majorHAnsi"/>
              </w:rPr>
            </w:pPr>
            <w:r w:rsidRPr="001608C1">
              <w:rPr>
                <w:rFonts w:asciiTheme="majorHAnsi" w:hAnsiTheme="majorHAnsi" w:cstheme="majorHAnsi"/>
              </w:rPr>
              <w:t>Seller</w:t>
            </w:r>
          </w:p>
        </w:tc>
        <w:tc>
          <w:tcPr>
            <w:tcW w:w="5760" w:type="dxa"/>
          </w:tcPr>
          <w:p w14:paraId="54098692" w14:textId="5BD16B32" w:rsidR="00840740" w:rsidRPr="001608C1" w:rsidRDefault="007311F8" w:rsidP="005A7FD8">
            <w:pPr>
              <w:rPr>
                <w:rFonts w:asciiTheme="majorHAnsi" w:hAnsiTheme="majorHAnsi" w:cstheme="majorHAnsi"/>
              </w:rPr>
            </w:pPr>
            <w:r w:rsidRPr="001608C1">
              <w:rPr>
                <w:rFonts w:asciiTheme="majorHAnsi" w:hAnsiTheme="majorHAnsi" w:cstheme="majorHAnsi"/>
              </w:rPr>
              <w:t>KyMEA</w:t>
            </w:r>
          </w:p>
        </w:tc>
      </w:tr>
      <w:tr w:rsidR="00840740" w:rsidRPr="001608C1" w14:paraId="20F70D95" w14:textId="77777777" w:rsidTr="005A7FD8">
        <w:trPr>
          <w:cantSplit/>
        </w:trPr>
        <w:tc>
          <w:tcPr>
            <w:tcW w:w="3685" w:type="dxa"/>
          </w:tcPr>
          <w:p w14:paraId="1C90E8BF" w14:textId="77777777" w:rsidR="00840740" w:rsidRPr="001608C1" w:rsidRDefault="00840740" w:rsidP="004D7003">
            <w:pPr>
              <w:rPr>
                <w:rFonts w:asciiTheme="majorHAnsi" w:hAnsiTheme="majorHAnsi" w:cstheme="majorHAnsi"/>
              </w:rPr>
            </w:pPr>
            <w:r w:rsidRPr="001608C1">
              <w:rPr>
                <w:rFonts w:asciiTheme="majorHAnsi" w:hAnsiTheme="majorHAnsi" w:cstheme="majorHAnsi"/>
              </w:rPr>
              <w:t>Buyer</w:t>
            </w:r>
          </w:p>
        </w:tc>
        <w:tc>
          <w:tcPr>
            <w:tcW w:w="5760" w:type="dxa"/>
          </w:tcPr>
          <w:p w14:paraId="0139C11C" w14:textId="6D6DC7E1" w:rsidR="007311F8" w:rsidRPr="001608C1" w:rsidRDefault="007311F8" w:rsidP="005A7FD8">
            <w:pPr>
              <w:rPr>
                <w:rFonts w:asciiTheme="majorHAnsi" w:hAnsiTheme="majorHAnsi" w:cstheme="majorHAnsi"/>
              </w:rPr>
            </w:pPr>
            <w:r w:rsidRPr="001608C1">
              <w:rPr>
                <w:rFonts w:asciiTheme="majorHAnsi" w:hAnsiTheme="majorHAnsi" w:cstheme="majorHAnsi"/>
              </w:rPr>
              <w:t>City of Berea, Kentucky</w:t>
            </w:r>
            <w:r w:rsidR="004D7003" w:rsidRPr="001608C1">
              <w:rPr>
                <w:rFonts w:asciiTheme="majorHAnsi" w:hAnsiTheme="majorHAnsi" w:cstheme="majorHAnsi"/>
              </w:rPr>
              <w:t xml:space="preserve"> (“Berea”)</w:t>
            </w:r>
          </w:p>
          <w:p w14:paraId="7E3DB934" w14:textId="37F305FE" w:rsidR="00840740" w:rsidRPr="001608C1" w:rsidRDefault="007311F8" w:rsidP="005A7FD8">
            <w:pPr>
              <w:rPr>
                <w:rFonts w:asciiTheme="majorHAnsi" w:hAnsiTheme="majorHAnsi" w:cstheme="majorHAnsi"/>
              </w:rPr>
            </w:pPr>
            <w:r w:rsidRPr="001608C1">
              <w:rPr>
                <w:rFonts w:asciiTheme="majorHAnsi" w:hAnsiTheme="majorHAnsi" w:cstheme="majorHAnsi"/>
              </w:rPr>
              <w:t>Berea Municipal Utilities</w:t>
            </w:r>
          </w:p>
        </w:tc>
      </w:tr>
      <w:tr w:rsidR="00840740" w:rsidRPr="001608C1" w14:paraId="66C9CA75" w14:textId="77777777" w:rsidTr="005A7FD8">
        <w:trPr>
          <w:cantSplit/>
        </w:trPr>
        <w:tc>
          <w:tcPr>
            <w:tcW w:w="3685" w:type="dxa"/>
          </w:tcPr>
          <w:p w14:paraId="40D0D330" w14:textId="1E987D4F" w:rsidR="00840740" w:rsidRPr="001608C1" w:rsidRDefault="00840740" w:rsidP="004D7003">
            <w:pPr>
              <w:rPr>
                <w:rFonts w:asciiTheme="majorHAnsi" w:hAnsiTheme="majorHAnsi" w:cstheme="majorHAnsi"/>
              </w:rPr>
            </w:pPr>
            <w:r w:rsidRPr="001608C1">
              <w:rPr>
                <w:rFonts w:asciiTheme="majorHAnsi" w:hAnsiTheme="majorHAnsi" w:cstheme="majorHAnsi"/>
              </w:rPr>
              <w:t>Product Description</w:t>
            </w:r>
          </w:p>
        </w:tc>
        <w:tc>
          <w:tcPr>
            <w:tcW w:w="5760" w:type="dxa"/>
          </w:tcPr>
          <w:p w14:paraId="2642ABE9" w14:textId="34974BAF" w:rsidR="00840740" w:rsidRPr="001608C1" w:rsidRDefault="007311F8" w:rsidP="005A7FD8">
            <w:pPr>
              <w:rPr>
                <w:rFonts w:asciiTheme="majorHAnsi" w:hAnsiTheme="majorHAnsi" w:cstheme="majorHAnsi"/>
              </w:rPr>
            </w:pPr>
            <w:r w:rsidRPr="001608C1">
              <w:rPr>
                <w:rFonts w:asciiTheme="majorHAnsi" w:hAnsiTheme="majorHAnsi" w:cstheme="majorHAnsi"/>
              </w:rPr>
              <w:t>Seasonal Capacity Sale – Winter Peak Planning Reserves</w:t>
            </w:r>
            <w:r w:rsidR="00BF42CD" w:rsidRPr="001608C1">
              <w:rPr>
                <w:rFonts w:asciiTheme="majorHAnsi" w:hAnsiTheme="majorHAnsi" w:cstheme="majorHAnsi"/>
              </w:rPr>
              <w:t xml:space="preserve"> sourced from Seller’s PPS power purchase agreement</w:t>
            </w:r>
          </w:p>
        </w:tc>
      </w:tr>
      <w:tr w:rsidR="00840740" w:rsidRPr="001608C1" w14:paraId="137AE94D" w14:textId="77777777" w:rsidTr="005A7FD8">
        <w:trPr>
          <w:cantSplit/>
        </w:trPr>
        <w:tc>
          <w:tcPr>
            <w:tcW w:w="3685" w:type="dxa"/>
          </w:tcPr>
          <w:p w14:paraId="6668C8E9" w14:textId="77777777" w:rsidR="00840740" w:rsidRPr="001608C1" w:rsidRDefault="00840740" w:rsidP="004D7003">
            <w:pPr>
              <w:rPr>
                <w:rFonts w:asciiTheme="majorHAnsi" w:hAnsiTheme="majorHAnsi" w:cstheme="majorHAnsi"/>
              </w:rPr>
            </w:pPr>
            <w:r w:rsidRPr="001608C1">
              <w:rPr>
                <w:rFonts w:asciiTheme="majorHAnsi" w:hAnsiTheme="majorHAnsi" w:cstheme="majorHAnsi"/>
              </w:rPr>
              <w:t>Term of Agreement</w:t>
            </w:r>
          </w:p>
        </w:tc>
        <w:tc>
          <w:tcPr>
            <w:tcW w:w="5760" w:type="dxa"/>
          </w:tcPr>
          <w:p w14:paraId="5CF08DC0" w14:textId="5D78A30E" w:rsidR="00840740" w:rsidRPr="001608C1" w:rsidRDefault="007311F8" w:rsidP="000C6EA3">
            <w:pPr>
              <w:rPr>
                <w:rFonts w:asciiTheme="majorHAnsi" w:hAnsiTheme="majorHAnsi" w:cstheme="majorHAnsi"/>
              </w:rPr>
            </w:pPr>
            <w:r w:rsidRPr="001608C1">
              <w:rPr>
                <w:rFonts w:asciiTheme="majorHAnsi" w:hAnsiTheme="majorHAnsi" w:cstheme="majorHAnsi"/>
              </w:rPr>
              <w:t>Beginning May 1, 2019</w:t>
            </w:r>
            <w:r w:rsidR="000C6EA3">
              <w:rPr>
                <w:rFonts w:asciiTheme="majorHAnsi" w:hAnsiTheme="majorHAnsi" w:cstheme="majorHAnsi"/>
              </w:rPr>
              <w:t xml:space="preserve">, annually renewable </w:t>
            </w:r>
            <w:r w:rsidRPr="001608C1">
              <w:rPr>
                <w:rFonts w:asciiTheme="majorHAnsi" w:hAnsiTheme="majorHAnsi" w:cstheme="majorHAnsi"/>
              </w:rPr>
              <w:t xml:space="preserve">for </w:t>
            </w:r>
            <w:r w:rsidR="000C6EA3">
              <w:rPr>
                <w:rFonts w:asciiTheme="majorHAnsi" w:hAnsiTheme="majorHAnsi" w:cstheme="majorHAnsi"/>
              </w:rPr>
              <w:t xml:space="preserve">a </w:t>
            </w:r>
            <w:r w:rsidRPr="001608C1">
              <w:rPr>
                <w:rFonts w:asciiTheme="majorHAnsi" w:hAnsiTheme="majorHAnsi" w:cstheme="majorHAnsi"/>
              </w:rPr>
              <w:t>5 years</w:t>
            </w:r>
            <w:r w:rsidR="000C6EA3">
              <w:rPr>
                <w:rFonts w:asciiTheme="majorHAnsi" w:hAnsiTheme="majorHAnsi" w:cstheme="majorHAnsi"/>
              </w:rPr>
              <w:t xml:space="preserve"> term</w:t>
            </w:r>
            <w:bookmarkStart w:id="0" w:name="_GoBack"/>
            <w:bookmarkEnd w:id="0"/>
            <w:r w:rsidR="000C6EA3">
              <w:rPr>
                <w:rFonts w:asciiTheme="majorHAnsi" w:hAnsiTheme="majorHAnsi" w:cstheme="majorHAnsi"/>
              </w:rPr>
              <w:t xml:space="preserve"> </w:t>
            </w:r>
          </w:p>
        </w:tc>
      </w:tr>
      <w:tr w:rsidR="00840740" w:rsidRPr="001608C1" w14:paraId="3C4E7CD9" w14:textId="77777777" w:rsidTr="005A7FD8">
        <w:trPr>
          <w:cantSplit/>
        </w:trPr>
        <w:tc>
          <w:tcPr>
            <w:tcW w:w="3685" w:type="dxa"/>
          </w:tcPr>
          <w:p w14:paraId="413F7E56" w14:textId="77777777" w:rsidR="00840740" w:rsidRPr="001608C1" w:rsidRDefault="00840740" w:rsidP="004D7003">
            <w:pPr>
              <w:rPr>
                <w:rFonts w:asciiTheme="majorHAnsi" w:hAnsiTheme="majorHAnsi" w:cstheme="majorHAnsi"/>
              </w:rPr>
            </w:pPr>
            <w:r w:rsidRPr="001608C1">
              <w:rPr>
                <w:rFonts w:asciiTheme="majorHAnsi" w:hAnsiTheme="majorHAnsi" w:cstheme="majorHAnsi"/>
              </w:rPr>
              <w:t>Capacity Amount by Year</w:t>
            </w:r>
          </w:p>
          <w:p w14:paraId="3BDE84CE" w14:textId="77777777" w:rsidR="00840740" w:rsidRPr="001608C1" w:rsidRDefault="00840740" w:rsidP="004D7003">
            <w:pPr>
              <w:ind w:left="360"/>
              <w:rPr>
                <w:rFonts w:asciiTheme="majorHAnsi" w:hAnsiTheme="majorHAnsi" w:cstheme="majorHAnsi"/>
              </w:rPr>
            </w:pPr>
          </w:p>
        </w:tc>
        <w:tc>
          <w:tcPr>
            <w:tcW w:w="5760" w:type="dxa"/>
          </w:tcPr>
          <w:p w14:paraId="7ADA8012" w14:textId="7B3A2615" w:rsidR="003F5BBA" w:rsidRPr="001608C1" w:rsidRDefault="003F5BBA" w:rsidP="003F5BBA">
            <w:pPr>
              <w:rPr>
                <w:rFonts w:asciiTheme="majorHAnsi" w:hAnsiTheme="majorHAnsi" w:cstheme="majorHAnsi"/>
              </w:rPr>
            </w:pPr>
            <w:r w:rsidRPr="001608C1">
              <w:rPr>
                <w:rFonts w:asciiTheme="majorHAnsi" w:hAnsiTheme="majorHAnsi" w:cstheme="majorHAnsi"/>
              </w:rPr>
              <w:t>January – March 2020</w:t>
            </w:r>
            <w:r w:rsidR="001608C1">
              <w:rPr>
                <w:rFonts w:asciiTheme="majorHAnsi" w:hAnsiTheme="majorHAnsi" w:cstheme="majorHAnsi"/>
              </w:rPr>
              <w:t xml:space="preserve"> </w:t>
            </w:r>
            <w:r w:rsidRPr="001608C1">
              <w:rPr>
                <w:rFonts w:asciiTheme="majorHAnsi" w:hAnsiTheme="majorHAnsi" w:cstheme="majorHAnsi"/>
              </w:rPr>
              <w:t>---- 10 MW</w:t>
            </w:r>
          </w:p>
          <w:p w14:paraId="2B703E5B" w14:textId="2FA13A59" w:rsidR="003F5BBA" w:rsidRPr="001608C1" w:rsidRDefault="003F5BBA" w:rsidP="003F5BBA">
            <w:pPr>
              <w:rPr>
                <w:rFonts w:asciiTheme="majorHAnsi" w:hAnsiTheme="majorHAnsi" w:cstheme="majorHAnsi"/>
              </w:rPr>
            </w:pPr>
            <w:r w:rsidRPr="001608C1">
              <w:rPr>
                <w:rFonts w:asciiTheme="majorHAnsi" w:hAnsiTheme="majorHAnsi" w:cstheme="majorHAnsi"/>
              </w:rPr>
              <w:t>January – March 2021 ---- 10 MW</w:t>
            </w:r>
          </w:p>
          <w:p w14:paraId="0C1500CE" w14:textId="6DE974C9" w:rsidR="003F5BBA" w:rsidRPr="001608C1" w:rsidRDefault="003F5BBA" w:rsidP="003F5BBA">
            <w:pPr>
              <w:rPr>
                <w:rFonts w:asciiTheme="majorHAnsi" w:hAnsiTheme="majorHAnsi" w:cstheme="majorHAnsi"/>
              </w:rPr>
            </w:pPr>
            <w:r w:rsidRPr="001608C1">
              <w:rPr>
                <w:rFonts w:asciiTheme="majorHAnsi" w:hAnsiTheme="majorHAnsi" w:cstheme="majorHAnsi"/>
              </w:rPr>
              <w:t>January – March 2022 ---- 10 MW</w:t>
            </w:r>
          </w:p>
          <w:p w14:paraId="1CCC86DA" w14:textId="07303301" w:rsidR="003F5BBA" w:rsidRPr="001608C1" w:rsidRDefault="003F5BBA" w:rsidP="003F5BBA">
            <w:pPr>
              <w:rPr>
                <w:rFonts w:asciiTheme="majorHAnsi" w:hAnsiTheme="majorHAnsi" w:cstheme="majorHAnsi"/>
              </w:rPr>
            </w:pPr>
            <w:r w:rsidRPr="001608C1">
              <w:rPr>
                <w:rFonts w:asciiTheme="majorHAnsi" w:hAnsiTheme="majorHAnsi" w:cstheme="majorHAnsi"/>
              </w:rPr>
              <w:t>January – March 2023 ---- 10 MW</w:t>
            </w:r>
          </w:p>
          <w:p w14:paraId="6299AB53" w14:textId="5F6C9A79" w:rsidR="00840740" w:rsidRPr="001608C1" w:rsidRDefault="003F5BBA" w:rsidP="003F5BBA">
            <w:pPr>
              <w:rPr>
                <w:rFonts w:asciiTheme="majorHAnsi" w:hAnsiTheme="majorHAnsi" w:cstheme="majorHAnsi"/>
              </w:rPr>
            </w:pPr>
            <w:r w:rsidRPr="001608C1">
              <w:rPr>
                <w:rFonts w:asciiTheme="majorHAnsi" w:hAnsiTheme="majorHAnsi" w:cstheme="majorHAnsi"/>
              </w:rPr>
              <w:t>January – March 2024 ---- 10 MW</w:t>
            </w:r>
          </w:p>
        </w:tc>
      </w:tr>
      <w:tr w:rsidR="00840740" w:rsidRPr="001608C1" w14:paraId="5EFF2CDD" w14:textId="77777777" w:rsidTr="005A7FD8">
        <w:trPr>
          <w:cantSplit/>
        </w:trPr>
        <w:tc>
          <w:tcPr>
            <w:tcW w:w="3685" w:type="dxa"/>
          </w:tcPr>
          <w:p w14:paraId="138CF25D" w14:textId="7D8303E8" w:rsidR="00840740" w:rsidRPr="001608C1" w:rsidRDefault="00840740" w:rsidP="003F5BBA">
            <w:pPr>
              <w:rPr>
                <w:rFonts w:asciiTheme="majorHAnsi" w:hAnsiTheme="majorHAnsi" w:cstheme="majorHAnsi"/>
              </w:rPr>
            </w:pPr>
            <w:r w:rsidRPr="001608C1">
              <w:rPr>
                <w:rFonts w:asciiTheme="majorHAnsi" w:hAnsiTheme="majorHAnsi" w:cstheme="majorHAnsi"/>
              </w:rPr>
              <w:t>Capacity Price</w:t>
            </w:r>
          </w:p>
        </w:tc>
        <w:tc>
          <w:tcPr>
            <w:tcW w:w="5760" w:type="dxa"/>
          </w:tcPr>
          <w:p w14:paraId="2CDACE39" w14:textId="71454D91" w:rsidR="003F5BBA" w:rsidRPr="001608C1" w:rsidRDefault="003F5BBA" w:rsidP="003F5BBA">
            <w:pPr>
              <w:rPr>
                <w:rFonts w:asciiTheme="majorHAnsi" w:hAnsiTheme="majorHAnsi" w:cstheme="majorHAnsi"/>
              </w:rPr>
            </w:pPr>
            <w:r w:rsidRPr="001608C1">
              <w:rPr>
                <w:rFonts w:asciiTheme="majorHAnsi" w:hAnsiTheme="majorHAnsi" w:cstheme="majorHAnsi"/>
              </w:rPr>
              <w:t xml:space="preserve">January – March 2020 ---- </w:t>
            </w:r>
            <w:r w:rsidR="00A03D67" w:rsidRPr="001608C1">
              <w:rPr>
                <w:rFonts w:asciiTheme="majorHAnsi" w:hAnsiTheme="majorHAnsi" w:cstheme="majorHAnsi"/>
              </w:rPr>
              <w:t>$3.85 per kW-month</w:t>
            </w:r>
          </w:p>
          <w:p w14:paraId="61261E26" w14:textId="74A56DFF" w:rsidR="003F5BBA" w:rsidRPr="001608C1" w:rsidRDefault="003F5BBA" w:rsidP="003F5BBA">
            <w:pPr>
              <w:rPr>
                <w:rFonts w:asciiTheme="majorHAnsi" w:hAnsiTheme="majorHAnsi" w:cstheme="majorHAnsi"/>
              </w:rPr>
            </w:pPr>
            <w:r w:rsidRPr="001608C1">
              <w:rPr>
                <w:rFonts w:asciiTheme="majorHAnsi" w:hAnsiTheme="majorHAnsi" w:cstheme="majorHAnsi"/>
              </w:rPr>
              <w:t xml:space="preserve">January – March 2021 ---- </w:t>
            </w:r>
            <w:r w:rsidR="00A03D67" w:rsidRPr="001608C1">
              <w:rPr>
                <w:rFonts w:asciiTheme="majorHAnsi" w:hAnsiTheme="majorHAnsi" w:cstheme="majorHAnsi"/>
              </w:rPr>
              <w:t>$</w:t>
            </w:r>
            <w:r w:rsidR="007046A1" w:rsidRPr="001608C1">
              <w:rPr>
                <w:rFonts w:asciiTheme="majorHAnsi" w:hAnsiTheme="majorHAnsi" w:cstheme="majorHAnsi"/>
              </w:rPr>
              <w:t>3.85 per kW-month</w:t>
            </w:r>
          </w:p>
          <w:p w14:paraId="0E5F6F8D" w14:textId="2B691208" w:rsidR="003F5BBA" w:rsidRPr="001608C1" w:rsidRDefault="003F5BBA" w:rsidP="003F5BBA">
            <w:pPr>
              <w:rPr>
                <w:rFonts w:asciiTheme="majorHAnsi" w:hAnsiTheme="majorHAnsi" w:cstheme="majorHAnsi"/>
              </w:rPr>
            </w:pPr>
            <w:r w:rsidRPr="001608C1">
              <w:rPr>
                <w:rFonts w:asciiTheme="majorHAnsi" w:hAnsiTheme="majorHAnsi" w:cstheme="majorHAnsi"/>
              </w:rPr>
              <w:t xml:space="preserve">January – March 2022 ---- </w:t>
            </w:r>
            <w:r w:rsidR="007046A1" w:rsidRPr="001608C1">
              <w:rPr>
                <w:rFonts w:asciiTheme="majorHAnsi" w:hAnsiTheme="majorHAnsi" w:cstheme="majorHAnsi"/>
              </w:rPr>
              <w:t>$3.85 per kW-month</w:t>
            </w:r>
          </w:p>
          <w:p w14:paraId="7E471C3B" w14:textId="6D1EE98A" w:rsidR="003F5BBA" w:rsidRPr="001608C1" w:rsidRDefault="003F5BBA" w:rsidP="003F5BBA">
            <w:pPr>
              <w:rPr>
                <w:rFonts w:asciiTheme="majorHAnsi" w:hAnsiTheme="majorHAnsi" w:cstheme="majorHAnsi"/>
              </w:rPr>
            </w:pPr>
            <w:r w:rsidRPr="001608C1">
              <w:rPr>
                <w:rFonts w:asciiTheme="majorHAnsi" w:hAnsiTheme="majorHAnsi" w:cstheme="majorHAnsi"/>
              </w:rPr>
              <w:t xml:space="preserve">January – March 2023 ---- </w:t>
            </w:r>
            <w:r w:rsidR="007046A1" w:rsidRPr="001608C1">
              <w:rPr>
                <w:rFonts w:asciiTheme="majorHAnsi" w:hAnsiTheme="majorHAnsi" w:cstheme="majorHAnsi"/>
              </w:rPr>
              <w:t>**</w:t>
            </w:r>
          </w:p>
          <w:p w14:paraId="63733B9F" w14:textId="1D514AFB" w:rsidR="00840740" w:rsidRPr="001608C1" w:rsidRDefault="003F5BBA" w:rsidP="003F5BBA">
            <w:pPr>
              <w:rPr>
                <w:rFonts w:asciiTheme="majorHAnsi" w:hAnsiTheme="majorHAnsi" w:cstheme="majorHAnsi"/>
              </w:rPr>
            </w:pPr>
            <w:r w:rsidRPr="001608C1">
              <w:rPr>
                <w:rFonts w:asciiTheme="majorHAnsi" w:hAnsiTheme="majorHAnsi" w:cstheme="majorHAnsi"/>
              </w:rPr>
              <w:t xml:space="preserve">January – March 2024 ---- </w:t>
            </w:r>
            <w:r w:rsidR="007046A1" w:rsidRPr="001608C1">
              <w:rPr>
                <w:rFonts w:asciiTheme="majorHAnsi" w:hAnsiTheme="majorHAnsi" w:cstheme="majorHAnsi"/>
              </w:rPr>
              <w:t>**</w:t>
            </w:r>
          </w:p>
          <w:p w14:paraId="213A91FC" w14:textId="428FF815" w:rsidR="007046A1" w:rsidRPr="001608C1" w:rsidRDefault="007046A1" w:rsidP="001608C1">
            <w:pPr>
              <w:spacing w:before="120"/>
              <w:rPr>
                <w:rFonts w:asciiTheme="majorHAnsi" w:hAnsiTheme="majorHAnsi" w:cstheme="majorHAnsi"/>
              </w:rPr>
            </w:pPr>
            <w:r w:rsidRPr="001608C1">
              <w:rPr>
                <w:rFonts w:asciiTheme="majorHAnsi" w:hAnsiTheme="majorHAnsi" w:cstheme="majorHAnsi"/>
              </w:rPr>
              <w:t xml:space="preserve">** </w:t>
            </w:r>
            <w:r w:rsidR="000E27C1" w:rsidRPr="001608C1">
              <w:rPr>
                <w:rFonts w:asciiTheme="majorHAnsi" w:hAnsiTheme="majorHAnsi" w:cstheme="majorHAnsi"/>
              </w:rPr>
              <w:t xml:space="preserve">After May 31, 2022, </w:t>
            </w:r>
            <w:r w:rsidRPr="001608C1">
              <w:rPr>
                <w:rFonts w:asciiTheme="majorHAnsi" w:hAnsiTheme="majorHAnsi" w:cstheme="majorHAnsi"/>
              </w:rPr>
              <w:t>the capacity price shall be adjusted each year in accordance with the provisions for “CPI Adjustment of Monthly Capacity Price” set forth in Appendix B</w:t>
            </w:r>
            <w:r w:rsidR="000E27C1" w:rsidRPr="001608C1">
              <w:rPr>
                <w:rFonts w:asciiTheme="majorHAnsi" w:hAnsiTheme="majorHAnsi" w:cstheme="majorHAnsi"/>
              </w:rPr>
              <w:t xml:space="preserve"> (attached)</w:t>
            </w:r>
          </w:p>
        </w:tc>
      </w:tr>
      <w:tr w:rsidR="00840740" w:rsidRPr="001608C1" w14:paraId="036C97B9" w14:textId="77777777" w:rsidTr="005A7FD8">
        <w:trPr>
          <w:cantSplit/>
          <w:trHeight w:val="199"/>
        </w:trPr>
        <w:tc>
          <w:tcPr>
            <w:tcW w:w="3685" w:type="dxa"/>
          </w:tcPr>
          <w:p w14:paraId="7E68FC96" w14:textId="77777777" w:rsidR="00840740" w:rsidRPr="001608C1" w:rsidRDefault="00840740" w:rsidP="004D7003">
            <w:pPr>
              <w:rPr>
                <w:rFonts w:asciiTheme="majorHAnsi" w:hAnsiTheme="majorHAnsi" w:cstheme="majorHAnsi"/>
              </w:rPr>
            </w:pPr>
            <w:r w:rsidRPr="001608C1">
              <w:rPr>
                <w:rFonts w:asciiTheme="majorHAnsi" w:hAnsiTheme="majorHAnsi" w:cstheme="majorHAnsi"/>
              </w:rPr>
              <w:t>Energy Price (Contract Rate)</w:t>
            </w:r>
          </w:p>
        </w:tc>
        <w:tc>
          <w:tcPr>
            <w:tcW w:w="5760" w:type="dxa"/>
          </w:tcPr>
          <w:p w14:paraId="1CAF12AF" w14:textId="77234DA2" w:rsidR="00840740" w:rsidRPr="001608C1" w:rsidRDefault="0096195D" w:rsidP="005A7FD8">
            <w:pPr>
              <w:rPr>
                <w:rFonts w:asciiTheme="majorHAnsi" w:hAnsiTheme="majorHAnsi" w:cstheme="majorHAnsi"/>
              </w:rPr>
            </w:pPr>
            <w:r>
              <w:rPr>
                <w:rFonts w:asciiTheme="majorHAnsi" w:hAnsiTheme="majorHAnsi" w:cstheme="majorHAnsi"/>
              </w:rPr>
              <w:t xml:space="preserve">During the proposed Term of Agreement, </w:t>
            </w:r>
            <w:r w:rsidR="004D7003" w:rsidRPr="001608C1">
              <w:rPr>
                <w:rFonts w:asciiTheme="majorHAnsi" w:hAnsiTheme="majorHAnsi" w:cstheme="majorHAnsi"/>
              </w:rPr>
              <w:t xml:space="preserve">Buyer’s energy </w:t>
            </w:r>
            <w:r w:rsidR="003F5BBA" w:rsidRPr="001608C1">
              <w:rPr>
                <w:rFonts w:asciiTheme="majorHAnsi" w:hAnsiTheme="majorHAnsi" w:cstheme="majorHAnsi"/>
              </w:rPr>
              <w:t xml:space="preserve">will </w:t>
            </w:r>
            <w:r>
              <w:rPr>
                <w:rFonts w:asciiTheme="majorHAnsi" w:hAnsiTheme="majorHAnsi" w:cstheme="majorHAnsi"/>
              </w:rPr>
              <w:t>normally b</w:t>
            </w:r>
            <w:r w:rsidR="003F5BBA" w:rsidRPr="001608C1">
              <w:rPr>
                <w:rFonts w:asciiTheme="majorHAnsi" w:hAnsiTheme="majorHAnsi" w:cstheme="majorHAnsi"/>
              </w:rPr>
              <w:t xml:space="preserve">e </w:t>
            </w:r>
            <w:r w:rsidR="004D7003" w:rsidRPr="001608C1">
              <w:rPr>
                <w:rFonts w:asciiTheme="majorHAnsi" w:hAnsiTheme="majorHAnsi" w:cstheme="majorHAnsi"/>
              </w:rPr>
              <w:t xml:space="preserve">supplied by AMP </w:t>
            </w:r>
            <w:r>
              <w:rPr>
                <w:rFonts w:asciiTheme="majorHAnsi" w:hAnsiTheme="majorHAnsi" w:cstheme="majorHAnsi"/>
              </w:rPr>
              <w:t>pursuant to</w:t>
            </w:r>
            <w:r w:rsidR="004D7003" w:rsidRPr="001608C1">
              <w:rPr>
                <w:rFonts w:asciiTheme="majorHAnsi" w:hAnsiTheme="majorHAnsi" w:cstheme="majorHAnsi"/>
              </w:rPr>
              <w:t xml:space="preserve"> a 5-year LD firm market agreement from the MISO Indiana Hub to the MISO-LGEE interface</w:t>
            </w:r>
            <w:r w:rsidR="003F5BBA" w:rsidRPr="001608C1">
              <w:rPr>
                <w:rFonts w:asciiTheme="majorHAnsi" w:hAnsiTheme="majorHAnsi" w:cstheme="majorHAnsi"/>
              </w:rPr>
              <w:t>.  To the extent that Buyer schedules energy from Seller’s resource, energy pricing will be Seller’s avoided cost</w:t>
            </w:r>
            <w:r>
              <w:rPr>
                <w:rFonts w:asciiTheme="majorHAnsi" w:hAnsiTheme="majorHAnsi" w:cstheme="majorHAnsi"/>
              </w:rPr>
              <w:t>.</w:t>
            </w:r>
          </w:p>
        </w:tc>
      </w:tr>
      <w:tr w:rsidR="00840740" w:rsidRPr="001608C1" w14:paraId="7DFD4F55" w14:textId="77777777" w:rsidTr="005A7FD8">
        <w:trPr>
          <w:cantSplit/>
        </w:trPr>
        <w:tc>
          <w:tcPr>
            <w:tcW w:w="3685" w:type="dxa"/>
          </w:tcPr>
          <w:p w14:paraId="78054701" w14:textId="77777777" w:rsidR="00840740" w:rsidRPr="001608C1" w:rsidRDefault="00840740" w:rsidP="004D7003">
            <w:pPr>
              <w:rPr>
                <w:rFonts w:asciiTheme="majorHAnsi" w:hAnsiTheme="majorHAnsi" w:cstheme="majorHAnsi"/>
              </w:rPr>
            </w:pPr>
            <w:r w:rsidRPr="001608C1">
              <w:rPr>
                <w:rFonts w:asciiTheme="majorHAnsi" w:hAnsiTheme="majorHAnsi" w:cstheme="majorHAnsi"/>
              </w:rPr>
              <w:t>Delivery Point</w:t>
            </w:r>
          </w:p>
        </w:tc>
        <w:tc>
          <w:tcPr>
            <w:tcW w:w="5760" w:type="dxa"/>
          </w:tcPr>
          <w:p w14:paraId="7D81F768" w14:textId="246FB7A3" w:rsidR="00840740" w:rsidRPr="001608C1" w:rsidRDefault="00BF42CD" w:rsidP="005A7FD8">
            <w:pPr>
              <w:rPr>
                <w:rFonts w:asciiTheme="majorHAnsi" w:hAnsiTheme="majorHAnsi" w:cstheme="majorHAnsi"/>
              </w:rPr>
            </w:pPr>
            <w:r w:rsidRPr="001608C1">
              <w:rPr>
                <w:rFonts w:asciiTheme="majorHAnsi" w:hAnsiTheme="majorHAnsi" w:cstheme="majorHAnsi"/>
              </w:rPr>
              <w:t>PPS</w:t>
            </w:r>
            <w:r w:rsidR="00885C91" w:rsidRPr="001608C1">
              <w:rPr>
                <w:rFonts w:asciiTheme="majorHAnsi" w:hAnsiTheme="majorHAnsi" w:cstheme="majorHAnsi"/>
              </w:rPr>
              <w:t xml:space="preserve"> interconnection with </w:t>
            </w:r>
            <w:r w:rsidRPr="001608C1">
              <w:rPr>
                <w:rFonts w:asciiTheme="majorHAnsi" w:hAnsiTheme="majorHAnsi" w:cstheme="majorHAnsi"/>
              </w:rPr>
              <w:t>LGEE</w:t>
            </w:r>
          </w:p>
        </w:tc>
      </w:tr>
      <w:tr w:rsidR="00840740" w:rsidRPr="001608C1" w14:paraId="6CD397EF" w14:textId="77777777" w:rsidTr="005A7FD8">
        <w:trPr>
          <w:cantSplit/>
        </w:trPr>
        <w:tc>
          <w:tcPr>
            <w:tcW w:w="3685" w:type="dxa"/>
          </w:tcPr>
          <w:p w14:paraId="04FBE848" w14:textId="5F305F62" w:rsidR="00840740" w:rsidRPr="001608C1" w:rsidRDefault="004D7003" w:rsidP="004D7003">
            <w:pPr>
              <w:rPr>
                <w:rFonts w:asciiTheme="majorHAnsi" w:hAnsiTheme="majorHAnsi" w:cstheme="majorHAnsi"/>
              </w:rPr>
            </w:pPr>
            <w:r w:rsidRPr="001608C1">
              <w:rPr>
                <w:rFonts w:asciiTheme="majorHAnsi" w:hAnsiTheme="majorHAnsi" w:cstheme="majorHAnsi"/>
              </w:rPr>
              <w:t>Transmission Service Arrangements</w:t>
            </w:r>
          </w:p>
        </w:tc>
        <w:tc>
          <w:tcPr>
            <w:tcW w:w="5760" w:type="dxa"/>
          </w:tcPr>
          <w:p w14:paraId="4F0ACFD2" w14:textId="32E482A4" w:rsidR="00840740" w:rsidRPr="001608C1" w:rsidRDefault="004D7003" w:rsidP="005A7FD8">
            <w:pPr>
              <w:rPr>
                <w:rFonts w:asciiTheme="majorHAnsi" w:hAnsiTheme="majorHAnsi" w:cstheme="majorHAnsi"/>
              </w:rPr>
            </w:pPr>
            <w:r w:rsidRPr="001608C1">
              <w:rPr>
                <w:rFonts w:asciiTheme="majorHAnsi" w:hAnsiTheme="majorHAnsi" w:cstheme="majorHAnsi"/>
              </w:rPr>
              <w:t>Buyer is a Transmission Service Member of Seller</w:t>
            </w:r>
            <w:r w:rsidR="00824EF5" w:rsidRPr="001608C1">
              <w:rPr>
                <w:rFonts w:asciiTheme="majorHAnsi" w:hAnsiTheme="majorHAnsi" w:cstheme="majorHAnsi"/>
              </w:rPr>
              <w:t xml:space="preserve">.  </w:t>
            </w:r>
            <w:r w:rsidRPr="001608C1">
              <w:rPr>
                <w:rFonts w:asciiTheme="majorHAnsi" w:hAnsiTheme="majorHAnsi" w:cstheme="majorHAnsi"/>
              </w:rPr>
              <w:t>Seller has obtained Network Integrated Transmission Service on the LGEE system including Buyer’s delivery points</w:t>
            </w:r>
          </w:p>
        </w:tc>
      </w:tr>
      <w:tr w:rsidR="00840740" w:rsidRPr="001608C1" w14:paraId="4FF05A46" w14:textId="77777777" w:rsidTr="005A7FD8">
        <w:trPr>
          <w:cantSplit/>
        </w:trPr>
        <w:tc>
          <w:tcPr>
            <w:tcW w:w="3685" w:type="dxa"/>
          </w:tcPr>
          <w:p w14:paraId="38592003" w14:textId="6D5DFEB2" w:rsidR="00840740" w:rsidRPr="001608C1" w:rsidRDefault="00840740" w:rsidP="004D7003">
            <w:pPr>
              <w:rPr>
                <w:rFonts w:asciiTheme="majorHAnsi" w:hAnsiTheme="majorHAnsi" w:cstheme="majorHAnsi"/>
              </w:rPr>
            </w:pPr>
            <w:r w:rsidRPr="001608C1">
              <w:rPr>
                <w:rFonts w:asciiTheme="majorHAnsi" w:hAnsiTheme="majorHAnsi" w:cstheme="majorHAnsi"/>
              </w:rPr>
              <w:lastRenderedPageBreak/>
              <w:t>Scheduling</w:t>
            </w:r>
          </w:p>
        </w:tc>
        <w:tc>
          <w:tcPr>
            <w:tcW w:w="5760" w:type="dxa"/>
          </w:tcPr>
          <w:p w14:paraId="4E2DD926" w14:textId="5486BAF2" w:rsidR="00840740" w:rsidRPr="001608C1" w:rsidRDefault="003F5BBA" w:rsidP="005A7FD8">
            <w:pPr>
              <w:rPr>
                <w:rFonts w:asciiTheme="majorHAnsi" w:hAnsiTheme="majorHAnsi" w:cstheme="majorHAnsi"/>
              </w:rPr>
            </w:pPr>
            <w:r w:rsidRPr="001608C1">
              <w:rPr>
                <w:rFonts w:asciiTheme="majorHAnsi" w:hAnsiTheme="majorHAnsi" w:cstheme="majorHAnsi"/>
              </w:rPr>
              <w:t>Buyer can schedule up to 10 MW</w:t>
            </w:r>
            <w:r w:rsidR="00824EF5" w:rsidRPr="001608C1">
              <w:rPr>
                <w:rFonts w:asciiTheme="majorHAnsi" w:hAnsiTheme="majorHAnsi" w:cstheme="majorHAnsi"/>
              </w:rPr>
              <w:t xml:space="preserve"> during the months of January, February, and March on a day-ahead </w:t>
            </w:r>
            <w:r w:rsidR="00095B2E">
              <w:rPr>
                <w:rFonts w:asciiTheme="majorHAnsi" w:hAnsiTheme="majorHAnsi" w:cstheme="majorHAnsi"/>
              </w:rPr>
              <w:t>or other mutually-agreeable basis</w:t>
            </w:r>
            <w:r w:rsidR="00824EF5" w:rsidRPr="001608C1">
              <w:rPr>
                <w:rFonts w:asciiTheme="majorHAnsi" w:hAnsiTheme="majorHAnsi" w:cstheme="majorHAnsi"/>
              </w:rPr>
              <w:t>.</w:t>
            </w:r>
          </w:p>
        </w:tc>
      </w:tr>
      <w:tr w:rsidR="00840740" w:rsidRPr="001608C1" w14:paraId="1CAD7AF9" w14:textId="77777777" w:rsidTr="005A7FD8">
        <w:trPr>
          <w:cantSplit/>
          <w:trHeight w:val="27"/>
        </w:trPr>
        <w:tc>
          <w:tcPr>
            <w:tcW w:w="3685" w:type="dxa"/>
          </w:tcPr>
          <w:p w14:paraId="462E160A" w14:textId="6030792F" w:rsidR="00840740" w:rsidRPr="001608C1" w:rsidRDefault="00F075C8" w:rsidP="004D7003">
            <w:pPr>
              <w:rPr>
                <w:rFonts w:asciiTheme="majorHAnsi" w:hAnsiTheme="majorHAnsi" w:cstheme="majorHAnsi"/>
              </w:rPr>
            </w:pPr>
            <w:r>
              <w:rPr>
                <w:rFonts w:asciiTheme="majorHAnsi" w:hAnsiTheme="majorHAnsi" w:cstheme="majorHAnsi"/>
              </w:rPr>
              <w:t>Payment</w:t>
            </w:r>
          </w:p>
        </w:tc>
        <w:tc>
          <w:tcPr>
            <w:tcW w:w="5760" w:type="dxa"/>
          </w:tcPr>
          <w:p w14:paraId="711062DC" w14:textId="41A8532F" w:rsidR="00840740" w:rsidRPr="001608C1" w:rsidRDefault="00F075C8" w:rsidP="005A7FD8">
            <w:pPr>
              <w:rPr>
                <w:rFonts w:asciiTheme="majorHAnsi" w:hAnsiTheme="majorHAnsi" w:cstheme="majorHAnsi"/>
              </w:rPr>
            </w:pPr>
            <w:r>
              <w:rPr>
                <w:rFonts w:asciiTheme="majorHAnsi" w:hAnsiTheme="majorHAnsi" w:cstheme="majorHAnsi"/>
              </w:rPr>
              <w:t>TBD – Buyer may choose to pay Seller a monthly reservation charge or seasonal reservation charge.</w:t>
            </w:r>
          </w:p>
        </w:tc>
      </w:tr>
      <w:tr w:rsidR="00840740" w:rsidRPr="001608C1" w14:paraId="6AE0E374" w14:textId="77777777" w:rsidTr="005A7FD8">
        <w:trPr>
          <w:cantSplit/>
          <w:trHeight w:val="27"/>
        </w:trPr>
        <w:tc>
          <w:tcPr>
            <w:tcW w:w="3685" w:type="dxa"/>
          </w:tcPr>
          <w:p w14:paraId="3A482636" w14:textId="77777777" w:rsidR="00840740" w:rsidRPr="001608C1" w:rsidRDefault="00840740" w:rsidP="004D7003">
            <w:pPr>
              <w:rPr>
                <w:rFonts w:asciiTheme="majorHAnsi" w:hAnsiTheme="majorHAnsi" w:cstheme="majorHAnsi"/>
              </w:rPr>
            </w:pPr>
            <w:r w:rsidRPr="001608C1">
              <w:rPr>
                <w:rFonts w:asciiTheme="majorHAnsi" w:hAnsiTheme="majorHAnsi" w:cstheme="majorHAnsi"/>
              </w:rPr>
              <w:t>Other considerations</w:t>
            </w:r>
          </w:p>
        </w:tc>
        <w:tc>
          <w:tcPr>
            <w:tcW w:w="5760" w:type="dxa"/>
          </w:tcPr>
          <w:p w14:paraId="7CEEA946" w14:textId="793B7546" w:rsidR="00840740" w:rsidRPr="001608C1" w:rsidRDefault="00A03D67" w:rsidP="005A7FD8">
            <w:pPr>
              <w:rPr>
                <w:rFonts w:asciiTheme="majorHAnsi" w:hAnsiTheme="majorHAnsi" w:cstheme="majorHAnsi"/>
              </w:rPr>
            </w:pPr>
            <w:r w:rsidRPr="001608C1">
              <w:rPr>
                <w:rFonts w:asciiTheme="majorHAnsi" w:hAnsiTheme="majorHAnsi" w:cstheme="majorHAnsi"/>
              </w:rPr>
              <w:t>This Term Sheet is preliminary and is intended to set forth certain basic terms and to serve as a basis for further discussions and negotiations between the Parties with respect to the transaction described herein (the “Transaction”). The matters set forth in this Term Sheet are not intended to and do not constitute a binding agreement of the Parties or establish any obligation of the Parties with respect to the Transaction. Any such binding agreement will arise only upon the successful negotiation, execution and delivery of a mutually satisfactory Agreement (the “Agreement”) and the satisfaction of all of the conditions set forth therein, including the approval of such Agreement by the respective governing body (ies) and management of each Party, which approval shall be in the sole subjective discretion of the respective governing body (ies) and management.</w:t>
            </w:r>
          </w:p>
        </w:tc>
      </w:tr>
    </w:tbl>
    <w:p w14:paraId="5082D140" w14:textId="28AABC5F" w:rsidR="00F80144" w:rsidRDefault="00F80144"/>
    <w:p w14:paraId="39095F94" w14:textId="6CECF350" w:rsidR="001608C1" w:rsidRDefault="001608C1"/>
    <w:p w14:paraId="44DEDA3F" w14:textId="77777777" w:rsidR="001608C1" w:rsidRDefault="001608C1">
      <w:pPr>
        <w:spacing w:after="160" w:line="259" w:lineRule="auto"/>
      </w:pPr>
      <w:r>
        <w:br w:type="page"/>
      </w:r>
    </w:p>
    <w:p w14:paraId="5ED70861" w14:textId="77777777" w:rsidR="001608C1" w:rsidRPr="001608C1" w:rsidRDefault="001608C1" w:rsidP="001608C1">
      <w:pPr>
        <w:spacing w:after="160" w:line="259" w:lineRule="auto"/>
        <w:jc w:val="center"/>
        <w:rPr>
          <w:b/>
          <w:sz w:val="28"/>
        </w:rPr>
      </w:pPr>
      <w:r w:rsidRPr="001608C1">
        <w:rPr>
          <w:b/>
          <w:sz w:val="28"/>
        </w:rPr>
        <w:lastRenderedPageBreak/>
        <w:t>Appendix B</w:t>
      </w:r>
    </w:p>
    <w:p w14:paraId="35C540AE" w14:textId="77777777" w:rsidR="001608C1" w:rsidRPr="001608C1" w:rsidRDefault="001608C1" w:rsidP="001608C1">
      <w:pPr>
        <w:spacing w:after="160" w:line="259" w:lineRule="auto"/>
        <w:jc w:val="center"/>
        <w:rPr>
          <w:b/>
          <w:sz w:val="28"/>
        </w:rPr>
      </w:pPr>
      <w:r w:rsidRPr="001608C1">
        <w:rPr>
          <w:b/>
          <w:sz w:val="28"/>
        </w:rPr>
        <w:t>CPI Adjustment of Monthly Capacity Price</w:t>
      </w:r>
    </w:p>
    <w:p w14:paraId="6B4F12AC" w14:textId="77777777" w:rsidR="001608C1" w:rsidRDefault="001608C1" w:rsidP="001608C1">
      <w:pPr>
        <w:spacing w:after="160" w:line="259" w:lineRule="auto"/>
      </w:pPr>
    </w:p>
    <w:p w14:paraId="538C4AEB" w14:textId="77777777" w:rsidR="001608C1" w:rsidRDefault="001608C1" w:rsidP="001608C1">
      <w:pPr>
        <w:spacing w:after="160" w:line="259" w:lineRule="auto"/>
      </w:pPr>
      <w:r>
        <w:t>Commencing on June 1, 2022, and as of each June 1 thereafter during the remainder of the Contract Term, the monthly capacity price shall be adjusted by the percentage by which the final published annual “CPI-U Index” for the preceding calendar year is greater than or less than the final published annual “CPI-U Index” for calendar year 2020.  In 2022 and each following year, after publication of the final annual “CPI-U Index” for the preceding calendar year, the Agency shall calculate an updated monthly capacity price using the change in such “CPI-U Index” compared to the 2020 annual “CPI-U Index.”  For purposes of clarity, the monthly capacity price to be so adjusted in each year shall be the initial price of $3.85 per kilowatt-month, excluding the effects of any previous adjustments for annual “CPI-U Index” changes compared to 2020.  The Agency shall provide notice of the updated price to the Member with supporting documentation within 45 days of publication of the final annual “CPI-U Index.”</w:t>
      </w:r>
    </w:p>
    <w:p w14:paraId="4822EBB8" w14:textId="77777777" w:rsidR="001608C1" w:rsidRDefault="001608C1" w:rsidP="001608C1">
      <w:pPr>
        <w:spacing w:after="160" w:line="259" w:lineRule="auto"/>
      </w:pPr>
      <w:r>
        <w:t>For purposes of adjusting the monthly capacity price, the “CPI-U Index” shall be that index identified as Consumer Price Index for All Urban Consumers – U.S. city average, all items [1980-1982=100] determined and reported by the Bureau of Labor Statistics of the U.S. Department of Labor.  The “CPI-U Index” shall be determined to the nearest three decimal places.  The percentage change in the “CPI-U Index” for a given year compared to 2020 shall be calculated to the nearest one-tenth of one percent.  The adjusted monthly capacity price to be applied in a given period shall be rounded to the nearest one cent.</w:t>
      </w:r>
    </w:p>
    <w:p w14:paraId="593F2D8F" w14:textId="7EB9BD38" w:rsidR="001608C1" w:rsidRDefault="001608C1" w:rsidP="001608C1">
      <w:r>
        <w:t>As an example, if the “CPI-U Index” for calendar year 2023 were 271.245, and the “CPI U Index” for 2020 were 259.188, the percentage adjustment of the monthly capacity price as of June 1, 2024 would be 104.7%, and the adjusted monthly capacity price would be $4.03 per kilowatt-month.</w:t>
      </w:r>
    </w:p>
    <w:sectPr w:rsidR="001608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79BEF" w14:textId="77777777" w:rsidR="00885C91" w:rsidRDefault="00885C91" w:rsidP="00885C91">
      <w:r>
        <w:separator/>
      </w:r>
    </w:p>
  </w:endnote>
  <w:endnote w:type="continuationSeparator" w:id="0">
    <w:p w14:paraId="325D38E1" w14:textId="77777777" w:rsidR="00885C91" w:rsidRDefault="00885C91" w:rsidP="0088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1CE7" w14:textId="77777777" w:rsidR="008B7F75" w:rsidRDefault="008B7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047938"/>
      <w:docPartObj>
        <w:docPartGallery w:val="Page Numbers (Bottom of Page)"/>
        <w:docPartUnique/>
      </w:docPartObj>
    </w:sdtPr>
    <w:sdtEndPr/>
    <w:sdtContent>
      <w:sdt>
        <w:sdtPr>
          <w:id w:val="1728636285"/>
          <w:docPartObj>
            <w:docPartGallery w:val="Page Numbers (Top of Page)"/>
            <w:docPartUnique/>
          </w:docPartObj>
        </w:sdtPr>
        <w:sdtEndPr/>
        <w:sdtContent>
          <w:p w14:paraId="79276562" w14:textId="407BC704" w:rsidR="00885C91" w:rsidRDefault="00885C91">
            <w:pPr>
              <w:pStyle w:val="Footer"/>
              <w:jc w:val="center"/>
            </w:pPr>
            <w:r>
              <w:t xml:space="preserve">Page </w:t>
            </w:r>
            <w:r>
              <w:rPr>
                <w:b/>
                <w:bCs/>
              </w:rPr>
              <w:fldChar w:fldCharType="begin"/>
            </w:r>
            <w:r>
              <w:rPr>
                <w:b/>
                <w:bCs/>
              </w:rPr>
              <w:instrText xml:space="preserve"> PAGE </w:instrText>
            </w:r>
            <w:r>
              <w:rPr>
                <w:b/>
                <w:bCs/>
              </w:rPr>
              <w:fldChar w:fldCharType="separate"/>
            </w:r>
            <w:r w:rsidR="000C6EA3">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0C6EA3">
              <w:rPr>
                <w:b/>
                <w:bCs/>
                <w:noProof/>
              </w:rPr>
              <w:t>3</w:t>
            </w:r>
            <w:r>
              <w:rPr>
                <w:b/>
                <w:bCs/>
              </w:rPr>
              <w:fldChar w:fldCharType="end"/>
            </w:r>
          </w:p>
        </w:sdtContent>
      </w:sdt>
    </w:sdtContent>
  </w:sdt>
  <w:p w14:paraId="34DD6350" w14:textId="77777777" w:rsidR="00885C91" w:rsidRDefault="00885C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5EE2B" w14:textId="77777777" w:rsidR="008B7F75" w:rsidRDefault="008B7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4044E" w14:textId="77777777" w:rsidR="00885C91" w:rsidRDefault="00885C91" w:rsidP="00885C91">
      <w:r>
        <w:separator/>
      </w:r>
    </w:p>
  </w:footnote>
  <w:footnote w:type="continuationSeparator" w:id="0">
    <w:p w14:paraId="787BDE70" w14:textId="77777777" w:rsidR="00885C91" w:rsidRDefault="00885C91" w:rsidP="00885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1F8F2" w14:textId="77777777" w:rsidR="008B7F75" w:rsidRDefault="008B7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DFC81" w14:textId="67CBCF84" w:rsidR="00885C91" w:rsidRPr="00885C91" w:rsidRDefault="000C6EA3" w:rsidP="00885C91">
    <w:pPr>
      <w:pStyle w:val="Header"/>
      <w:jc w:val="center"/>
      <w:rPr>
        <w:b/>
        <w:sz w:val="32"/>
      </w:rPr>
    </w:pPr>
    <w:sdt>
      <w:sdtPr>
        <w:rPr>
          <w:b/>
          <w:sz w:val="32"/>
        </w:rPr>
        <w:id w:val="566851249"/>
        <w:docPartObj>
          <w:docPartGallery w:val="Watermarks"/>
          <w:docPartUnique/>
        </w:docPartObj>
      </w:sdtPr>
      <w:sdtEndPr/>
      <w:sdtContent>
        <w:r>
          <w:rPr>
            <w:b/>
            <w:noProof/>
            <w:sz w:val="32"/>
          </w:rPr>
          <w:pict w14:anchorId="21D39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85C91" w:rsidRPr="00885C91">
      <w:rPr>
        <w:b/>
        <w:sz w:val="32"/>
      </w:rPr>
      <w:t>Kentucky Municipal Energy Agency</w:t>
    </w:r>
  </w:p>
  <w:p w14:paraId="2201A3A7" w14:textId="164EDE99" w:rsidR="00885C91" w:rsidRPr="00885C91" w:rsidRDefault="00885C91" w:rsidP="00885C91">
    <w:pPr>
      <w:pStyle w:val="Header"/>
      <w:jc w:val="center"/>
      <w:rPr>
        <w:b/>
        <w:sz w:val="32"/>
      </w:rPr>
    </w:pPr>
    <w:r w:rsidRPr="00885C91">
      <w:rPr>
        <w:b/>
        <w:sz w:val="32"/>
      </w:rPr>
      <w:t>Proposed Terms and Conditions</w:t>
    </w:r>
  </w:p>
  <w:p w14:paraId="6ABE5418" w14:textId="28448D44" w:rsidR="00885C91" w:rsidRPr="00885C91" w:rsidRDefault="00885C91" w:rsidP="00885C91">
    <w:pPr>
      <w:pStyle w:val="Header"/>
      <w:jc w:val="center"/>
      <w:rPr>
        <w:b/>
        <w:sz w:val="32"/>
      </w:rPr>
    </w:pPr>
    <w:r w:rsidRPr="00885C91">
      <w:rPr>
        <w:b/>
        <w:sz w:val="32"/>
      </w:rPr>
      <w:t>Seasonal Capacity Sale to Berea for Winter Planning Reserves</w:t>
    </w:r>
  </w:p>
  <w:p w14:paraId="68EC3275" w14:textId="77777777" w:rsidR="00885C91" w:rsidRPr="00885C91" w:rsidRDefault="00885C91" w:rsidP="00885C91">
    <w:pPr>
      <w:pStyle w:val="Header"/>
      <w:jc w:val="center"/>
      <w:rPr>
        <w:b/>
      </w:rPr>
    </w:pPr>
  </w:p>
  <w:p w14:paraId="572F41F4" w14:textId="77777777" w:rsidR="00885C91" w:rsidRDefault="00885C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2257F" w14:textId="77777777" w:rsidR="008B7F75" w:rsidRDefault="008B7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30BC6"/>
    <w:multiLevelType w:val="hybridMultilevel"/>
    <w:tmpl w:val="DCF061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40"/>
    <w:rsid w:val="000906BD"/>
    <w:rsid w:val="00095B2E"/>
    <w:rsid w:val="000C6EA3"/>
    <w:rsid w:val="000E27C1"/>
    <w:rsid w:val="001608C1"/>
    <w:rsid w:val="0017635B"/>
    <w:rsid w:val="003F5BBA"/>
    <w:rsid w:val="00415B36"/>
    <w:rsid w:val="004D7003"/>
    <w:rsid w:val="007046A1"/>
    <w:rsid w:val="007311F8"/>
    <w:rsid w:val="00824EF5"/>
    <w:rsid w:val="00840740"/>
    <w:rsid w:val="008663E3"/>
    <w:rsid w:val="00885C91"/>
    <w:rsid w:val="008B7F75"/>
    <w:rsid w:val="0096195D"/>
    <w:rsid w:val="00A03D67"/>
    <w:rsid w:val="00BF42CD"/>
    <w:rsid w:val="00F075C8"/>
    <w:rsid w:val="00F80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62F63C"/>
  <w15:docId w15:val="{1B5FC7FF-EE0D-4970-AF21-BC8CF128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4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40"/>
    <w:pPr>
      <w:ind w:left="720"/>
      <w:contextualSpacing/>
    </w:pPr>
  </w:style>
  <w:style w:type="table" w:styleId="TableGrid">
    <w:name w:val="Table Grid"/>
    <w:basedOn w:val="TableNormal"/>
    <w:uiPriority w:val="59"/>
    <w:rsid w:val="0084074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40"/>
    <w:rPr>
      <w:rFonts w:ascii="Segoe UI" w:eastAsiaTheme="minorEastAsia" w:hAnsi="Segoe UI" w:cs="Segoe UI"/>
      <w:sz w:val="18"/>
      <w:szCs w:val="18"/>
    </w:rPr>
  </w:style>
  <w:style w:type="paragraph" w:styleId="Header">
    <w:name w:val="header"/>
    <w:basedOn w:val="Normal"/>
    <w:link w:val="HeaderChar"/>
    <w:uiPriority w:val="99"/>
    <w:unhideWhenUsed/>
    <w:rsid w:val="00885C91"/>
    <w:pPr>
      <w:tabs>
        <w:tab w:val="center" w:pos="4680"/>
        <w:tab w:val="right" w:pos="9360"/>
      </w:tabs>
    </w:pPr>
  </w:style>
  <w:style w:type="character" w:customStyle="1" w:styleId="HeaderChar">
    <w:name w:val="Header Char"/>
    <w:basedOn w:val="DefaultParagraphFont"/>
    <w:link w:val="Header"/>
    <w:uiPriority w:val="99"/>
    <w:rsid w:val="00885C91"/>
    <w:rPr>
      <w:rFonts w:eastAsiaTheme="minorEastAsia"/>
      <w:sz w:val="24"/>
      <w:szCs w:val="24"/>
    </w:rPr>
  </w:style>
  <w:style w:type="paragraph" w:styleId="Footer">
    <w:name w:val="footer"/>
    <w:basedOn w:val="Normal"/>
    <w:link w:val="FooterChar"/>
    <w:uiPriority w:val="99"/>
    <w:unhideWhenUsed/>
    <w:rsid w:val="00885C91"/>
    <w:pPr>
      <w:tabs>
        <w:tab w:val="center" w:pos="4680"/>
        <w:tab w:val="right" w:pos="9360"/>
      </w:tabs>
    </w:pPr>
  </w:style>
  <w:style w:type="character" w:customStyle="1" w:styleId="FooterChar">
    <w:name w:val="Footer Char"/>
    <w:basedOn w:val="DefaultParagraphFont"/>
    <w:link w:val="Footer"/>
    <w:uiPriority w:val="99"/>
    <w:rsid w:val="00885C9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Thornton</dc:creator>
  <cp:lastModifiedBy>Charlie Musson</cp:lastModifiedBy>
  <cp:revision>2</cp:revision>
  <cp:lastPrinted>2017-07-23T22:36:00Z</cp:lastPrinted>
  <dcterms:created xsi:type="dcterms:W3CDTF">2018-06-26T16:22:00Z</dcterms:created>
  <dcterms:modified xsi:type="dcterms:W3CDTF">2018-06-26T16:22:00Z</dcterms:modified>
</cp:coreProperties>
</file>