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D2753" w14:textId="77777777" w:rsidR="00AB14F1" w:rsidRPr="0034665C" w:rsidRDefault="003D7F2B" w:rsidP="00AB14F1">
      <w:pPr>
        <w:jc w:val="center"/>
        <w:rPr>
          <w:rFonts w:ascii="Times New Roman" w:hAnsi="Times New Roman" w:cs="Times New Roman"/>
          <w:b/>
          <w:sz w:val="24"/>
          <w:szCs w:val="24"/>
          <w:u w:val="single"/>
        </w:rPr>
      </w:pPr>
      <w:r w:rsidRPr="0034665C">
        <w:rPr>
          <w:rFonts w:ascii="Times New Roman" w:hAnsi="Times New Roman" w:cs="Times New Roman"/>
          <w:b/>
          <w:sz w:val="24"/>
          <w:szCs w:val="24"/>
          <w:u w:val="single"/>
        </w:rPr>
        <w:t xml:space="preserve">PRELIMINARY TELECOMMUNICATIONS WORK </w:t>
      </w:r>
    </w:p>
    <w:p w14:paraId="3C5A7C69" w14:textId="77777777" w:rsidR="003D7F2B" w:rsidRDefault="003D7F2B" w:rsidP="00AB14F1">
      <w:pPr>
        <w:jc w:val="center"/>
        <w:rPr>
          <w:rFonts w:ascii="Times New Roman" w:hAnsi="Times New Roman" w:cs="Times New Roman"/>
          <w:b/>
          <w:sz w:val="24"/>
          <w:szCs w:val="24"/>
          <w:u w:val="single"/>
        </w:rPr>
      </w:pPr>
      <w:r w:rsidRPr="0034665C">
        <w:rPr>
          <w:rFonts w:ascii="Times New Roman" w:hAnsi="Times New Roman" w:cs="Times New Roman"/>
          <w:b/>
          <w:sz w:val="24"/>
          <w:szCs w:val="24"/>
          <w:u w:val="single"/>
        </w:rPr>
        <w:t>REIMBURSEMENT AGREEMENT</w:t>
      </w:r>
    </w:p>
    <w:p w14:paraId="76639924" w14:textId="77777777" w:rsidR="003E5FDA" w:rsidRPr="0034665C" w:rsidRDefault="003E5FDA" w:rsidP="00AB14F1">
      <w:pPr>
        <w:jc w:val="center"/>
        <w:rPr>
          <w:rFonts w:ascii="Times New Roman" w:hAnsi="Times New Roman" w:cs="Times New Roman"/>
          <w:b/>
          <w:sz w:val="24"/>
          <w:szCs w:val="24"/>
          <w:u w:val="single"/>
        </w:rPr>
      </w:pPr>
    </w:p>
    <w:p w14:paraId="65F6E17A" w14:textId="43AA037B" w:rsidR="00AB14F1" w:rsidRPr="0034665C" w:rsidRDefault="00AB14F1" w:rsidP="00D339E2">
      <w:pPr>
        <w:ind w:firstLine="720"/>
        <w:jc w:val="both"/>
        <w:rPr>
          <w:rFonts w:ascii="Times New Roman" w:hAnsi="Times New Roman" w:cs="Times New Roman"/>
          <w:sz w:val="24"/>
          <w:szCs w:val="24"/>
        </w:rPr>
      </w:pPr>
      <w:r w:rsidRPr="0034665C">
        <w:rPr>
          <w:rFonts w:ascii="Times New Roman" w:hAnsi="Times New Roman" w:cs="Times New Roman"/>
          <w:sz w:val="24"/>
          <w:szCs w:val="24"/>
        </w:rPr>
        <w:t xml:space="preserve">This </w:t>
      </w:r>
      <w:r w:rsidR="003D7F2B" w:rsidRPr="0034665C">
        <w:rPr>
          <w:rFonts w:ascii="Times New Roman" w:hAnsi="Times New Roman" w:cs="Times New Roman"/>
          <w:sz w:val="24"/>
          <w:szCs w:val="24"/>
        </w:rPr>
        <w:t>Preliminary Telecommunications Work Reimbursement Agreement</w:t>
      </w:r>
      <w:r w:rsidRPr="0034665C">
        <w:rPr>
          <w:rFonts w:ascii="Times New Roman" w:hAnsi="Times New Roman" w:cs="Times New Roman"/>
          <w:sz w:val="24"/>
          <w:szCs w:val="24"/>
        </w:rPr>
        <w:t xml:space="preserve"> (“</w:t>
      </w:r>
      <w:r w:rsidR="003D7F2B" w:rsidRPr="0034665C">
        <w:rPr>
          <w:rFonts w:ascii="Times New Roman" w:hAnsi="Times New Roman" w:cs="Times New Roman"/>
          <w:sz w:val="24"/>
          <w:szCs w:val="24"/>
          <w:u w:val="single"/>
        </w:rPr>
        <w:t>Agreement</w:t>
      </w:r>
      <w:r w:rsidRPr="0034665C">
        <w:rPr>
          <w:rFonts w:ascii="Times New Roman" w:hAnsi="Times New Roman" w:cs="Times New Roman"/>
          <w:sz w:val="24"/>
          <w:szCs w:val="24"/>
        </w:rPr>
        <w:t xml:space="preserve">”) is entered into as of </w:t>
      </w:r>
      <w:r w:rsidR="0013020F">
        <w:rPr>
          <w:rFonts w:ascii="Times New Roman" w:hAnsi="Times New Roman" w:cs="Times New Roman"/>
          <w:sz w:val="24"/>
          <w:szCs w:val="24"/>
        </w:rPr>
        <w:t>________</w:t>
      </w:r>
      <w:r w:rsidR="00AE4258">
        <w:rPr>
          <w:rStyle w:val="CommentReference"/>
        </w:rPr>
        <w:commentReference w:id="0"/>
      </w:r>
      <w:r w:rsidRPr="0034665C">
        <w:rPr>
          <w:rFonts w:ascii="Times New Roman" w:hAnsi="Times New Roman" w:cs="Times New Roman"/>
          <w:sz w:val="24"/>
          <w:szCs w:val="24"/>
        </w:rPr>
        <w:t>, 2018 (the “</w:t>
      </w:r>
      <w:r w:rsidRPr="0034665C">
        <w:rPr>
          <w:rFonts w:ascii="Times New Roman" w:hAnsi="Times New Roman" w:cs="Times New Roman"/>
          <w:sz w:val="24"/>
          <w:szCs w:val="24"/>
          <w:u w:val="single"/>
        </w:rPr>
        <w:t>Effective Date</w:t>
      </w:r>
      <w:r w:rsidRPr="0034665C">
        <w:rPr>
          <w:rFonts w:ascii="Times New Roman" w:hAnsi="Times New Roman" w:cs="Times New Roman"/>
          <w:sz w:val="24"/>
          <w:szCs w:val="24"/>
        </w:rPr>
        <w:t>”), by and between Louisville Gas and Electric Company</w:t>
      </w:r>
      <w:r w:rsidR="009B01C3" w:rsidRPr="0034665C">
        <w:rPr>
          <w:rFonts w:ascii="Times New Roman" w:hAnsi="Times New Roman" w:cs="Times New Roman"/>
          <w:sz w:val="24"/>
          <w:szCs w:val="24"/>
        </w:rPr>
        <w:t xml:space="preserve"> (“</w:t>
      </w:r>
      <w:r w:rsidR="009B01C3" w:rsidRPr="0034665C">
        <w:rPr>
          <w:rFonts w:ascii="Times New Roman" w:hAnsi="Times New Roman" w:cs="Times New Roman"/>
          <w:sz w:val="24"/>
          <w:szCs w:val="24"/>
          <w:u w:val="single"/>
        </w:rPr>
        <w:t>LG&amp;E”)</w:t>
      </w:r>
      <w:r w:rsidRPr="0034665C">
        <w:rPr>
          <w:rFonts w:ascii="Times New Roman" w:hAnsi="Times New Roman" w:cs="Times New Roman"/>
          <w:sz w:val="24"/>
          <w:szCs w:val="24"/>
        </w:rPr>
        <w:t xml:space="preserve"> and Kentucky Utilities Company (</w:t>
      </w:r>
      <w:r w:rsidR="009B01C3" w:rsidRPr="0034665C">
        <w:rPr>
          <w:rFonts w:ascii="Times New Roman" w:hAnsi="Times New Roman" w:cs="Times New Roman"/>
          <w:sz w:val="24"/>
          <w:szCs w:val="24"/>
        </w:rPr>
        <w:t xml:space="preserve">“KU” and together with LG&amp;E, </w:t>
      </w:r>
      <w:r w:rsidRPr="0034665C">
        <w:rPr>
          <w:rFonts w:ascii="Times New Roman" w:hAnsi="Times New Roman" w:cs="Times New Roman"/>
          <w:sz w:val="24"/>
          <w:szCs w:val="24"/>
        </w:rPr>
        <w:t>“</w:t>
      </w:r>
      <w:r w:rsidRPr="0034665C">
        <w:rPr>
          <w:rFonts w:ascii="Times New Roman" w:hAnsi="Times New Roman" w:cs="Times New Roman"/>
          <w:sz w:val="24"/>
          <w:szCs w:val="24"/>
          <w:u w:val="single"/>
        </w:rPr>
        <w:t>LG&amp;E/KU</w:t>
      </w:r>
      <w:r w:rsidRPr="0034665C">
        <w:rPr>
          <w:rFonts w:ascii="Times New Roman" w:hAnsi="Times New Roman" w:cs="Times New Roman"/>
          <w:sz w:val="24"/>
          <w:szCs w:val="24"/>
        </w:rPr>
        <w:t xml:space="preserve">”), and </w:t>
      </w:r>
      <w:r w:rsidR="0077544B" w:rsidRPr="0034665C">
        <w:rPr>
          <w:rFonts w:ascii="Times New Roman" w:hAnsi="Times New Roman" w:cs="Times New Roman"/>
          <w:sz w:val="24"/>
          <w:szCs w:val="24"/>
        </w:rPr>
        <w:t>Kentucky Municipal Energy Agency (“KyMEA”)</w:t>
      </w:r>
      <w:r w:rsidRPr="0034665C">
        <w:rPr>
          <w:rFonts w:ascii="Times New Roman" w:hAnsi="Times New Roman" w:cs="Times New Roman"/>
          <w:sz w:val="24"/>
          <w:szCs w:val="24"/>
        </w:rPr>
        <w:t xml:space="preserve">.  LG&amp;E/KU and </w:t>
      </w:r>
      <w:r w:rsidR="0077544B" w:rsidRPr="0034665C">
        <w:rPr>
          <w:rFonts w:ascii="Times New Roman" w:hAnsi="Times New Roman" w:cs="Times New Roman"/>
          <w:sz w:val="24"/>
          <w:szCs w:val="24"/>
        </w:rPr>
        <w:t>KyMEA</w:t>
      </w:r>
      <w:r w:rsidRPr="0034665C">
        <w:rPr>
          <w:rFonts w:ascii="Times New Roman" w:hAnsi="Times New Roman" w:cs="Times New Roman"/>
          <w:sz w:val="24"/>
          <w:szCs w:val="24"/>
        </w:rPr>
        <w:t xml:space="preserve"> are sometimes referred to in this </w:t>
      </w:r>
      <w:r w:rsidR="003D7F2B"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individually as a “</w:t>
      </w:r>
      <w:r w:rsidRPr="0034665C">
        <w:rPr>
          <w:rFonts w:ascii="Times New Roman" w:hAnsi="Times New Roman" w:cs="Times New Roman"/>
          <w:sz w:val="24"/>
          <w:szCs w:val="24"/>
          <w:u w:val="single"/>
        </w:rPr>
        <w:t>Party</w:t>
      </w:r>
      <w:r w:rsidRPr="0034665C">
        <w:rPr>
          <w:rFonts w:ascii="Times New Roman" w:hAnsi="Times New Roman" w:cs="Times New Roman"/>
          <w:sz w:val="24"/>
          <w:szCs w:val="24"/>
        </w:rPr>
        <w:t>” and, collectively, as the “</w:t>
      </w:r>
      <w:r w:rsidRPr="0034665C">
        <w:rPr>
          <w:rFonts w:ascii="Times New Roman" w:hAnsi="Times New Roman" w:cs="Times New Roman"/>
          <w:sz w:val="24"/>
          <w:szCs w:val="24"/>
          <w:u w:val="single"/>
        </w:rPr>
        <w:t>Parties</w:t>
      </w:r>
      <w:r w:rsidRPr="0034665C">
        <w:rPr>
          <w:rFonts w:ascii="Times New Roman" w:hAnsi="Times New Roman" w:cs="Times New Roman"/>
          <w:sz w:val="24"/>
          <w:szCs w:val="24"/>
        </w:rPr>
        <w:t>.”</w:t>
      </w:r>
    </w:p>
    <w:p w14:paraId="4B34F8A2" w14:textId="77777777" w:rsidR="00296BE0" w:rsidRPr="0034665C" w:rsidRDefault="00296BE0" w:rsidP="00296BE0">
      <w:pPr>
        <w:pStyle w:val="FootnoteText"/>
        <w:widowControl w:val="0"/>
        <w:autoSpaceDE w:val="0"/>
        <w:autoSpaceDN w:val="0"/>
        <w:adjustRightInd w:val="0"/>
        <w:jc w:val="center"/>
        <w:rPr>
          <w:b/>
          <w:sz w:val="24"/>
          <w:szCs w:val="24"/>
        </w:rPr>
      </w:pPr>
      <w:r w:rsidRPr="0034665C">
        <w:rPr>
          <w:b/>
          <w:sz w:val="24"/>
          <w:szCs w:val="24"/>
          <w:u w:val="single"/>
        </w:rPr>
        <w:t>RECITALS</w:t>
      </w:r>
    </w:p>
    <w:p w14:paraId="4A334D98" w14:textId="77777777" w:rsidR="00296BE0" w:rsidRPr="0034665C" w:rsidRDefault="00296BE0" w:rsidP="00296BE0">
      <w:pPr>
        <w:pStyle w:val="FootnoteText"/>
        <w:widowControl w:val="0"/>
        <w:autoSpaceDE w:val="0"/>
        <w:autoSpaceDN w:val="0"/>
        <w:adjustRightInd w:val="0"/>
        <w:rPr>
          <w:sz w:val="24"/>
          <w:szCs w:val="24"/>
        </w:rPr>
      </w:pPr>
    </w:p>
    <w:p w14:paraId="2D34ABE4" w14:textId="77777777" w:rsidR="00296BE0" w:rsidRPr="0034665C" w:rsidRDefault="00235AE6" w:rsidP="00D339E2">
      <w:pPr>
        <w:pStyle w:val="FootnoteText"/>
        <w:widowControl w:val="0"/>
        <w:autoSpaceDE w:val="0"/>
        <w:autoSpaceDN w:val="0"/>
        <w:adjustRightInd w:val="0"/>
        <w:ind w:firstLine="720"/>
        <w:jc w:val="both"/>
        <w:rPr>
          <w:sz w:val="24"/>
          <w:szCs w:val="24"/>
        </w:rPr>
      </w:pPr>
      <w:r>
        <w:rPr>
          <w:sz w:val="24"/>
          <w:szCs w:val="24"/>
        </w:rPr>
        <w:t xml:space="preserve">WHEREAS, </w:t>
      </w:r>
      <w:r w:rsidR="00296BE0" w:rsidRPr="0034665C">
        <w:rPr>
          <w:sz w:val="24"/>
          <w:szCs w:val="24"/>
        </w:rPr>
        <w:t>LG&amp;E/KU own and operate facilities for the transmission of electric power and energy in interstate commerce in the Commonwealths of Kentucky and Virginia (the “</w:t>
      </w:r>
      <w:r w:rsidR="00296BE0" w:rsidRPr="0034665C">
        <w:rPr>
          <w:sz w:val="24"/>
          <w:szCs w:val="24"/>
          <w:u w:val="single"/>
        </w:rPr>
        <w:t>LG&amp;E/KU Transmission System</w:t>
      </w:r>
      <w:r w:rsidR="00296BE0" w:rsidRPr="0034665C">
        <w:rPr>
          <w:sz w:val="24"/>
          <w:szCs w:val="24"/>
        </w:rPr>
        <w:t>”).  LG&amp;E/KU provide non-discriminatory transmission service pursuant to the rates, terms, and conditions of the LG&amp;E/KU Joint Pro Forma Open Access Transmission Tariff, currently on file with the Federal Energy Regulatory Commissi</w:t>
      </w:r>
      <w:r w:rsidR="00E4040C">
        <w:rPr>
          <w:sz w:val="24"/>
          <w:szCs w:val="24"/>
        </w:rPr>
        <w:t>on (“FERC” or the “Commission”); and</w:t>
      </w:r>
      <w:r w:rsidR="000B2CEA" w:rsidRPr="0034665C">
        <w:rPr>
          <w:sz w:val="24"/>
          <w:szCs w:val="24"/>
        </w:rPr>
        <w:t xml:space="preserve"> </w:t>
      </w:r>
    </w:p>
    <w:p w14:paraId="58B32457" w14:textId="77777777" w:rsidR="00296BE0" w:rsidRPr="0034665C" w:rsidRDefault="00296BE0" w:rsidP="000B2CEA">
      <w:pPr>
        <w:pStyle w:val="FootnoteText"/>
        <w:widowControl w:val="0"/>
        <w:autoSpaceDE w:val="0"/>
        <w:autoSpaceDN w:val="0"/>
        <w:adjustRightInd w:val="0"/>
        <w:ind w:firstLine="720"/>
        <w:jc w:val="both"/>
        <w:rPr>
          <w:sz w:val="24"/>
          <w:szCs w:val="24"/>
        </w:rPr>
      </w:pPr>
    </w:p>
    <w:p w14:paraId="6B8607A0" w14:textId="77777777" w:rsidR="00085115" w:rsidRPr="0034665C" w:rsidRDefault="00235AE6" w:rsidP="000B2CEA">
      <w:pPr>
        <w:pStyle w:val="FootnoteText"/>
        <w:widowControl w:val="0"/>
        <w:autoSpaceDE w:val="0"/>
        <w:autoSpaceDN w:val="0"/>
        <w:adjustRightInd w:val="0"/>
        <w:ind w:firstLine="720"/>
        <w:jc w:val="both"/>
        <w:rPr>
          <w:sz w:val="24"/>
          <w:szCs w:val="24"/>
        </w:rPr>
      </w:pPr>
      <w:r>
        <w:rPr>
          <w:sz w:val="24"/>
          <w:szCs w:val="24"/>
        </w:rPr>
        <w:t xml:space="preserve">WHEREAS, </w:t>
      </w:r>
      <w:r w:rsidR="000B2CEA" w:rsidRPr="0034665C">
        <w:rPr>
          <w:sz w:val="24"/>
          <w:szCs w:val="24"/>
        </w:rPr>
        <w:t>KyMEA is a joint public agency established pursuant to Sections 65.210 to 65.300 of the Kentucky Revised Statutes, whose current municipal customers include the Barbourville Utility Commission, the City of Bardwell, the City of Berea, the Benham Power Board, the Corbin City Utilities Commission, the City of Falmouth, the Frankfort Plant Board, the City of Madisonville, Owensboro Municipal Utilities, the City of Pa</w:t>
      </w:r>
      <w:r w:rsidR="00E4040C">
        <w:rPr>
          <w:sz w:val="24"/>
          <w:szCs w:val="24"/>
        </w:rPr>
        <w:t>ris, and the City of Providence; and</w:t>
      </w:r>
      <w:r w:rsidR="000B2CEA" w:rsidRPr="0034665C">
        <w:rPr>
          <w:sz w:val="24"/>
          <w:szCs w:val="24"/>
        </w:rPr>
        <w:t xml:space="preserve"> </w:t>
      </w:r>
    </w:p>
    <w:p w14:paraId="0FDF8628" w14:textId="77777777" w:rsidR="00B00819" w:rsidRPr="0034665C" w:rsidRDefault="00B00819" w:rsidP="000B2CEA">
      <w:pPr>
        <w:pStyle w:val="FootnoteText"/>
        <w:widowControl w:val="0"/>
        <w:autoSpaceDE w:val="0"/>
        <w:autoSpaceDN w:val="0"/>
        <w:adjustRightInd w:val="0"/>
        <w:ind w:firstLine="720"/>
        <w:jc w:val="both"/>
        <w:rPr>
          <w:sz w:val="24"/>
          <w:szCs w:val="24"/>
        </w:rPr>
      </w:pPr>
    </w:p>
    <w:p w14:paraId="0D2A57EB" w14:textId="77777777" w:rsidR="00235AE6" w:rsidRDefault="00235AE6" w:rsidP="00644060">
      <w:pPr>
        <w:pStyle w:val="FootnoteText"/>
        <w:widowControl w:val="0"/>
        <w:autoSpaceDE w:val="0"/>
        <w:autoSpaceDN w:val="0"/>
        <w:adjustRightInd w:val="0"/>
        <w:ind w:firstLine="720"/>
        <w:jc w:val="both"/>
        <w:rPr>
          <w:sz w:val="24"/>
          <w:szCs w:val="24"/>
        </w:rPr>
      </w:pPr>
      <w:r>
        <w:rPr>
          <w:sz w:val="24"/>
          <w:szCs w:val="24"/>
        </w:rPr>
        <w:t xml:space="preserve">WHEREAS, KyMEA has requested that LG&amp;E/KU undertake assessment </w:t>
      </w:r>
      <w:r w:rsidRPr="0034665C">
        <w:rPr>
          <w:sz w:val="24"/>
          <w:szCs w:val="24"/>
        </w:rPr>
        <w:t>and testing</w:t>
      </w:r>
      <w:r>
        <w:rPr>
          <w:sz w:val="24"/>
          <w:szCs w:val="24"/>
        </w:rPr>
        <w:t xml:space="preserve"> activities</w:t>
      </w:r>
      <w:r w:rsidRPr="0034665C">
        <w:rPr>
          <w:sz w:val="24"/>
          <w:szCs w:val="24"/>
        </w:rPr>
        <w:t xml:space="preserve"> to identify telecommunication equipment and define telecommunications installation or upgrade projects</w:t>
      </w:r>
      <w:r>
        <w:rPr>
          <w:sz w:val="24"/>
          <w:szCs w:val="24"/>
        </w:rPr>
        <w:t>, including the preparation of cost estimates,</w:t>
      </w:r>
      <w:r w:rsidRPr="0034665C">
        <w:rPr>
          <w:sz w:val="24"/>
          <w:szCs w:val="24"/>
        </w:rPr>
        <w:t xml:space="preserve"> associated with the transition of the Barbourville Utility Commission, the City of Bardwell, the City of Berea, the Corbin City Utilities Commission, the City of Falmouth, the Frankfort Plant Board, the City of Madisonville, and the City of Providence</w:t>
      </w:r>
      <w:r w:rsidR="00E4040C">
        <w:rPr>
          <w:sz w:val="24"/>
          <w:szCs w:val="24"/>
        </w:rPr>
        <w:t xml:space="preserve"> </w:t>
      </w:r>
      <w:r w:rsidRPr="0034665C">
        <w:rPr>
          <w:sz w:val="24"/>
          <w:szCs w:val="24"/>
        </w:rPr>
        <w:t>from wholesale full requirements customers of KU to transmission-only customers taking service under the LG&amp;E/KU Joint Pro Forma Open Access Transmission Tariff</w:t>
      </w:r>
      <w:r w:rsidR="00E4040C">
        <w:rPr>
          <w:sz w:val="24"/>
          <w:szCs w:val="24"/>
        </w:rPr>
        <w:t>; and</w:t>
      </w:r>
    </w:p>
    <w:p w14:paraId="2C7B8C5E" w14:textId="77777777" w:rsidR="00235AE6" w:rsidRDefault="00235AE6" w:rsidP="00644060">
      <w:pPr>
        <w:pStyle w:val="FootnoteText"/>
        <w:widowControl w:val="0"/>
        <w:autoSpaceDE w:val="0"/>
        <w:autoSpaceDN w:val="0"/>
        <w:adjustRightInd w:val="0"/>
        <w:ind w:firstLine="720"/>
        <w:jc w:val="both"/>
        <w:rPr>
          <w:sz w:val="24"/>
          <w:szCs w:val="24"/>
        </w:rPr>
      </w:pPr>
    </w:p>
    <w:p w14:paraId="1AC4BC41" w14:textId="77777777" w:rsidR="00AB14F1" w:rsidRPr="0034665C" w:rsidRDefault="00E4040C" w:rsidP="00644060">
      <w:pPr>
        <w:pStyle w:val="FootnoteText"/>
        <w:widowControl w:val="0"/>
        <w:autoSpaceDE w:val="0"/>
        <w:autoSpaceDN w:val="0"/>
        <w:adjustRightInd w:val="0"/>
        <w:ind w:firstLine="720"/>
        <w:jc w:val="both"/>
        <w:rPr>
          <w:sz w:val="24"/>
          <w:szCs w:val="24"/>
        </w:rPr>
      </w:pPr>
      <w:r>
        <w:rPr>
          <w:sz w:val="24"/>
          <w:szCs w:val="24"/>
        </w:rPr>
        <w:t xml:space="preserve">WHEREAS, </w:t>
      </w:r>
      <w:r w:rsidR="00235AE6">
        <w:rPr>
          <w:sz w:val="24"/>
          <w:szCs w:val="24"/>
        </w:rPr>
        <w:t>t</w:t>
      </w:r>
      <w:r w:rsidR="00B00819" w:rsidRPr="0034665C">
        <w:rPr>
          <w:sz w:val="24"/>
          <w:szCs w:val="24"/>
        </w:rPr>
        <w:t xml:space="preserve">he Parties are entering into this </w:t>
      </w:r>
      <w:r w:rsidR="003D7F2B" w:rsidRPr="0034665C">
        <w:rPr>
          <w:sz w:val="24"/>
          <w:szCs w:val="24"/>
        </w:rPr>
        <w:t>Agreement</w:t>
      </w:r>
      <w:r w:rsidR="00B00819" w:rsidRPr="0034665C">
        <w:rPr>
          <w:sz w:val="24"/>
          <w:szCs w:val="24"/>
        </w:rPr>
        <w:t xml:space="preserve"> to memorialize the Parties’ mutual agreement as to the performance of</w:t>
      </w:r>
      <w:r w:rsidR="00D23862" w:rsidRPr="0034665C">
        <w:rPr>
          <w:sz w:val="24"/>
          <w:szCs w:val="24"/>
        </w:rPr>
        <w:t xml:space="preserve"> and allocation of costs associated with</w:t>
      </w:r>
      <w:r w:rsidR="00B00819" w:rsidRPr="0034665C">
        <w:rPr>
          <w:sz w:val="24"/>
          <w:szCs w:val="24"/>
        </w:rPr>
        <w:t xml:space="preserve"> </w:t>
      </w:r>
      <w:r>
        <w:rPr>
          <w:sz w:val="24"/>
          <w:szCs w:val="24"/>
        </w:rPr>
        <w:t xml:space="preserve">such </w:t>
      </w:r>
      <w:r w:rsidR="00D23862" w:rsidRPr="0034665C">
        <w:rPr>
          <w:sz w:val="24"/>
          <w:szCs w:val="24"/>
        </w:rPr>
        <w:t>preliminary telecommunications work and testing</w:t>
      </w:r>
      <w:r>
        <w:rPr>
          <w:sz w:val="24"/>
          <w:szCs w:val="24"/>
        </w:rPr>
        <w:t>; and</w:t>
      </w:r>
      <w:r w:rsidR="009B01C3" w:rsidRPr="0034665C">
        <w:rPr>
          <w:sz w:val="24"/>
          <w:szCs w:val="24"/>
        </w:rPr>
        <w:t xml:space="preserve">  </w:t>
      </w:r>
      <w:r w:rsidR="00D23862" w:rsidRPr="0034665C">
        <w:rPr>
          <w:sz w:val="24"/>
          <w:szCs w:val="24"/>
        </w:rPr>
        <w:t xml:space="preserve"> </w:t>
      </w:r>
      <w:r w:rsidR="00B00819" w:rsidRPr="0034665C">
        <w:rPr>
          <w:sz w:val="24"/>
          <w:szCs w:val="24"/>
        </w:rPr>
        <w:t xml:space="preserve"> </w:t>
      </w:r>
    </w:p>
    <w:p w14:paraId="0876D5BF" w14:textId="77777777" w:rsidR="00644060" w:rsidRPr="0034665C" w:rsidRDefault="00644060" w:rsidP="00644060">
      <w:pPr>
        <w:pStyle w:val="FootnoteText"/>
        <w:widowControl w:val="0"/>
        <w:autoSpaceDE w:val="0"/>
        <w:autoSpaceDN w:val="0"/>
        <w:adjustRightInd w:val="0"/>
        <w:ind w:firstLine="720"/>
        <w:jc w:val="both"/>
        <w:rPr>
          <w:sz w:val="24"/>
          <w:szCs w:val="24"/>
        </w:rPr>
      </w:pPr>
    </w:p>
    <w:p w14:paraId="51F2A27A" w14:textId="77777777" w:rsidR="00BC1EB2" w:rsidRPr="0034665C" w:rsidRDefault="00235AE6" w:rsidP="00BC1EB2">
      <w:pPr>
        <w:pStyle w:val="FootnoteText"/>
        <w:widowControl w:val="0"/>
        <w:autoSpaceDE w:val="0"/>
        <w:autoSpaceDN w:val="0"/>
        <w:adjustRightInd w:val="0"/>
        <w:ind w:firstLine="720"/>
        <w:jc w:val="both"/>
        <w:rPr>
          <w:sz w:val="24"/>
          <w:szCs w:val="24"/>
        </w:rPr>
      </w:pPr>
      <w:r>
        <w:rPr>
          <w:sz w:val="24"/>
          <w:szCs w:val="24"/>
        </w:rPr>
        <w:t>WHEREAS, t</w:t>
      </w:r>
      <w:r w:rsidR="00BC1EB2" w:rsidRPr="0034665C">
        <w:rPr>
          <w:sz w:val="24"/>
          <w:szCs w:val="24"/>
        </w:rPr>
        <w:t>he Parties agree that any activities beyond the aforementioned preliminary work and testing activities contemplated by t</w:t>
      </w:r>
      <w:r w:rsidR="003D7F2B" w:rsidRPr="0034665C">
        <w:rPr>
          <w:sz w:val="24"/>
          <w:szCs w:val="24"/>
        </w:rPr>
        <w:t>his Agreement</w:t>
      </w:r>
      <w:r w:rsidR="00BC1EB2" w:rsidRPr="0034665C">
        <w:rPr>
          <w:sz w:val="24"/>
          <w:szCs w:val="24"/>
        </w:rPr>
        <w:t xml:space="preserve">, including but not limited to </w:t>
      </w:r>
      <w:r w:rsidR="00644060" w:rsidRPr="0034665C">
        <w:rPr>
          <w:sz w:val="24"/>
          <w:szCs w:val="24"/>
        </w:rPr>
        <w:t xml:space="preserve">the purchase of equipment, </w:t>
      </w:r>
      <w:r w:rsidR="00BC1EB2" w:rsidRPr="0034665C">
        <w:rPr>
          <w:sz w:val="24"/>
          <w:szCs w:val="24"/>
        </w:rPr>
        <w:t>the actual implementation of telecommunications solutions</w:t>
      </w:r>
      <w:r w:rsidR="00644060" w:rsidRPr="0034665C">
        <w:rPr>
          <w:sz w:val="24"/>
          <w:szCs w:val="24"/>
        </w:rPr>
        <w:t>,</w:t>
      </w:r>
      <w:r w:rsidR="00BC1EB2" w:rsidRPr="0034665C">
        <w:rPr>
          <w:sz w:val="24"/>
          <w:szCs w:val="24"/>
        </w:rPr>
        <w:t xml:space="preserve"> and</w:t>
      </w:r>
      <w:r w:rsidR="00644060" w:rsidRPr="0034665C">
        <w:rPr>
          <w:sz w:val="24"/>
          <w:szCs w:val="24"/>
        </w:rPr>
        <w:t xml:space="preserve"> the</w:t>
      </w:r>
      <w:r w:rsidR="00BC1EB2" w:rsidRPr="0034665C">
        <w:rPr>
          <w:sz w:val="24"/>
          <w:szCs w:val="24"/>
        </w:rPr>
        <w:t xml:space="preserve"> installation or upgrade of telecommunications equipment, will be memorialized in future agreements that are outside of the scope of this </w:t>
      </w:r>
      <w:r w:rsidR="003D7F2B" w:rsidRPr="0034665C">
        <w:rPr>
          <w:sz w:val="24"/>
          <w:szCs w:val="24"/>
        </w:rPr>
        <w:t>Agreement</w:t>
      </w:r>
      <w:r w:rsidR="00BC1EB2" w:rsidRPr="0034665C">
        <w:rPr>
          <w:sz w:val="24"/>
          <w:szCs w:val="24"/>
        </w:rPr>
        <w:t xml:space="preserve"> (the “Future Agreements”)</w:t>
      </w:r>
      <w:r w:rsidR="00B33B89">
        <w:rPr>
          <w:sz w:val="24"/>
          <w:szCs w:val="24"/>
        </w:rPr>
        <w:t>.</w:t>
      </w:r>
    </w:p>
    <w:p w14:paraId="645014F5" w14:textId="77777777" w:rsidR="00BC1EB2" w:rsidRPr="0034665C" w:rsidRDefault="00BC1EB2" w:rsidP="00BC1EB2">
      <w:pPr>
        <w:pStyle w:val="FootnoteText"/>
        <w:widowControl w:val="0"/>
        <w:autoSpaceDE w:val="0"/>
        <w:autoSpaceDN w:val="0"/>
        <w:adjustRightInd w:val="0"/>
        <w:ind w:firstLine="720"/>
        <w:jc w:val="both"/>
        <w:rPr>
          <w:sz w:val="24"/>
          <w:szCs w:val="24"/>
        </w:rPr>
      </w:pPr>
    </w:p>
    <w:p w14:paraId="6F40F7C2" w14:textId="77777777" w:rsidR="003E5FDA" w:rsidRDefault="00BC1EB2" w:rsidP="003E5FDA">
      <w:pPr>
        <w:pStyle w:val="FootnoteText"/>
        <w:widowControl w:val="0"/>
        <w:autoSpaceDE w:val="0"/>
        <w:autoSpaceDN w:val="0"/>
        <w:adjustRightInd w:val="0"/>
        <w:ind w:firstLine="720"/>
        <w:jc w:val="both"/>
        <w:rPr>
          <w:sz w:val="24"/>
          <w:szCs w:val="24"/>
        </w:rPr>
      </w:pPr>
      <w:r w:rsidRPr="0034665C">
        <w:rPr>
          <w:b/>
          <w:bCs/>
          <w:sz w:val="24"/>
          <w:szCs w:val="24"/>
        </w:rPr>
        <w:t>NOW THEREFORE</w:t>
      </w:r>
      <w:r w:rsidRPr="0034665C">
        <w:rPr>
          <w:sz w:val="24"/>
          <w:szCs w:val="24"/>
        </w:rPr>
        <w:t>, in consideration of the mutual covenants contained herein, and of other good and valuable consideration, the receipt and sufficiency of which are hereby acknowledged, the Parties agree as follows:</w:t>
      </w:r>
    </w:p>
    <w:p w14:paraId="2A6DB7E0" w14:textId="77777777" w:rsidR="003E5FDA" w:rsidRDefault="003E5FDA" w:rsidP="003E5FDA">
      <w:pPr>
        <w:pStyle w:val="FootnoteText"/>
        <w:widowControl w:val="0"/>
        <w:autoSpaceDE w:val="0"/>
        <w:autoSpaceDN w:val="0"/>
        <w:adjustRightInd w:val="0"/>
        <w:ind w:firstLine="720"/>
        <w:jc w:val="both"/>
        <w:rPr>
          <w:sz w:val="24"/>
          <w:szCs w:val="24"/>
        </w:rPr>
      </w:pPr>
    </w:p>
    <w:p w14:paraId="4E33E384" w14:textId="77777777" w:rsidR="00BC1EB2" w:rsidRPr="003E5FDA" w:rsidRDefault="00BC1EB2" w:rsidP="003E5FDA">
      <w:pPr>
        <w:numPr>
          <w:ilvl w:val="0"/>
          <w:numId w:val="1"/>
        </w:numPr>
        <w:tabs>
          <w:tab w:val="clear" w:pos="1440"/>
          <w:tab w:val="num" w:pos="720"/>
        </w:tabs>
        <w:spacing w:after="0" w:line="240" w:lineRule="auto"/>
        <w:ind w:left="0" w:firstLine="0"/>
        <w:jc w:val="both"/>
        <w:rPr>
          <w:rFonts w:ascii="Times New Roman" w:hAnsi="Times New Roman" w:cs="Times New Roman"/>
          <w:sz w:val="24"/>
          <w:szCs w:val="24"/>
          <w:u w:val="single"/>
        </w:rPr>
      </w:pPr>
      <w:r w:rsidRPr="0034665C">
        <w:rPr>
          <w:rFonts w:ascii="Times New Roman" w:hAnsi="Times New Roman" w:cs="Times New Roman"/>
          <w:sz w:val="24"/>
          <w:szCs w:val="24"/>
          <w:u w:val="single"/>
        </w:rPr>
        <w:t>Effective Date; Term</w:t>
      </w:r>
      <w:r w:rsidRPr="003E5FDA">
        <w:rPr>
          <w:rFonts w:ascii="Times New Roman" w:hAnsi="Times New Roman" w:cs="Times New Roman"/>
          <w:sz w:val="24"/>
          <w:szCs w:val="24"/>
        </w:rPr>
        <w:t>.</w:t>
      </w:r>
    </w:p>
    <w:p w14:paraId="37AC224F" w14:textId="77777777" w:rsidR="00BC1EB2" w:rsidRPr="0034665C" w:rsidRDefault="00BC1EB2" w:rsidP="00F114C9">
      <w:pPr>
        <w:pStyle w:val="FootnoteText"/>
        <w:widowControl w:val="0"/>
        <w:autoSpaceDE w:val="0"/>
        <w:autoSpaceDN w:val="0"/>
        <w:adjustRightInd w:val="0"/>
        <w:jc w:val="both"/>
        <w:rPr>
          <w:sz w:val="24"/>
          <w:szCs w:val="24"/>
        </w:rPr>
      </w:pPr>
    </w:p>
    <w:p w14:paraId="61AD04FE" w14:textId="77777777" w:rsidR="00BC1EB2" w:rsidRPr="0034665C" w:rsidRDefault="00BC1EB2" w:rsidP="00F114C9">
      <w:pPr>
        <w:pStyle w:val="FootnoteText"/>
        <w:widowControl w:val="0"/>
        <w:autoSpaceDE w:val="0"/>
        <w:autoSpaceDN w:val="0"/>
        <w:adjustRightInd w:val="0"/>
        <w:ind w:firstLine="720"/>
        <w:jc w:val="both"/>
        <w:rPr>
          <w:sz w:val="24"/>
          <w:szCs w:val="24"/>
        </w:rPr>
      </w:pPr>
      <w:r w:rsidRPr="0034665C">
        <w:rPr>
          <w:sz w:val="24"/>
          <w:szCs w:val="24"/>
        </w:rPr>
        <w:t>(a)</w:t>
      </w:r>
      <w:r w:rsidRPr="0034665C">
        <w:rPr>
          <w:sz w:val="24"/>
          <w:szCs w:val="24"/>
        </w:rPr>
        <w:tab/>
        <w:t xml:space="preserve">This </w:t>
      </w:r>
      <w:r w:rsidR="003D7F2B" w:rsidRPr="0034665C">
        <w:rPr>
          <w:sz w:val="24"/>
          <w:szCs w:val="24"/>
        </w:rPr>
        <w:t>Agreement</w:t>
      </w:r>
      <w:r w:rsidRPr="0034665C">
        <w:rPr>
          <w:sz w:val="24"/>
          <w:szCs w:val="24"/>
        </w:rPr>
        <w:t xml:space="preserve"> shall become effective on the Effective Date.</w:t>
      </w:r>
    </w:p>
    <w:p w14:paraId="45A56B60" w14:textId="77777777" w:rsidR="00BC1EB2" w:rsidRPr="0034665C" w:rsidRDefault="00BC1EB2" w:rsidP="00F114C9">
      <w:pPr>
        <w:pStyle w:val="FootnoteText"/>
        <w:widowControl w:val="0"/>
        <w:autoSpaceDE w:val="0"/>
        <w:autoSpaceDN w:val="0"/>
        <w:adjustRightInd w:val="0"/>
        <w:ind w:firstLine="720"/>
        <w:jc w:val="both"/>
        <w:rPr>
          <w:sz w:val="24"/>
          <w:szCs w:val="24"/>
        </w:rPr>
      </w:pPr>
    </w:p>
    <w:p w14:paraId="76151950" w14:textId="77777777" w:rsidR="00BC1EB2" w:rsidRPr="0034665C" w:rsidRDefault="00BC1EB2" w:rsidP="00F114C9">
      <w:pPr>
        <w:pStyle w:val="FootnoteText"/>
        <w:widowControl w:val="0"/>
        <w:autoSpaceDE w:val="0"/>
        <w:autoSpaceDN w:val="0"/>
        <w:adjustRightInd w:val="0"/>
        <w:ind w:firstLine="720"/>
        <w:jc w:val="both"/>
        <w:rPr>
          <w:sz w:val="24"/>
          <w:szCs w:val="24"/>
        </w:rPr>
      </w:pPr>
      <w:r w:rsidRPr="0034665C">
        <w:rPr>
          <w:sz w:val="24"/>
          <w:szCs w:val="24"/>
        </w:rPr>
        <w:t>(b)</w:t>
      </w:r>
      <w:r w:rsidRPr="0034665C">
        <w:rPr>
          <w:sz w:val="24"/>
          <w:szCs w:val="24"/>
        </w:rPr>
        <w:tab/>
        <w:t xml:space="preserve">The term of this </w:t>
      </w:r>
      <w:r w:rsidR="003D7F2B" w:rsidRPr="0034665C">
        <w:rPr>
          <w:sz w:val="24"/>
          <w:szCs w:val="24"/>
        </w:rPr>
        <w:t>Agreement</w:t>
      </w:r>
      <w:r w:rsidRPr="0034665C">
        <w:rPr>
          <w:sz w:val="24"/>
          <w:szCs w:val="24"/>
        </w:rPr>
        <w:t xml:space="preserve"> shall commence on the Effective Date, and shall terminate thirty (30) days after the date of receipt of written notice from either Party indicating that said Party has decided, in its sole and absolute discretion, to terminate this </w:t>
      </w:r>
      <w:r w:rsidR="003D7F2B" w:rsidRPr="0034665C">
        <w:rPr>
          <w:sz w:val="24"/>
          <w:szCs w:val="24"/>
        </w:rPr>
        <w:t>Agreement</w:t>
      </w:r>
      <w:r w:rsidRPr="0034665C">
        <w:rPr>
          <w:sz w:val="24"/>
          <w:szCs w:val="24"/>
        </w:rPr>
        <w:t xml:space="preserve"> (the “</w:t>
      </w:r>
      <w:r w:rsidRPr="0034665C">
        <w:rPr>
          <w:sz w:val="24"/>
          <w:szCs w:val="24"/>
          <w:u w:val="single"/>
        </w:rPr>
        <w:t>Termination Date</w:t>
      </w:r>
      <w:r w:rsidRPr="0034665C">
        <w:rPr>
          <w:sz w:val="24"/>
          <w:szCs w:val="24"/>
        </w:rPr>
        <w:t xml:space="preserve">”).  The right to terminate this </w:t>
      </w:r>
      <w:r w:rsidR="003D7F2B" w:rsidRPr="0034665C">
        <w:rPr>
          <w:sz w:val="24"/>
          <w:szCs w:val="24"/>
        </w:rPr>
        <w:t>Agreement</w:t>
      </w:r>
      <w:r w:rsidRPr="0034665C">
        <w:rPr>
          <w:sz w:val="24"/>
          <w:szCs w:val="24"/>
        </w:rPr>
        <w:t xml:space="preserve"> through provision of the aforementioned written notice may be exercised by either Party at any time, with or without cause.</w:t>
      </w:r>
    </w:p>
    <w:p w14:paraId="2279114B" w14:textId="77777777" w:rsidR="00BC1EB2" w:rsidRPr="0034665C" w:rsidRDefault="00BC1EB2" w:rsidP="00F114C9">
      <w:pPr>
        <w:pStyle w:val="FootnoteText"/>
        <w:widowControl w:val="0"/>
        <w:autoSpaceDE w:val="0"/>
        <w:autoSpaceDN w:val="0"/>
        <w:adjustRightInd w:val="0"/>
        <w:ind w:firstLine="720"/>
        <w:jc w:val="both"/>
        <w:rPr>
          <w:sz w:val="24"/>
          <w:szCs w:val="24"/>
        </w:rPr>
      </w:pPr>
    </w:p>
    <w:p w14:paraId="19992E35" w14:textId="77777777" w:rsidR="00BC1EB2" w:rsidRPr="0034665C" w:rsidRDefault="00BC1EB2" w:rsidP="00F114C9">
      <w:pPr>
        <w:pStyle w:val="FootnoteText"/>
        <w:widowControl w:val="0"/>
        <w:autoSpaceDE w:val="0"/>
        <w:autoSpaceDN w:val="0"/>
        <w:adjustRightInd w:val="0"/>
        <w:ind w:firstLine="720"/>
        <w:jc w:val="both"/>
        <w:rPr>
          <w:sz w:val="24"/>
          <w:szCs w:val="24"/>
        </w:rPr>
      </w:pPr>
      <w:r w:rsidRPr="0034665C">
        <w:rPr>
          <w:sz w:val="24"/>
          <w:szCs w:val="24"/>
        </w:rPr>
        <w:t>(c)</w:t>
      </w:r>
      <w:r w:rsidRPr="0034665C">
        <w:rPr>
          <w:sz w:val="24"/>
          <w:szCs w:val="24"/>
        </w:rPr>
        <w:tab/>
        <w:t xml:space="preserve">This </w:t>
      </w:r>
      <w:r w:rsidR="003D7F2B" w:rsidRPr="0034665C">
        <w:rPr>
          <w:sz w:val="24"/>
          <w:szCs w:val="24"/>
        </w:rPr>
        <w:t>Agreement</w:t>
      </w:r>
      <w:r w:rsidRPr="0034665C">
        <w:rPr>
          <w:sz w:val="24"/>
          <w:szCs w:val="24"/>
        </w:rPr>
        <w:t xml:space="preserve"> shall automatically terminate on the Termination Date.  Upon the termination of this </w:t>
      </w:r>
      <w:r w:rsidR="003D7F2B" w:rsidRPr="0034665C">
        <w:rPr>
          <w:sz w:val="24"/>
          <w:szCs w:val="24"/>
        </w:rPr>
        <w:t>Agreement</w:t>
      </w:r>
      <w:r w:rsidRPr="0034665C">
        <w:rPr>
          <w:sz w:val="24"/>
          <w:szCs w:val="24"/>
        </w:rPr>
        <w:t xml:space="preserve">, this </w:t>
      </w:r>
      <w:r w:rsidR="003D7F2B" w:rsidRPr="0034665C">
        <w:rPr>
          <w:sz w:val="24"/>
          <w:szCs w:val="24"/>
        </w:rPr>
        <w:t>Agreement</w:t>
      </w:r>
      <w:r w:rsidRPr="0034665C">
        <w:rPr>
          <w:sz w:val="24"/>
          <w:szCs w:val="24"/>
        </w:rPr>
        <w:t xml:space="preserve"> shall have no further force and effect, except that any rights and remedies that have arisen or accrued to either Party prior to such expiration or termination, or any obligations or liabilities that have arisen or accrued before such expiration or termination and that expressly survive such termination pursuant to this </w:t>
      </w:r>
      <w:r w:rsidR="003D7F2B" w:rsidRPr="0034665C">
        <w:rPr>
          <w:sz w:val="24"/>
          <w:szCs w:val="24"/>
        </w:rPr>
        <w:t>Agreement</w:t>
      </w:r>
      <w:r w:rsidRPr="0034665C">
        <w:rPr>
          <w:sz w:val="24"/>
          <w:szCs w:val="24"/>
        </w:rPr>
        <w:t xml:space="preserve">, shall in each case survive termination of this </w:t>
      </w:r>
      <w:r w:rsidR="003D7F2B" w:rsidRPr="0034665C">
        <w:rPr>
          <w:sz w:val="24"/>
          <w:szCs w:val="24"/>
        </w:rPr>
        <w:t>Agreement</w:t>
      </w:r>
      <w:r w:rsidRPr="0034665C">
        <w:rPr>
          <w:sz w:val="24"/>
          <w:szCs w:val="24"/>
        </w:rPr>
        <w:t xml:space="preserve">.  In the event that </w:t>
      </w:r>
      <w:r w:rsidR="003D7F2B" w:rsidRPr="0034665C">
        <w:rPr>
          <w:sz w:val="24"/>
          <w:szCs w:val="24"/>
        </w:rPr>
        <w:t>either Party</w:t>
      </w:r>
      <w:r w:rsidRPr="0034665C">
        <w:rPr>
          <w:sz w:val="24"/>
          <w:szCs w:val="24"/>
        </w:rPr>
        <w:t xml:space="preserve"> should terminate this </w:t>
      </w:r>
      <w:r w:rsidR="003D7F2B" w:rsidRPr="0034665C">
        <w:rPr>
          <w:sz w:val="24"/>
          <w:szCs w:val="24"/>
        </w:rPr>
        <w:t>Agreement</w:t>
      </w:r>
      <w:r w:rsidRPr="0034665C">
        <w:rPr>
          <w:sz w:val="24"/>
          <w:szCs w:val="24"/>
        </w:rPr>
        <w:t xml:space="preserve"> prior to the completion of the of the </w:t>
      </w:r>
      <w:r w:rsidR="00F114C9" w:rsidRPr="0034665C">
        <w:rPr>
          <w:sz w:val="24"/>
          <w:szCs w:val="24"/>
        </w:rPr>
        <w:t>preliminary telecommunications work and testing</w:t>
      </w:r>
      <w:r w:rsidRPr="0034665C">
        <w:rPr>
          <w:sz w:val="24"/>
          <w:szCs w:val="24"/>
        </w:rPr>
        <w:t xml:space="preserve"> and/or prior to billing and reimbursement activities in Section 2, </w:t>
      </w:r>
      <w:r w:rsidR="00F114C9" w:rsidRPr="0034665C">
        <w:rPr>
          <w:sz w:val="24"/>
          <w:szCs w:val="24"/>
        </w:rPr>
        <w:t>KyMEA</w:t>
      </w:r>
      <w:r w:rsidRPr="0034665C">
        <w:rPr>
          <w:sz w:val="24"/>
          <w:szCs w:val="24"/>
        </w:rPr>
        <w:t xml:space="preserve"> shall reimburse LG&amp;E/KU for any costs incurred in the performance of its obligations under this </w:t>
      </w:r>
      <w:r w:rsidR="003D7F2B" w:rsidRPr="0034665C">
        <w:rPr>
          <w:sz w:val="24"/>
          <w:szCs w:val="24"/>
        </w:rPr>
        <w:t>Agreement</w:t>
      </w:r>
      <w:r w:rsidRPr="0034665C">
        <w:rPr>
          <w:sz w:val="24"/>
          <w:szCs w:val="24"/>
        </w:rPr>
        <w:t xml:space="preserve"> within 30 days of receipt of LG&amp;E/KU’s calculation of such costs incurred. Termination of this </w:t>
      </w:r>
      <w:r w:rsidR="003D7F2B" w:rsidRPr="0034665C">
        <w:rPr>
          <w:sz w:val="24"/>
          <w:szCs w:val="24"/>
        </w:rPr>
        <w:t>Agreement</w:t>
      </w:r>
      <w:r w:rsidRPr="0034665C">
        <w:rPr>
          <w:sz w:val="24"/>
          <w:szCs w:val="24"/>
        </w:rPr>
        <w:t xml:space="preserve"> does not relieve </w:t>
      </w:r>
      <w:r w:rsidR="00F114C9" w:rsidRPr="0034665C">
        <w:rPr>
          <w:sz w:val="24"/>
          <w:szCs w:val="24"/>
        </w:rPr>
        <w:t>KyMEA</w:t>
      </w:r>
      <w:r w:rsidRPr="0034665C">
        <w:rPr>
          <w:sz w:val="24"/>
          <w:szCs w:val="24"/>
        </w:rPr>
        <w:t xml:space="preserve"> of the obligation to reimburse LG&amp;E/KU its costs incurred in the course of performing its obligations under this </w:t>
      </w:r>
      <w:r w:rsidR="003D7F2B" w:rsidRPr="0034665C">
        <w:rPr>
          <w:sz w:val="24"/>
          <w:szCs w:val="24"/>
        </w:rPr>
        <w:t>Agreement</w:t>
      </w:r>
      <w:r w:rsidRPr="0034665C">
        <w:rPr>
          <w:sz w:val="24"/>
          <w:szCs w:val="24"/>
        </w:rPr>
        <w:t xml:space="preserve">. The rights and obligations set forth in Sections 4 and 6 shall survive in full force and effect the termination of this </w:t>
      </w:r>
      <w:r w:rsidR="003D7F2B" w:rsidRPr="0034665C">
        <w:rPr>
          <w:sz w:val="24"/>
          <w:szCs w:val="24"/>
        </w:rPr>
        <w:t>Agreement</w:t>
      </w:r>
      <w:r w:rsidRPr="0034665C">
        <w:rPr>
          <w:sz w:val="24"/>
          <w:szCs w:val="24"/>
        </w:rPr>
        <w:t>.</w:t>
      </w:r>
    </w:p>
    <w:p w14:paraId="248E776E" w14:textId="77777777" w:rsidR="00BC1EB2" w:rsidRPr="0034665C" w:rsidRDefault="00BC1EB2" w:rsidP="00F114C9">
      <w:pPr>
        <w:pStyle w:val="FootnoteText"/>
        <w:widowControl w:val="0"/>
        <w:autoSpaceDE w:val="0"/>
        <w:autoSpaceDN w:val="0"/>
        <w:adjustRightInd w:val="0"/>
        <w:ind w:firstLine="720"/>
        <w:jc w:val="both"/>
        <w:rPr>
          <w:sz w:val="24"/>
          <w:szCs w:val="24"/>
        </w:rPr>
      </w:pPr>
    </w:p>
    <w:p w14:paraId="08887814" w14:textId="77777777" w:rsidR="00BC1EB2" w:rsidRPr="0034665C" w:rsidRDefault="00BC1EB2" w:rsidP="00F114C9">
      <w:pPr>
        <w:numPr>
          <w:ilvl w:val="0"/>
          <w:numId w:val="1"/>
        </w:numPr>
        <w:tabs>
          <w:tab w:val="clear" w:pos="1440"/>
          <w:tab w:val="num" w:pos="720"/>
        </w:tabs>
        <w:spacing w:after="0" w:line="240" w:lineRule="auto"/>
        <w:ind w:left="0" w:firstLine="0"/>
        <w:jc w:val="both"/>
        <w:rPr>
          <w:rFonts w:ascii="Times New Roman" w:hAnsi="Times New Roman" w:cs="Times New Roman"/>
          <w:sz w:val="24"/>
          <w:szCs w:val="24"/>
        </w:rPr>
      </w:pPr>
      <w:r w:rsidRPr="0034665C">
        <w:rPr>
          <w:rFonts w:ascii="Times New Roman" w:hAnsi="Times New Roman" w:cs="Times New Roman"/>
          <w:sz w:val="24"/>
          <w:szCs w:val="24"/>
          <w:u w:val="single"/>
        </w:rPr>
        <w:t>Pre</w:t>
      </w:r>
      <w:r w:rsidR="00F114C9" w:rsidRPr="0034665C">
        <w:rPr>
          <w:rFonts w:ascii="Times New Roman" w:hAnsi="Times New Roman" w:cs="Times New Roman"/>
          <w:sz w:val="24"/>
          <w:szCs w:val="24"/>
          <w:u w:val="single"/>
        </w:rPr>
        <w:t>liminary Telecommunications Work and Testing</w:t>
      </w:r>
      <w:r w:rsidRPr="0034665C">
        <w:rPr>
          <w:rFonts w:ascii="Times New Roman" w:hAnsi="Times New Roman" w:cs="Times New Roman"/>
          <w:sz w:val="24"/>
          <w:szCs w:val="24"/>
          <w:u w:val="single"/>
        </w:rPr>
        <w:t xml:space="preserve"> Activities and Cost Assignments</w:t>
      </w:r>
      <w:r w:rsidRPr="0034665C">
        <w:rPr>
          <w:rFonts w:ascii="Times New Roman" w:hAnsi="Times New Roman" w:cs="Times New Roman"/>
          <w:sz w:val="24"/>
          <w:szCs w:val="24"/>
        </w:rPr>
        <w:t>.</w:t>
      </w:r>
    </w:p>
    <w:p w14:paraId="767344D2" w14:textId="77777777" w:rsidR="00BC1EB2" w:rsidRPr="0034665C" w:rsidRDefault="00BC1EB2" w:rsidP="00BC1EB2">
      <w:pPr>
        <w:pStyle w:val="FootnoteText"/>
        <w:widowControl w:val="0"/>
        <w:autoSpaceDE w:val="0"/>
        <w:autoSpaceDN w:val="0"/>
        <w:adjustRightInd w:val="0"/>
        <w:ind w:firstLine="720"/>
        <w:jc w:val="both"/>
        <w:rPr>
          <w:b/>
          <w:sz w:val="24"/>
          <w:szCs w:val="24"/>
        </w:rPr>
      </w:pPr>
    </w:p>
    <w:p w14:paraId="3F2416EA" w14:textId="77777777" w:rsidR="00F114C9" w:rsidRPr="0034665C" w:rsidRDefault="00F114C9" w:rsidP="00914696">
      <w:pPr>
        <w:pStyle w:val="FootnoteText"/>
        <w:widowControl w:val="0"/>
        <w:autoSpaceDE w:val="0"/>
        <w:autoSpaceDN w:val="0"/>
        <w:adjustRightInd w:val="0"/>
        <w:ind w:firstLine="720"/>
        <w:jc w:val="both"/>
        <w:rPr>
          <w:sz w:val="24"/>
          <w:szCs w:val="24"/>
        </w:rPr>
      </w:pPr>
      <w:r w:rsidRPr="0034665C">
        <w:rPr>
          <w:sz w:val="24"/>
          <w:szCs w:val="24"/>
        </w:rPr>
        <w:t xml:space="preserve">KyMEA has requested LG&amp;E/KU to undertake certain preliminary telecommunications work and testing activities, and LG&amp;E/KU has agreed to perform such activities subject to the Parties mutual agreement that KyMEA shall reimburse LG&amp;E/KU for LG&amp;E/KU’s costs associated with said </w:t>
      </w:r>
      <w:r w:rsidR="003E6A70" w:rsidRPr="0034665C">
        <w:rPr>
          <w:sz w:val="24"/>
          <w:szCs w:val="24"/>
        </w:rPr>
        <w:t>preliminary telecommunications work and testing activities</w:t>
      </w:r>
      <w:r w:rsidRPr="0034665C">
        <w:rPr>
          <w:sz w:val="24"/>
          <w:szCs w:val="24"/>
        </w:rPr>
        <w:t xml:space="preserve">. </w:t>
      </w:r>
    </w:p>
    <w:p w14:paraId="668FD4C4" w14:textId="77777777" w:rsidR="003E6A70" w:rsidRPr="0034665C" w:rsidRDefault="003E6A70" w:rsidP="00914696">
      <w:pPr>
        <w:pStyle w:val="FootnoteText"/>
        <w:widowControl w:val="0"/>
        <w:autoSpaceDE w:val="0"/>
        <w:autoSpaceDN w:val="0"/>
        <w:adjustRightInd w:val="0"/>
        <w:ind w:firstLine="720"/>
        <w:jc w:val="both"/>
        <w:rPr>
          <w:sz w:val="24"/>
          <w:szCs w:val="24"/>
        </w:rPr>
      </w:pPr>
    </w:p>
    <w:p w14:paraId="36E2412A" w14:textId="77777777" w:rsidR="003E6A70" w:rsidRPr="0034665C" w:rsidRDefault="003E6A70" w:rsidP="00914696">
      <w:pPr>
        <w:pStyle w:val="ListParagraph"/>
        <w:numPr>
          <w:ilvl w:val="1"/>
          <w:numId w:val="1"/>
        </w:numPr>
        <w:tabs>
          <w:tab w:val="clear" w:pos="720"/>
        </w:tabs>
        <w:spacing w:after="120"/>
        <w:ind w:firstLine="720"/>
        <w:contextualSpacing w:val="0"/>
        <w:jc w:val="both"/>
      </w:pPr>
      <w:r w:rsidRPr="0034665C">
        <w:t xml:space="preserve">Specifically, KyMEA has requested and LG&amp;E/KU has agreed to perform the following: </w:t>
      </w:r>
    </w:p>
    <w:p w14:paraId="20EAB98F" w14:textId="77777777" w:rsidR="003E6A70" w:rsidRPr="0034665C" w:rsidRDefault="005C4076" w:rsidP="00914696">
      <w:pPr>
        <w:pStyle w:val="FootnoteText"/>
        <w:widowControl w:val="0"/>
        <w:autoSpaceDE w:val="0"/>
        <w:autoSpaceDN w:val="0"/>
        <w:adjustRightInd w:val="0"/>
        <w:ind w:left="720" w:firstLine="720"/>
        <w:jc w:val="both"/>
        <w:rPr>
          <w:sz w:val="24"/>
          <w:szCs w:val="24"/>
        </w:rPr>
      </w:pPr>
      <w:r w:rsidRPr="0034665C">
        <w:rPr>
          <w:sz w:val="24"/>
          <w:szCs w:val="24"/>
        </w:rPr>
        <w:t>Evaluation and testing of potential telecommunication solutions to support transition of certain municipal customers to transmission customers, including:</w:t>
      </w:r>
    </w:p>
    <w:p w14:paraId="67DD597F" w14:textId="77777777" w:rsidR="005C4076" w:rsidRPr="0034665C" w:rsidRDefault="005C4076" w:rsidP="00914696">
      <w:pPr>
        <w:pStyle w:val="FootnoteText"/>
        <w:widowControl w:val="0"/>
        <w:autoSpaceDE w:val="0"/>
        <w:autoSpaceDN w:val="0"/>
        <w:adjustRightInd w:val="0"/>
        <w:ind w:left="720" w:firstLine="720"/>
        <w:jc w:val="both"/>
        <w:rPr>
          <w:sz w:val="24"/>
          <w:szCs w:val="24"/>
        </w:rPr>
      </w:pPr>
    </w:p>
    <w:p w14:paraId="31BF3FF8" w14:textId="77777777" w:rsidR="00DB6903" w:rsidRPr="0034665C" w:rsidRDefault="005C4076" w:rsidP="00914696">
      <w:pPr>
        <w:pStyle w:val="ListParagraph"/>
        <w:widowControl w:val="0"/>
        <w:numPr>
          <w:ilvl w:val="1"/>
          <w:numId w:val="2"/>
        </w:numPr>
        <w:autoSpaceDE w:val="0"/>
        <w:autoSpaceDN w:val="0"/>
        <w:adjustRightInd w:val="0"/>
        <w:spacing w:after="120"/>
        <w:ind w:left="720" w:firstLine="720"/>
        <w:contextualSpacing w:val="0"/>
        <w:jc w:val="both"/>
      </w:pPr>
      <w:r w:rsidRPr="0034665C">
        <w:t xml:space="preserve">Site visits; </w:t>
      </w:r>
    </w:p>
    <w:p w14:paraId="1105D6FA" w14:textId="77777777" w:rsidR="005C4076" w:rsidRPr="0034665C" w:rsidRDefault="00DB6903" w:rsidP="00914696">
      <w:pPr>
        <w:pStyle w:val="ListParagraph"/>
        <w:widowControl w:val="0"/>
        <w:numPr>
          <w:ilvl w:val="1"/>
          <w:numId w:val="2"/>
        </w:numPr>
        <w:autoSpaceDE w:val="0"/>
        <w:autoSpaceDN w:val="0"/>
        <w:adjustRightInd w:val="0"/>
        <w:spacing w:after="120"/>
        <w:ind w:left="720" w:firstLine="720"/>
        <w:contextualSpacing w:val="0"/>
        <w:jc w:val="both"/>
      </w:pPr>
      <w:r w:rsidRPr="0034665C">
        <w:t xml:space="preserve">Engineering studies; </w:t>
      </w:r>
      <w:r w:rsidR="005C4076" w:rsidRPr="0034665C">
        <w:t>and</w:t>
      </w:r>
    </w:p>
    <w:p w14:paraId="2814EC0B" w14:textId="77777777" w:rsidR="005C4076" w:rsidRPr="0034665C" w:rsidRDefault="005C4076" w:rsidP="00914696">
      <w:pPr>
        <w:pStyle w:val="ListParagraph"/>
        <w:widowControl w:val="0"/>
        <w:numPr>
          <w:ilvl w:val="1"/>
          <w:numId w:val="2"/>
        </w:numPr>
        <w:autoSpaceDE w:val="0"/>
        <w:autoSpaceDN w:val="0"/>
        <w:adjustRightInd w:val="0"/>
        <w:spacing w:after="120"/>
        <w:ind w:left="2160" w:hanging="720"/>
        <w:contextualSpacing w:val="0"/>
        <w:jc w:val="both"/>
      </w:pPr>
      <w:r w:rsidRPr="0034665C">
        <w:t xml:space="preserve">Development of </w:t>
      </w:r>
      <w:r w:rsidR="00D4582A" w:rsidRPr="0034665C">
        <w:t xml:space="preserve">a recommended approach and identification of telecommunication needs associated with the transition from full </w:t>
      </w:r>
      <w:r w:rsidR="00D4582A" w:rsidRPr="0034665C">
        <w:lastRenderedPageBreak/>
        <w:t xml:space="preserve">requirements customers to transmission customers, including </w:t>
      </w:r>
      <w:r w:rsidR="00BB2B77" w:rsidRPr="0034665C">
        <w:t xml:space="preserve">identification of appropriate equipment and </w:t>
      </w:r>
      <w:r w:rsidRPr="0034665C">
        <w:t xml:space="preserve">estimated </w:t>
      </w:r>
      <w:r w:rsidR="00D4582A" w:rsidRPr="0034665C">
        <w:t>equipment</w:t>
      </w:r>
      <w:r w:rsidRPr="0034665C">
        <w:t xml:space="preserve"> </w:t>
      </w:r>
      <w:r w:rsidR="00D4582A" w:rsidRPr="0034665C">
        <w:t xml:space="preserve">and </w:t>
      </w:r>
      <w:r w:rsidRPr="0034665C">
        <w:t>labor costs.</w:t>
      </w:r>
    </w:p>
    <w:p w14:paraId="45B036D1" w14:textId="3B764070" w:rsidR="00D96A55" w:rsidRPr="0034665C" w:rsidRDefault="00D96A55" w:rsidP="00D96A55">
      <w:pPr>
        <w:pStyle w:val="ListParagraph"/>
        <w:numPr>
          <w:ilvl w:val="1"/>
          <w:numId w:val="1"/>
        </w:numPr>
        <w:tabs>
          <w:tab w:val="clear" w:pos="720"/>
        </w:tabs>
        <w:ind w:firstLine="720"/>
        <w:jc w:val="both"/>
      </w:pPr>
      <w:r w:rsidRPr="0034665C">
        <w:t>The Parties estimate that the costs of said pre</w:t>
      </w:r>
      <w:r w:rsidR="00DB6903" w:rsidRPr="0034665C">
        <w:t xml:space="preserve">liminary telecommunications work and testing </w:t>
      </w:r>
      <w:r w:rsidRPr="0034665C">
        <w:t xml:space="preserve">activities will </w:t>
      </w:r>
      <w:r w:rsidR="007E593C">
        <w:t xml:space="preserve">be </w:t>
      </w:r>
      <w:r w:rsidRPr="0034665C">
        <w:t>$</w:t>
      </w:r>
      <w:r w:rsidR="00E018D3" w:rsidRPr="0034665C">
        <w:t>100,000</w:t>
      </w:r>
      <w:r w:rsidRPr="0034665C">
        <w:t xml:space="preserve">. </w:t>
      </w:r>
      <w:r w:rsidR="007E593C">
        <w:t xml:space="preserve">If the costs of said </w:t>
      </w:r>
      <w:r w:rsidR="007E593C" w:rsidRPr="0034665C">
        <w:t>preliminary telecommunications work and testing activities</w:t>
      </w:r>
      <w:r w:rsidR="007E593C">
        <w:t xml:space="preserve"> is expected to exceed $100,000, LG&amp;E/KU shall notify KyMEA as to the revised es</w:t>
      </w:r>
      <w:bookmarkStart w:id="1" w:name="_GoBack"/>
      <w:bookmarkEnd w:id="1"/>
      <w:r w:rsidR="007E593C">
        <w:t xml:space="preserve">timated costs.  </w:t>
      </w:r>
      <w:r w:rsidRPr="0034665C">
        <w:t xml:space="preserve">The Parties agree LG&amp;E/KU will calculate the actual costs of said </w:t>
      </w:r>
      <w:r w:rsidR="00DB6903" w:rsidRPr="0034665C">
        <w:t xml:space="preserve">preliminary telecommunications work and testing activities </w:t>
      </w:r>
      <w:r w:rsidRPr="0034665C">
        <w:t xml:space="preserve">upon the completion of said activities and that </w:t>
      </w:r>
      <w:r w:rsidR="00DB6903" w:rsidRPr="0034665C">
        <w:t>KyMEA</w:t>
      </w:r>
      <w:r w:rsidRPr="0034665C">
        <w:t xml:space="preserve"> shall reimburse LG&amp;E/KU such actual costs within 30 days after receipt of the calculated actual costs from LG&amp;E/KU.</w:t>
      </w:r>
    </w:p>
    <w:p w14:paraId="1433BB15" w14:textId="77777777" w:rsidR="00AA23A4" w:rsidRPr="0034665C" w:rsidRDefault="00AA23A4" w:rsidP="00AA23A4">
      <w:pPr>
        <w:pStyle w:val="ListParagraph"/>
        <w:jc w:val="both"/>
      </w:pPr>
    </w:p>
    <w:p w14:paraId="1F9CCF3A" w14:textId="77777777" w:rsidR="00D96A55" w:rsidRPr="0034665C" w:rsidRDefault="00D96A55" w:rsidP="00914696">
      <w:pPr>
        <w:numPr>
          <w:ilvl w:val="0"/>
          <w:numId w:val="1"/>
        </w:numPr>
        <w:tabs>
          <w:tab w:val="clear" w:pos="1440"/>
          <w:tab w:val="left" w:pos="720"/>
        </w:tabs>
        <w:spacing w:after="0" w:line="240" w:lineRule="auto"/>
        <w:ind w:left="0" w:firstLine="0"/>
        <w:rPr>
          <w:rFonts w:ascii="Times New Roman" w:hAnsi="Times New Roman" w:cs="Times New Roman"/>
          <w:sz w:val="24"/>
          <w:szCs w:val="24"/>
        </w:rPr>
      </w:pPr>
      <w:r w:rsidRPr="0034665C">
        <w:rPr>
          <w:rFonts w:ascii="Times New Roman" w:hAnsi="Times New Roman" w:cs="Times New Roman"/>
          <w:sz w:val="24"/>
          <w:szCs w:val="24"/>
          <w:u w:val="single"/>
        </w:rPr>
        <w:t xml:space="preserve">Nature of </w:t>
      </w:r>
      <w:r w:rsidR="003D7F2B" w:rsidRPr="0034665C">
        <w:rPr>
          <w:rFonts w:ascii="Times New Roman" w:hAnsi="Times New Roman" w:cs="Times New Roman"/>
          <w:sz w:val="24"/>
          <w:szCs w:val="24"/>
          <w:u w:val="single"/>
        </w:rPr>
        <w:t>Agreement</w:t>
      </w:r>
      <w:r w:rsidRPr="0034665C">
        <w:rPr>
          <w:rFonts w:ascii="Times New Roman" w:hAnsi="Times New Roman" w:cs="Times New Roman"/>
          <w:sz w:val="24"/>
          <w:szCs w:val="24"/>
        </w:rPr>
        <w:t xml:space="preserve">.  </w:t>
      </w:r>
    </w:p>
    <w:p w14:paraId="5DC69931" w14:textId="77777777" w:rsidR="00914696" w:rsidRPr="0034665C" w:rsidRDefault="00914696" w:rsidP="00914696">
      <w:pPr>
        <w:tabs>
          <w:tab w:val="left" w:pos="720"/>
        </w:tabs>
        <w:spacing w:after="0" w:line="240" w:lineRule="auto"/>
        <w:rPr>
          <w:rFonts w:ascii="Times New Roman" w:hAnsi="Times New Roman" w:cs="Times New Roman"/>
          <w:sz w:val="24"/>
          <w:szCs w:val="24"/>
        </w:rPr>
      </w:pPr>
    </w:p>
    <w:p w14:paraId="26EFE4B0" w14:textId="77777777" w:rsidR="00D96A55" w:rsidRPr="0034665C" w:rsidRDefault="00D96A55" w:rsidP="00914696">
      <w:pPr>
        <w:ind w:firstLine="720"/>
        <w:jc w:val="both"/>
        <w:rPr>
          <w:rFonts w:ascii="Times New Roman" w:hAnsi="Times New Roman" w:cs="Times New Roman"/>
          <w:sz w:val="24"/>
          <w:szCs w:val="24"/>
        </w:rPr>
      </w:pPr>
      <w:r w:rsidRPr="0034665C">
        <w:rPr>
          <w:rFonts w:ascii="Times New Roman" w:hAnsi="Times New Roman" w:cs="Times New Roman"/>
          <w:sz w:val="24"/>
          <w:szCs w:val="24"/>
        </w:rPr>
        <w:t xml:space="preserve">The Parties are entering into this </w:t>
      </w:r>
      <w:r w:rsidR="003D7F2B"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to memorialize the Parties’ mutual agreement as to the performance of and allocation of costs associated with certain </w:t>
      </w:r>
      <w:r w:rsidR="00DB6903" w:rsidRPr="0034665C">
        <w:rPr>
          <w:rFonts w:ascii="Times New Roman" w:hAnsi="Times New Roman" w:cs="Times New Roman"/>
          <w:sz w:val="24"/>
          <w:szCs w:val="24"/>
        </w:rPr>
        <w:t>preliminary telecommunications work and testing activities</w:t>
      </w:r>
      <w:r w:rsidRPr="0034665C">
        <w:rPr>
          <w:rFonts w:ascii="Times New Roman" w:hAnsi="Times New Roman" w:cs="Times New Roman"/>
          <w:sz w:val="24"/>
          <w:szCs w:val="24"/>
        </w:rPr>
        <w:t xml:space="preserve"> associated with the </w:t>
      </w:r>
      <w:r w:rsidR="00DB6903" w:rsidRPr="0034665C">
        <w:rPr>
          <w:rFonts w:ascii="Times New Roman" w:hAnsi="Times New Roman" w:cs="Times New Roman"/>
          <w:sz w:val="24"/>
          <w:szCs w:val="24"/>
        </w:rPr>
        <w:t>transition of certain municipal customers of KyMEA from wholesale full requirements customers to transmission only customers under the LG&amp;E/KU Joint Pro Forma Open Access Transmission Tariff</w:t>
      </w:r>
      <w:r w:rsidRPr="0034665C">
        <w:rPr>
          <w:rFonts w:ascii="Times New Roman" w:hAnsi="Times New Roman" w:cs="Times New Roman"/>
          <w:sz w:val="24"/>
          <w:szCs w:val="24"/>
        </w:rPr>
        <w:t xml:space="preserve">. 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is not intended to include any of the essential terms and conditions that may be contained in any Future Agreements and, accordingly, 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is not intended to be a complete and binding agreement as to the terms and conditions of any Future Agreements and the obligations or </w:t>
      </w:r>
      <w:r w:rsidR="00AA7A48" w:rsidRPr="0034665C">
        <w:rPr>
          <w:rFonts w:ascii="Times New Roman" w:hAnsi="Times New Roman" w:cs="Times New Roman"/>
          <w:sz w:val="24"/>
          <w:szCs w:val="24"/>
        </w:rPr>
        <w:t>service</w:t>
      </w:r>
      <w:r w:rsidRPr="0034665C">
        <w:rPr>
          <w:rFonts w:ascii="Times New Roman" w:hAnsi="Times New Roman" w:cs="Times New Roman"/>
          <w:sz w:val="24"/>
          <w:szCs w:val="24"/>
        </w:rPr>
        <w:t xml:space="preserve"> contemplated there</w:t>
      </w:r>
      <w:r w:rsidR="00AA7A48" w:rsidRPr="0034665C">
        <w:rPr>
          <w:rFonts w:ascii="Times New Roman" w:hAnsi="Times New Roman" w:cs="Times New Roman"/>
          <w:sz w:val="24"/>
          <w:szCs w:val="24"/>
        </w:rPr>
        <w:t>under</w:t>
      </w:r>
      <w:r w:rsidRPr="0034665C">
        <w:rPr>
          <w:rFonts w:ascii="Times New Roman" w:hAnsi="Times New Roman" w:cs="Times New Roman"/>
          <w:sz w:val="24"/>
          <w:szCs w:val="24"/>
        </w:rPr>
        <w:t xml:space="preserve">.  No binding agreement will exist between the Parties with respect to the obligations or transactions to be included in any Future Agreements, unless and until the Parties execute the aforementioned Future Agreements and obtain all necessary regulatory approvals associated therewith.  Notwithstanding the foregoing sentences in this </w:t>
      </w:r>
      <w:r w:rsidRPr="0034665C">
        <w:rPr>
          <w:rFonts w:ascii="Times New Roman" w:hAnsi="Times New Roman" w:cs="Times New Roman"/>
          <w:sz w:val="24"/>
          <w:szCs w:val="24"/>
          <w:u w:val="single"/>
        </w:rPr>
        <w:t>Section 3</w:t>
      </w:r>
      <w:r w:rsidRPr="0034665C">
        <w:rPr>
          <w:rFonts w:ascii="Times New Roman" w:hAnsi="Times New Roman" w:cs="Times New Roman"/>
          <w:sz w:val="24"/>
          <w:szCs w:val="24"/>
        </w:rPr>
        <w:t xml:space="preserve">, it is expressly agreed by the Parties that the terms and conditions of 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are intended to be legal, valid, and binding obligations of the Parties, enforceable as to the terms and conditions that are specified in 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w:t>
      </w:r>
    </w:p>
    <w:p w14:paraId="5C24FF64" w14:textId="77777777" w:rsidR="00D96A55" w:rsidRPr="0034665C" w:rsidRDefault="00D96A55" w:rsidP="00D96A55">
      <w:pPr>
        <w:numPr>
          <w:ilvl w:val="0"/>
          <w:numId w:val="1"/>
        </w:numPr>
        <w:tabs>
          <w:tab w:val="clear" w:pos="1440"/>
          <w:tab w:val="num" w:pos="720"/>
        </w:tabs>
        <w:spacing w:after="0" w:line="240" w:lineRule="auto"/>
        <w:ind w:left="0" w:firstLine="0"/>
        <w:rPr>
          <w:rFonts w:ascii="Times New Roman" w:hAnsi="Times New Roman" w:cs="Times New Roman"/>
          <w:sz w:val="24"/>
          <w:szCs w:val="24"/>
        </w:rPr>
      </w:pPr>
      <w:r w:rsidRPr="0034665C">
        <w:rPr>
          <w:rFonts w:ascii="Times New Roman" w:hAnsi="Times New Roman" w:cs="Times New Roman"/>
          <w:sz w:val="24"/>
          <w:szCs w:val="24"/>
          <w:u w:val="single"/>
        </w:rPr>
        <w:t>Confidentiality</w:t>
      </w:r>
      <w:r w:rsidRPr="0034665C">
        <w:rPr>
          <w:rFonts w:ascii="Times New Roman" w:hAnsi="Times New Roman" w:cs="Times New Roman"/>
          <w:sz w:val="24"/>
          <w:szCs w:val="24"/>
        </w:rPr>
        <w:t xml:space="preserve">.  </w:t>
      </w:r>
    </w:p>
    <w:p w14:paraId="126675CC" w14:textId="77777777" w:rsidR="00914696" w:rsidRPr="0034665C" w:rsidRDefault="00914696" w:rsidP="00914696">
      <w:pPr>
        <w:spacing w:after="0" w:line="240" w:lineRule="auto"/>
        <w:rPr>
          <w:rFonts w:ascii="Times New Roman" w:hAnsi="Times New Roman" w:cs="Times New Roman"/>
          <w:sz w:val="24"/>
          <w:szCs w:val="24"/>
        </w:rPr>
      </w:pPr>
    </w:p>
    <w:p w14:paraId="7FC1DE1C" w14:textId="77777777" w:rsidR="00D96A55" w:rsidRPr="0034665C" w:rsidRDefault="002B501E" w:rsidP="00914696">
      <w:pPr>
        <w:ind w:firstLine="720"/>
        <w:jc w:val="both"/>
        <w:rPr>
          <w:rFonts w:ascii="Times New Roman" w:hAnsi="Times New Roman" w:cs="Times New Roman"/>
          <w:sz w:val="24"/>
          <w:szCs w:val="24"/>
        </w:rPr>
      </w:pPr>
      <w:r>
        <w:rPr>
          <w:rFonts w:ascii="Times New Roman" w:hAnsi="Times New Roman" w:cs="Times New Roman"/>
          <w:sz w:val="24"/>
          <w:szCs w:val="24"/>
        </w:rPr>
        <w:t>A</w:t>
      </w:r>
      <w:r w:rsidR="00D96A55" w:rsidRPr="0034665C">
        <w:rPr>
          <w:rFonts w:ascii="Times New Roman" w:hAnsi="Times New Roman" w:cs="Times New Roman"/>
          <w:sz w:val="24"/>
          <w:szCs w:val="24"/>
        </w:rPr>
        <w:t xml:space="preserve">ll information exchanged in connection with this </w:t>
      </w:r>
      <w:r w:rsidR="0034665C" w:rsidRPr="0034665C">
        <w:rPr>
          <w:rFonts w:ascii="Times New Roman" w:hAnsi="Times New Roman" w:cs="Times New Roman"/>
          <w:sz w:val="24"/>
          <w:szCs w:val="24"/>
        </w:rPr>
        <w:t>Agreement</w:t>
      </w:r>
      <w:r w:rsidR="00D96A55" w:rsidRPr="0034665C">
        <w:rPr>
          <w:rFonts w:ascii="Times New Roman" w:hAnsi="Times New Roman" w:cs="Times New Roman"/>
          <w:sz w:val="24"/>
          <w:szCs w:val="24"/>
        </w:rPr>
        <w:t xml:space="preserve"> shall constitute “Confidential Information.” The Parties agree that each shall: (i) treat and cause to be treated as confidential all Confidential Information; (ii) not disclose any Confidential Information to any third party or make available to a third party any reports, recommendations, extracts, summaries, analysis or conclusions based on the Confidential Information; (iii) reveal the Confidential Information only to those employees or contractors who require such access to Confidential Information as is appropriate to perform the respective obligations as provided under this </w:t>
      </w:r>
      <w:r w:rsidR="0034665C" w:rsidRPr="0034665C">
        <w:rPr>
          <w:rFonts w:ascii="Times New Roman" w:hAnsi="Times New Roman" w:cs="Times New Roman"/>
          <w:sz w:val="24"/>
          <w:szCs w:val="24"/>
        </w:rPr>
        <w:t>Agreement</w:t>
      </w:r>
      <w:r w:rsidR="00D96A55" w:rsidRPr="0034665C">
        <w:rPr>
          <w:rFonts w:ascii="Times New Roman" w:hAnsi="Times New Roman" w:cs="Times New Roman"/>
          <w:sz w:val="24"/>
          <w:szCs w:val="24"/>
        </w:rPr>
        <w:t xml:space="preserve"> or in association with Future Agreements.</w:t>
      </w:r>
    </w:p>
    <w:p w14:paraId="4B72D18E" w14:textId="77777777" w:rsidR="00D96A55" w:rsidRPr="0034665C" w:rsidRDefault="00D96A55" w:rsidP="00914696">
      <w:pPr>
        <w:numPr>
          <w:ilvl w:val="0"/>
          <w:numId w:val="1"/>
        </w:numPr>
        <w:tabs>
          <w:tab w:val="clear" w:pos="1440"/>
          <w:tab w:val="num" w:pos="720"/>
        </w:tabs>
        <w:spacing w:after="0" w:line="240" w:lineRule="auto"/>
        <w:ind w:left="0" w:firstLine="0"/>
        <w:rPr>
          <w:rFonts w:ascii="Times New Roman" w:hAnsi="Times New Roman" w:cs="Times New Roman"/>
          <w:sz w:val="24"/>
          <w:szCs w:val="24"/>
        </w:rPr>
      </w:pPr>
      <w:r w:rsidRPr="0034665C">
        <w:rPr>
          <w:rFonts w:ascii="Times New Roman" w:hAnsi="Times New Roman" w:cs="Times New Roman"/>
          <w:sz w:val="24"/>
          <w:szCs w:val="24"/>
          <w:u w:val="single"/>
        </w:rPr>
        <w:t>Assignment</w:t>
      </w:r>
      <w:r w:rsidRPr="0034665C">
        <w:rPr>
          <w:rFonts w:ascii="Times New Roman" w:hAnsi="Times New Roman" w:cs="Times New Roman"/>
          <w:sz w:val="24"/>
          <w:szCs w:val="24"/>
        </w:rPr>
        <w:t xml:space="preserve">.  </w:t>
      </w:r>
    </w:p>
    <w:p w14:paraId="0EDE1852" w14:textId="77777777" w:rsidR="00914696" w:rsidRPr="0034665C" w:rsidRDefault="00914696" w:rsidP="00914696">
      <w:pPr>
        <w:spacing w:after="0" w:line="240" w:lineRule="auto"/>
        <w:ind w:left="720"/>
        <w:rPr>
          <w:rFonts w:ascii="Times New Roman" w:hAnsi="Times New Roman" w:cs="Times New Roman"/>
          <w:sz w:val="24"/>
          <w:szCs w:val="24"/>
        </w:rPr>
      </w:pPr>
    </w:p>
    <w:p w14:paraId="7957AC32" w14:textId="77777777" w:rsidR="00D96A55" w:rsidRPr="0034665C" w:rsidRDefault="00D96A55" w:rsidP="00914696">
      <w:pPr>
        <w:ind w:firstLine="720"/>
        <w:jc w:val="both"/>
        <w:rPr>
          <w:rFonts w:ascii="Times New Roman" w:hAnsi="Times New Roman" w:cs="Times New Roman"/>
          <w:sz w:val="24"/>
          <w:szCs w:val="24"/>
        </w:rPr>
      </w:pPr>
      <w:r w:rsidRPr="0034665C">
        <w:rPr>
          <w:rFonts w:ascii="Times New Roman" w:hAnsi="Times New Roman" w:cs="Times New Roman"/>
          <w:sz w:val="24"/>
          <w:szCs w:val="24"/>
        </w:rPr>
        <w:t xml:space="preserve">Neither Party shall have the right to assign its interest in 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including its rights, duties, and obligations hereunder, without the prior written consent of the other Party, which consent may be withheld by the other Party in its sole and absolute discretion.  Notwithstanding the foregoing, either Party shall have the right, without the prior consent of the other Party, to </w:t>
      </w:r>
      <w:r w:rsidRPr="0034665C">
        <w:rPr>
          <w:rFonts w:ascii="Times New Roman" w:hAnsi="Times New Roman" w:cs="Times New Roman"/>
          <w:sz w:val="24"/>
          <w:szCs w:val="24"/>
        </w:rPr>
        <w:lastRenderedPageBreak/>
        <w:t xml:space="preserve">assign all of its interest in 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in connection with any sale, merger or other transfer of all or a substantial part of such Party’s electric transmission facilities as an operating entity; </w:t>
      </w:r>
      <w:r w:rsidRPr="0034665C">
        <w:rPr>
          <w:rFonts w:ascii="Times New Roman" w:hAnsi="Times New Roman" w:cs="Times New Roman"/>
          <w:sz w:val="24"/>
          <w:szCs w:val="24"/>
          <w:u w:val="single"/>
        </w:rPr>
        <w:t>provided</w:t>
      </w:r>
      <w:r w:rsidRPr="0034665C">
        <w:rPr>
          <w:rFonts w:ascii="Times New Roman" w:hAnsi="Times New Roman" w:cs="Times New Roman"/>
          <w:sz w:val="24"/>
          <w:szCs w:val="24"/>
        </w:rPr>
        <w:t xml:space="preserve">, </w:t>
      </w:r>
      <w:r w:rsidRPr="0034665C">
        <w:rPr>
          <w:rFonts w:ascii="Times New Roman" w:hAnsi="Times New Roman" w:cs="Times New Roman"/>
          <w:sz w:val="24"/>
          <w:szCs w:val="24"/>
          <w:u w:val="single"/>
        </w:rPr>
        <w:t>however</w:t>
      </w:r>
      <w:r w:rsidRPr="0034665C">
        <w:rPr>
          <w:rFonts w:ascii="Times New Roman" w:hAnsi="Times New Roman" w:cs="Times New Roman"/>
          <w:sz w:val="24"/>
          <w:szCs w:val="24"/>
        </w:rPr>
        <w:t xml:space="preserve">, that the effectiveness of such assignment shall be conditioned upon assignee (i) agreeing in writing to assume all of the rights and obligations of the assignor hereunder as of the assignment date and (ii) having all necessary corporate and regulatory authority and approvals to perform its obligations under 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Any assignment made in violation of the terms of this </w:t>
      </w:r>
      <w:r w:rsidRPr="0034665C">
        <w:rPr>
          <w:rFonts w:ascii="Times New Roman" w:hAnsi="Times New Roman" w:cs="Times New Roman"/>
          <w:sz w:val="24"/>
          <w:szCs w:val="24"/>
          <w:u w:val="single"/>
        </w:rPr>
        <w:t>Section 5</w:t>
      </w:r>
      <w:r w:rsidRPr="0034665C">
        <w:rPr>
          <w:rFonts w:ascii="Times New Roman" w:hAnsi="Times New Roman" w:cs="Times New Roman"/>
          <w:sz w:val="24"/>
          <w:szCs w:val="24"/>
        </w:rPr>
        <w:t xml:space="preserve"> shall be null and void and shall have no force and effect.</w:t>
      </w:r>
    </w:p>
    <w:p w14:paraId="3375F306" w14:textId="77777777" w:rsidR="00D96A55" w:rsidRPr="0034665C" w:rsidRDefault="00D96A55" w:rsidP="00914696">
      <w:pPr>
        <w:numPr>
          <w:ilvl w:val="0"/>
          <w:numId w:val="1"/>
        </w:numPr>
        <w:tabs>
          <w:tab w:val="clear" w:pos="1440"/>
          <w:tab w:val="num" w:pos="720"/>
        </w:tabs>
        <w:spacing w:after="0" w:line="240" w:lineRule="auto"/>
        <w:ind w:left="0" w:firstLine="0"/>
        <w:jc w:val="both"/>
        <w:rPr>
          <w:rFonts w:ascii="Times New Roman" w:hAnsi="Times New Roman" w:cs="Times New Roman"/>
          <w:sz w:val="24"/>
          <w:szCs w:val="24"/>
        </w:rPr>
      </w:pPr>
      <w:r w:rsidRPr="0034665C">
        <w:rPr>
          <w:rFonts w:ascii="Times New Roman" w:hAnsi="Times New Roman" w:cs="Times New Roman"/>
          <w:sz w:val="24"/>
          <w:szCs w:val="24"/>
          <w:u w:val="single"/>
        </w:rPr>
        <w:t>Limitation of Liability</w:t>
      </w:r>
      <w:r w:rsidR="00914696" w:rsidRPr="0034665C">
        <w:rPr>
          <w:rFonts w:ascii="Times New Roman" w:hAnsi="Times New Roman" w:cs="Times New Roman"/>
          <w:sz w:val="24"/>
          <w:szCs w:val="24"/>
          <w:u w:val="single"/>
        </w:rPr>
        <w:t>.</w:t>
      </w:r>
    </w:p>
    <w:p w14:paraId="4EF90692" w14:textId="77777777" w:rsidR="00914696" w:rsidRPr="0034665C" w:rsidRDefault="00914696" w:rsidP="00914696">
      <w:pPr>
        <w:spacing w:after="0" w:line="240" w:lineRule="auto"/>
        <w:jc w:val="both"/>
        <w:rPr>
          <w:rFonts w:ascii="Times New Roman" w:hAnsi="Times New Roman" w:cs="Times New Roman"/>
          <w:sz w:val="24"/>
          <w:szCs w:val="24"/>
        </w:rPr>
      </w:pPr>
    </w:p>
    <w:p w14:paraId="427DDD44" w14:textId="77777777" w:rsidR="00D96A55" w:rsidRPr="0034665C" w:rsidRDefault="00D96A55" w:rsidP="00914696">
      <w:pPr>
        <w:numPr>
          <w:ilvl w:val="1"/>
          <w:numId w:val="1"/>
        </w:numPr>
        <w:spacing w:after="0" w:line="240" w:lineRule="auto"/>
        <w:ind w:firstLine="720"/>
        <w:jc w:val="both"/>
        <w:rPr>
          <w:rFonts w:ascii="Times New Roman" w:hAnsi="Times New Roman" w:cs="Times New Roman"/>
          <w:sz w:val="24"/>
          <w:szCs w:val="24"/>
        </w:rPr>
      </w:pPr>
      <w:r w:rsidRPr="0034665C">
        <w:rPr>
          <w:rFonts w:ascii="Times New Roman" w:hAnsi="Times New Roman" w:cs="Times New Roman"/>
          <w:sz w:val="24"/>
          <w:szCs w:val="24"/>
        </w:rPr>
        <w:t>EACH PARTY HERBY WAIVES ANY RIGHT TO RECOVER SPECIAL, PUNITIVE, CONSEQUENTIAL, INCIDENTAL, STATUTORY, TREBLE, OR EXEMPLARY DAMAGES (INCLUDING CLAIMS FOR LOST PROFITS OR LOSS OF BUSINESS OPPORTUNITY) IN CONNECTION WITH THIS MOU.</w:t>
      </w:r>
    </w:p>
    <w:p w14:paraId="719E4574" w14:textId="77777777" w:rsidR="00914696" w:rsidRPr="0034665C" w:rsidRDefault="00914696" w:rsidP="00914696">
      <w:pPr>
        <w:spacing w:after="0" w:line="240" w:lineRule="auto"/>
        <w:ind w:left="720"/>
        <w:rPr>
          <w:rFonts w:ascii="Times New Roman" w:hAnsi="Times New Roman" w:cs="Times New Roman"/>
          <w:sz w:val="24"/>
          <w:szCs w:val="24"/>
        </w:rPr>
      </w:pPr>
    </w:p>
    <w:p w14:paraId="5FDB657B" w14:textId="77777777" w:rsidR="00D96A55" w:rsidRPr="0034665C" w:rsidRDefault="00D96A55" w:rsidP="00914696">
      <w:pPr>
        <w:numPr>
          <w:ilvl w:val="1"/>
          <w:numId w:val="1"/>
        </w:numPr>
        <w:spacing w:after="0" w:line="240" w:lineRule="auto"/>
        <w:ind w:firstLine="720"/>
        <w:jc w:val="both"/>
        <w:rPr>
          <w:rFonts w:ascii="Times New Roman" w:hAnsi="Times New Roman" w:cs="Times New Roman"/>
          <w:sz w:val="24"/>
          <w:szCs w:val="24"/>
        </w:rPr>
      </w:pPr>
      <w:r w:rsidRPr="0034665C">
        <w:rPr>
          <w:rFonts w:ascii="Times New Roman" w:hAnsi="Times New Roman" w:cs="Times New Roman"/>
          <w:sz w:val="24"/>
          <w:szCs w:val="24"/>
        </w:rPr>
        <w:t xml:space="preserve">Each of the Parties acknowledges and agrees that (i) the other Party’s decision to proceed or not to proceed with any Future Agreements, and any other decision with respect to any Future Agreements, is within the other Party’s sole and absolute discretion and that the other Party may terminate 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at any time for any reason whatsoever or for no reason; and (ii)</w:t>
      </w:r>
      <w:r w:rsidR="00AA7A48" w:rsidRPr="0034665C">
        <w:rPr>
          <w:rFonts w:ascii="Times New Roman" w:hAnsi="Times New Roman" w:cs="Times New Roman"/>
          <w:sz w:val="24"/>
          <w:szCs w:val="24"/>
        </w:rPr>
        <w:t xml:space="preserve"> except as provided in paragraph 1(c) above,</w:t>
      </w:r>
      <w:r w:rsidRPr="0034665C">
        <w:rPr>
          <w:rFonts w:ascii="Times New Roman" w:hAnsi="Times New Roman" w:cs="Times New Roman"/>
          <w:sz w:val="24"/>
          <w:szCs w:val="24"/>
        </w:rPr>
        <w:t xml:space="preserve"> the other Party shall not be liable to it for any claim, loss, cost, liability, damage or expense, including any direct damage or any special, indirect, exemplary, punitive, incidental or consequential loss or damage (including any loss of revenue, income, profits or investment opportunities or claims of third party customers) (collectively, “</w:t>
      </w:r>
      <w:r w:rsidRPr="0034665C">
        <w:rPr>
          <w:rFonts w:ascii="Times New Roman" w:hAnsi="Times New Roman" w:cs="Times New Roman"/>
          <w:sz w:val="24"/>
          <w:szCs w:val="24"/>
          <w:u w:val="single"/>
        </w:rPr>
        <w:t>Damages</w:t>
      </w:r>
      <w:r w:rsidRPr="0034665C">
        <w:rPr>
          <w:rFonts w:ascii="Times New Roman" w:hAnsi="Times New Roman" w:cs="Times New Roman"/>
          <w:sz w:val="24"/>
          <w:szCs w:val="24"/>
        </w:rPr>
        <w:t xml:space="preserve">”), arising out of or directly or indirectly related to the other Party’s decision to terminate 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w:t>
      </w:r>
    </w:p>
    <w:p w14:paraId="7ED100B6" w14:textId="77777777" w:rsidR="00914696" w:rsidRPr="0034665C" w:rsidRDefault="00914696" w:rsidP="00914696">
      <w:pPr>
        <w:pStyle w:val="ListParagraph"/>
      </w:pPr>
    </w:p>
    <w:p w14:paraId="33154EF0" w14:textId="77777777" w:rsidR="00D96A55" w:rsidRPr="0034665C" w:rsidRDefault="00D96A55" w:rsidP="00D96A55">
      <w:pPr>
        <w:numPr>
          <w:ilvl w:val="1"/>
          <w:numId w:val="1"/>
        </w:numPr>
        <w:spacing w:after="0" w:line="240" w:lineRule="auto"/>
        <w:ind w:firstLine="720"/>
        <w:jc w:val="both"/>
        <w:rPr>
          <w:rFonts w:ascii="Times New Roman" w:hAnsi="Times New Roman" w:cs="Times New Roman"/>
          <w:sz w:val="24"/>
          <w:szCs w:val="24"/>
        </w:rPr>
      </w:pPr>
      <w:r w:rsidRPr="0034665C">
        <w:rPr>
          <w:rFonts w:ascii="Times New Roman" w:hAnsi="Times New Roman" w:cs="Times New Roman"/>
          <w:sz w:val="24"/>
          <w:szCs w:val="24"/>
        </w:rPr>
        <w:t xml:space="preserve">The rights and obligations under this </w:t>
      </w:r>
      <w:r w:rsidRPr="0034665C">
        <w:rPr>
          <w:rFonts w:ascii="Times New Roman" w:hAnsi="Times New Roman" w:cs="Times New Roman"/>
          <w:sz w:val="24"/>
          <w:szCs w:val="24"/>
          <w:u w:val="single"/>
        </w:rPr>
        <w:t>Section 6</w:t>
      </w:r>
      <w:r w:rsidRPr="0034665C">
        <w:rPr>
          <w:rFonts w:ascii="Times New Roman" w:hAnsi="Times New Roman" w:cs="Times New Roman"/>
          <w:sz w:val="24"/>
          <w:szCs w:val="24"/>
        </w:rPr>
        <w:t xml:space="preserve"> shall survive the expiration and termination of 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w:t>
      </w:r>
    </w:p>
    <w:p w14:paraId="53821ABD" w14:textId="77777777" w:rsidR="00914696" w:rsidRPr="0034665C" w:rsidRDefault="00914696" w:rsidP="00914696">
      <w:pPr>
        <w:pStyle w:val="ListParagraph"/>
      </w:pPr>
    </w:p>
    <w:p w14:paraId="41489E6D" w14:textId="77777777" w:rsidR="00D96A55" w:rsidRPr="0034665C" w:rsidRDefault="00D96A55" w:rsidP="00914696">
      <w:pPr>
        <w:numPr>
          <w:ilvl w:val="0"/>
          <w:numId w:val="1"/>
        </w:numPr>
        <w:tabs>
          <w:tab w:val="clear" w:pos="1440"/>
          <w:tab w:val="num" w:pos="720"/>
        </w:tabs>
        <w:spacing w:after="0" w:line="240" w:lineRule="auto"/>
        <w:ind w:left="0" w:firstLine="0"/>
        <w:rPr>
          <w:rFonts w:ascii="Times New Roman" w:hAnsi="Times New Roman" w:cs="Times New Roman"/>
          <w:sz w:val="24"/>
          <w:szCs w:val="24"/>
        </w:rPr>
      </w:pPr>
      <w:r w:rsidRPr="0034665C">
        <w:rPr>
          <w:rFonts w:ascii="Times New Roman" w:hAnsi="Times New Roman" w:cs="Times New Roman"/>
          <w:sz w:val="24"/>
          <w:szCs w:val="24"/>
          <w:u w:val="single"/>
        </w:rPr>
        <w:t>General Provisions</w:t>
      </w:r>
      <w:r w:rsidRPr="0034665C">
        <w:rPr>
          <w:rFonts w:ascii="Times New Roman" w:hAnsi="Times New Roman" w:cs="Times New Roman"/>
          <w:sz w:val="24"/>
          <w:szCs w:val="24"/>
        </w:rPr>
        <w:t>.</w:t>
      </w:r>
    </w:p>
    <w:p w14:paraId="19F2864E" w14:textId="77777777" w:rsidR="00914696" w:rsidRPr="0034665C" w:rsidRDefault="00914696" w:rsidP="00914696">
      <w:pPr>
        <w:spacing w:after="0" w:line="240" w:lineRule="auto"/>
        <w:rPr>
          <w:rFonts w:ascii="Times New Roman" w:hAnsi="Times New Roman" w:cs="Times New Roman"/>
          <w:sz w:val="24"/>
          <w:szCs w:val="24"/>
        </w:rPr>
      </w:pPr>
    </w:p>
    <w:p w14:paraId="0817157D" w14:textId="77777777" w:rsidR="00D96A55" w:rsidRPr="0034665C" w:rsidRDefault="00D96A55" w:rsidP="00914696">
      <w:pPr>
        <w:numPr>
          <w:ilvl w:val="1"/>
          <w:numId w:val="1"/>
        </w:numPr>
        <w:spacing w:after="0" w:line="240" w:lineRule="auto"/>
        <w:ind w:firstLine="720"/>
        <w:jc w:val="both"/>
        <w:rPr>
          <w:rFonts w:ascii="Times New Roman" w:hAnsi="Times New Roman" w:cs="Times New Roman"/>
          <w:sz w:val="24"/>
          <w:szCs w:val="24"/>
        </w:rPr>
      </w:pPr>
      <w:r w:rsidRPr="0034665C">
        <w:rPr>
          <w:rFonts w:ascii="Times New Roman" w:hAnsi="Times New Roman" w:cs="Times New Roman"/>
          <w:sz w:val="24"/>
          <w:szCs w:val="24"/>
        </w:rPr>
        <w:t xml:space="preserve">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represents the entire agreement between the Parties and supersedes any prior written or oral agreements or understandings between the Parties relating to the subject matter of 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Nothing in 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shall limit, repeal, or in any manner modify the existing legal rights, privileges, and duties of each of the Parties as provided by agreement, statute or any other law or applicable court or regulatory decision.</w:t>
      </w:r>
    </w:p>
    <w:p w14:paraId="78A003E5" w14:textId="77777777" w:rsidR="00914696" w:rsidRPr="0034665C" w:rsidRDefault="00914696" w:rsidP="00914696">
      <w:pPr>
        <w:spacing w:after="0" w:line="240" w:lineRule="auto"/>
        <w:ind w:left="720"/>
        <w:rPr>
          <w:rFonts w:ascii="Times New Roman" w:hAnsi="Times New Roman" w:cs="Times New Roman"/>
          <w:sz w:val="24"/>
          <w:szCs w:val="24"/>
        </w:rPr>
      </w:pPr>
    </w:p>
    <w:p w14:paraId="2DC25DD5" w14:textId="77777777" w:rsidR="00D96A55" w:rsidRPr="0034665C" w:rsidRDefault="00D96A55" w:rsidP="00914696">
      <w:pPr>
        <w:numPr>
          <w:ilvl w:val="1"/>
          <w:numId w:val="1"/>
        </w:numPr>
        <w:spacing w:after="0" w:line="240" w:lineRule="auto"/>
        <w:ind w:firstLine="720"/>
        <w:jc w:val="both"/>
        <w:rPr>
          <w:rFonts w:ascii="Times New Roman" w:hAnsi="Times New Roman" w:cs="Times New Roman"/>
          <w:sz w:val="24"/>
          <w:szCs w:val="24"/>
        </w:rPr>
      </w:pPr>
      <w:r w:rsidRPr="0034665C">
        <w:rPr>
          <w:rFonts w:ascii="Times New Roman" w:hAnsi="Times New Roman" w:cs="Times New Roman"/>
          <w:sz w:val="24"/>
          <w:szCs w:val="24"/>
        </w:rPr>
        <w:t xml:space="preserve">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may not be amended except in writing signed by both of the Parties.</w:t>
      </w:r>
    </w:p>
    <w:p w14:paraId="14966EC0" w14:textId="77777777" w:rsidR="00914696" w:rsidRPr="0034665C" w:rsidRDefault="00914696" w:rsidP="00914696">
      <w:pPr>
        <w:pStyle w:val="ListParagraph"/>
        <w:jc w:val="both"/>
      </w:pPr>
    </w:p>
    <w:p w14:paraId="6A238255" w14:textId="77777777" w:rsidR="00D96A55" w:rsidRPr="0034665C" w:rsidRDefault="00D96A55" w:rsidP="00914696">
      <w:pPr>
        <w:numPr>
          <w:ilvl w:val="1"/>
          <w:numId w:val="1"/>
        </w:numPr>
        <w:spacing w:after="0" w:line="240" w:lineRule="auto"/>
        <w:ind w:firstLine="720"/>
        <w:jc w:val="both"/>
        <w:rPr>
          <w:rFonts w:ascii="Times New Roman" w:hAnsi="Times New Roman" w:cs="Times New Roman"/>
          <w:sz w:val="24"/>
          <w:szCs w:val="24"/>
        </w:rPr>
      </w:pPr>
      <w:r w:rsidRPr="0034665C">
        <w:rPr>
          <w:rFonts w:ascii="Times New Roman" w:hAnsi="Times New Roman" w:cs="Times New Roman"/>
          <w:sz w:val="24"/>
          <w:szCs w:val="24"/>
        </w:rPr>
        <w:t xml:space="preserve">Any waiver on the part of a Party to 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of any provision or condition of 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must be in writing signed by each Party to be bound by such waiver, shall be effective only to the extent specifically set forth in such writing and shall not limit or affect any rights with respect to any other or future circumstance.  No delay or forbearance by a Party in exercising any right or remedy accruing to such Party upon the occurrence of any breach or default </w:t>
      </w:r>
      <w:r w:rsidRPr="0034665C">
        <w:rPr>
          <w:rFonts w:ascii="Times New Roman" w:hAnsi="Times New Roman" w:cs="Times New Roman"/>
          <w:sz w:val="24"/>
          <w:szCs w:val="24"/>
        </w:rPr>
        <w:lastRenderedPageBreak/>
        <w:t xml:space="preserve">by the other Party under 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shall impair any such right or remedy of such Party, nor shall it be construed to be a waiver of any such breach or default, or an acquiescence therein.</w:t>
      </w:r>
    </w:p>
    <w:p w14:paraId="6F4BD4C3" w14:textId="77777777" w:rsidR="00914696" w:rsidRPr="0034665C" w:rsidRDefault="00914696" w:rsidP="00914696">
      <w:pPr>
        <w:pStyle w:val="ListParagraph"/>
      </w:pPr>
    </w:p>
    <w:p w14:paraId="4B2E2D88" w14:textId="77777777" w:rsidR="00914696" w:rsidRPr="0034665C" w:rsidRDefault="00D96A55" w:rsidP="00914696">
      <w:pPr>
        <w:numPr>
          <w:ilvl w:val="1"/>
          <w:numId w:val="1"/>
        </w:numPr>
        <w:spacing w:after="0" w:line="240" w:lineRule="auto"/>
        <w:ind w:firstLine="720"/>
        <w:jc w:val="both"/>
        <w:rPr>
          <w:rFonts w:ascii="Times New Roman" w:hAnsi="Times New Roman" w:cs="Times New Roman"/>
          <w:sz w:val="24"/>
          <w:szCs w:val="24"/>
        </w:rPr>
      </w:pPr>
      <w:r w:rsidRPr="0034665C">
        <w:rPr>
          <w:rFonts w:ascii="Times New Roman" w:hAnsi="Times New Roman" w:cs="Times New Roman"/>
          <w:sz w:val="24"/>
          <w:szCs w:val="24"/>
        </w:rPr>
        <w:t xml:space="preserve">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is for the sole and exclusive benefit of the Parties and shall not create a contractual relationship with, or cause of action in favor of, any third party.</w:t>
      </w:r>
    </w:p>
    <w:p w14:paraId="45959B70" w14:textId="77777777" w:rsidR="00914696" w:rsidRPr="0034665C" w:rsidRDefault="00914696" w:rsidP="00914696">
      <w:pPr>
        <w:pStyle w:val="ListParagraph"/>
      </w:pPr>
    </w:p>
    <w:p w14:paraId="1778FA25" w14:textId="77777777" w:rsidR="00914696" w:rsidRPr="0034665C" w:rsidRDefault="00D96A55" w:rsidP="00D96A55">
      <w:pPr>
        <w:numPr>
          <w:ilvl w:val="1"/>
          <w:numId w:val="1"/>
        </w:numPr>
        <w:spacing w:after="0" w:line="240" w:lineRule="auto"/>
        <w:ind w:firstLine="720"/>
        <w:jc w:val="both"/>
        <w:rPr>
          <w:rFonts w:ascii="Times New Roman" w:hAnsi="Times New Roman" w:cs="Times New Roman"/>
          <w:sz w:val="24"/>
          <w:szCs w:val="24"/>
        </w:rPr>
      </w:pPr>
      <w:r w:rsidRPr="0034665C">
        <w:rPr>
          <w:rFonts w:ascii="Times New Roman" w:hAnsi="Times New Roman" w:cs="Times New Roman"/>
          <w:sz w:val="24"/>
          <w:szCs w:val="24"/>
        </w:rPr>
        <w:t xml:space="preserve">In the event that any provision of 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is determined to be invalid or unenforceable for any reason, in whole or part, the remaining provisions of 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shall be unaffected thereby and shall remain in full force and effect to the fullest extent permitted by law, and such invalid or unenforceable provision shall be replaced by the Parties with a provision that is valid and enforceable and that comes closest to expressing the Parties’ intention with respect to such invalid or unenforceable provision.</w:t>
      </w:r>
    </w:p>
    <w:p w14:paraId="17212AD8" w14:textId="77777777" w:rsidR="00914696" w:rsidRPr="0034665C" w:rsidRDefault="00914696" w:rsidP="00914696">
      <w:pPr>
        <w:pStyle w:val="ListParagraph"/>
      </w:pPr>
    </w:p>
    <w:p w14:paraId="6E756C4B" w14:textId="77777777" w:rsidR="00D503D4" w:rsidRPr="00D503D4" w:rsidRDefault="00D503D4" w:rsidP="00D503D4">
      <w:pPr>
        <w:numPr>
          <w:ilvl w:val="1"/>
          <w:numId w:val="1"/>
        </w:numPr>
        <w:spacing w:after="0" w:line="240" w:lineRule="auto"/>
        <w:ind w:firstLine="720"/>
        <w:jc w:val="both"/>
        <w:rPr>
          <w:rFonts w:ascii="Times New Roman" w:hAnsi="Times New Roman" w:cs="Times New Roman"/>
          <w:sz w:val="24"/>
          <w:szCs w:val="24"/>
        </w:rPr>
      </w:pPr>
      <w:r w:rsidRPr="00D503D4">
        <w:rPr>
          <w:rFonts w:ascii="Times New Roman" w:hAnsi="Times New Roman" w:cs="Times New Roman"/>
          <w:sz w:val="24"/>
          <w:szCs w:val="24"/>
        </w:rPr>
        <w:t>The Parties agree to cooperate with respect to any filing of this Agreement for regulatory approval.</w:t>
      </w:r>
    </w:p>
    <w:p w14:paraId="29C8728F" w14:textId="77777777" w:rsidR="00D503D4" w:rsidRDefault="00D503D4" w:rsidP="00D503D4">
      <w:pPr>
        <w:pStyle w:val="ListParagraph"/>
      </w:pPr>
    </w:p>
    <w:p w14:paraId="09DF8E6D" w14:textId="77777777" w:rsidR="00D96A55" w:rsidRPr="0034665C" w:rsidRDefault="00D96A55" w:rsidP="004D7511">
      <w:pPr>
        <w:numPr>
          <w:ilvl w:val="1"/>
          <w:numId w:val="1"/>
        </w:numPr>
        <w:spacing w:after="0" w:line="240" w:lineRule="auto"/>
        <w:ind w:firstLine="720"/>
        <w:jc w:val="both"/>
        <w:rPr>
          <w:rFonts w:ascii="Times New Roman" w:hAnsi="Times New Roman" w:cs="Times New Roman"/>
          <w:sz w:val="24"/>
          <w:szCs w:val="24"/>
        </w:rPr>
      </w:pPr>
      <w:r w:rsidRPr="0034665C">
        <w:rPr>
          <w:rFonts w:ascii="Times New Roman" w:hAnsi="Times New Roman" w:cs="Times New Roman"/>
          <w:sz w:val="24"/>
          <w:szCs w:val="24"/>
        </w:rPr>
        <w:t xml:space="preserve">Whenever 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requires or provides that (i) a notice be given by a Party to the other Party or (ii) a Party’s action requires the approval or consent of the other Party, such notice, consent, or approval shall be given </w:t>
      </w:r>
      <w:r w:rsidRPr="004D7511">
        <w:rPr>
          <w:rFonts w:ascii="Times New Roman" w:hAnsi="Times New Roman" w:cs="Times New Roman"/>
          <w:sz w:val="24"/>
          <w:szCs w:val="24"/>
        </w:rPr>
        <w:t xml:space="preserve">in writing and shall be given by personal delivery, by recognized overnight courier service, or by registered mail (return receipt requested), postage prepaid, to the recipient thereof at the address given for such Party as set forth below, or to such other address as may be designated by notice given by any Party to the other Party in accordance with the provisions of this </w:t>
      </w:r>
      <w:r w:rsidRPr="004D7511">
        <w:rPr>
          <w:rFonts w:ascii="Times New Roman" w:hAnsi="Times New Roman" w:cs="Times New Roman"/>
          <w:sz w:val="24"/>
          <w:szCs w:val="24"/>
          <w:u w:val="single"/>
        </w:rPr>
        <w:t>Section 7(f)</w:t>
      </w:r>
      <w:r w:rsidRPr="004D7511">
        <w:rPr>
          <w:rFonts w:ascii="Times New Roman" w:hAnsi="Times New Roman" w:cs="Times New Roman"/>
          <w:sz w:val="24"/>
          <w:szCs w:val="24"/>
        </w:rPr>
        <w:t>:</w:t>
      </w:r>
    </w:p>
    <w:p w14:paraId="6067A118" w14:textId="77777777" w:rsidR="00D96A55" w:rsidRPr="0034665C" w:rsidRDefault="00D96A55" w:rsidP="00D96A55">
      <w:pPr>
        <w:rPr>
          <w:rFonts w:ascii="Times New Roman" w:eastAsia="MS Mincho" w:hAnsi="Times New Roman" w:cs="Times New Roman"/>
          <w:sz w:val="24"/>
          <w:szCs w:val="24"/>
        </w:rPr>
      </w:pPr>
    </w:p>
    <w:p w14:paraId="029C0A16" w14:textId="77777777" w:rsidR="00D96A55" w:rsidRPr="0034665C" w:rsidRDefault="00D96A55" w:rsidP="00D96A55">
      <w:pPr>
        <w:rPr>
          <w:rFonts w:ascii="Times New Roman" w:eastAsia="MS Mincho" w:hAnsi="Times New Roman" w:cs="Times New Roman"/>
          <w:bCs/>
          <w:sz w:val="24"/>
          <w:szCs w:val="24"/>
        </w:rPr>
      </w:pPr>
      <w:r w:rsidRPr="0034665C">
        <w:rPr>
          <w:rFonts w:ascii="Times New Roman" w:eastAsia="MS Mincho" w:hAnsi="Times New Roman" w:cs="Times New Roman"/>
          <w:bCs/>
          <w:sz w:val="24"/>
          <w:szCs w:val="24"/>
        </w:rPr>
        <w:t>If to LG&amp;E/KU:</w:t>
      </w:r>
    </w:p>
    <w:p w14:paraId="373BA4D7" w14:textId="77777777" w:rsidR="00D96A55" w:rsidRPr="009D40EF" w:rsidRDefault="009D40EF" w:rsidP="009D40EF">
      <w:pPr>
        <w:pStyle w:val="NoSpacing"/>
        <w:rPr>
          <w:rFonts w:ascii="Times New Roman" w:hAnsi="Times New Roman" w:cs="Times New Roman"/>
          <w:sz w:val="24"/>
          <w:szCs w:val="24"/>
        </w:rPr>
      </w:pPr>
      <w:r w:rsidRPr="009D40EF">
        <w:rPr>
          <w:rFonts w:ascii="Times New Roman" w:hAnsi="Times New Roman" w:cs="Times New Roman"/>
          <w:sz w:val="24"/>
          <w:szCs w:val="24"/>
        </w:rPr>
        <w:t>Chris Balmer</w:t>
      </w:r>
    </w:p>
    <w:p w14:paraId="062FA474" w14:textId="77777777" w:rsidR="009D40EF" w:rsidRDefault="009D40EF" w:rsidP="009D40EF">
      <w:pPr>
        <w:pStyle w:val="NoSpacing"/>
        <w:rPr>
          <w:rFonts w:ascii="Times New Roman" w:hAnsi="Times New Roman" w:cs="Times New Roman"/>
          <w:sz w:val="24"/>
          <w:szCs w:val="24"/>
        </w:rPr>
      </w:pPr>
      <w:r w:rsidRPr="009D40EF">
        <w:rPr>
          <w:rFonts w:ascii="Times New Roman" w:hAnsi="Times New Roman" w:cs="Times New Roman"/>
          <w:sz w:val="24"/>
          <w:szCs w:val="24"/>
        </w:rPr>
        <w:t>Director, Transmission Strategy &amp; Planning</w:t>
      </w:r>
    </w:p>
    <w:p w14:paraId="6CC4A02C" w14:textId="77777777" w:rsidR="009D40EF" w:rsidRDefault="009D40EF" w:rsidP="009D40EF">
      <w:pPr>
        <w:pStyle w:val="NoSpacing"/>
        <w:rPr>
          <w:rFonts w:ascii="Times New Roman" w:hAnsi="Times New Roman" w:cs="Times New Roman"/>
          <w:sz w:val="24"/>
          <w:szCs w:val="24"/>
        </w:rPr>
      </w:pPr>
      <w:r>
        <w:rPr>
          <w:rFonts w:ascii="Times New Roman" w:hAnsi="Times New Roman" w:cs="Times New Roman"/>
          <w:sz w:val="24"/>
          <w:szCs w:val="24"/>
        </w:rPr>
        <w:t>220 W Main St.</w:t>
      </w:r>
    </w:p>
    <w:p w14:paraId="4E41B45D" w14:textId="77777777" w:rsidR="009D40EF" w:rsidRDefault="009D40EF" w:rsidP="009D40EF">
      <w:pPr>
        <w:pStyle w:val="NoSpacing"/>
        <w:rPr>
          <w:rFonts w:ascii="Times New Roman" w:hAnsi="Times New Roman" w:cs="Times New Roman"/>
          <w:sz w:val="24"/>
          <w:szCs w:val="24"/>
        </w:rPr>
      </w:pPr>
      <w:r>
        <w:rPr>
          <w:rFonts w:ascii="Times New Roman" w:hAnsi="Times New Roman" w:cs="Times New Roman"/>
          <w:sz w:val="24"/>
          <w:szCs w:val="24"/>
        </w:rPr>
        <w:t>Louisville, KY 40202</w:t>
      </w:r>
    </w:p>
    <w:p w14:paraId="49B141B4" w14:textId="77777777" w:rsidR="009D40EF" w:rsidRPr="009D40EF" w:rsidRDefault="009D40EF" w:rsidP="009D40EF">
      <w:pPr>
        <w:pStyle w:val="NoSpacing"/>
        <w:rPr>
          <w:rFonts w:ascii="Times New Roman" w:hAnsi="Times New Roman" w:cs="Times New Roman"/>
          <w:sz w:val="24"/>
          <w:szCs w:val="24"/>
        </w:rPr>
      </w:pPr>
      <w:r>
        <w:rPr>
          <w:rFonts w:ascii="Times New Roman" w:hAnsi="Times New Roman" w:cs="Times New Roman"/>
          <w:sz w:val="24"/>
          <w:szCs w:val="24"/>
        </w:rPr>
        <w:t>(502) 627-4578</w:t>
      </w:r>
    </w:p>
    <w:p w14:paraId="30328224" w14:textId="77777777" w:rsidR="00D96A55" w:rsidRPr="0034665C" w:rsidRDefault="00D96A55" w:rsidP="00D96A55">
      <w:pPr>
        <w:rPr>
          <w:rFonts w:ascii="Times New Roman" w:hAnsi="Times New Roman" w:cs="Times New Roman"/>
          <w:sz w:val="24"/>
          <w:szCs w:val="24"/>
        </w:rPr>
      </w:pPr>
      <w:r w:rsidRPr="0034665C">
        <w:rPr>
          <w:rFonts w:ascii="Times New Roman" w:hAnsi="Times New Roman" w:cs="Times New Roman"/>
          <w:sz w:val="24"/>
          <w:szCs w:val="24"/>
        </w:rPr>
        <w:tab/>
      </w:r>
    </w:p>
    <w:p w14:paraId="1CB75A33" w14:textId="77777777" w:rsidR="00D96A55" w:rsidRPr="0034665C" w:rsidRDefault="00D96A55" w:rsidP="00D96A55">
      <w:pPr>
        <w:spacing w:after="240"/>
        <w:rPr>
          <w:rFonts w:ascii="Times New Roman" w:hAnsi="Times New Roman" w:cs="Times New Roman"/>
          <w:sz w:val="24"/>
          <w:szCs w:val="24"/>
        </w:rPr>
      </w:pPr>
      <w:r w:rsidRPr="0034665C">
        <w:rPr>
          <w:rFonts w:ascii="Times New Roman" w:hAnsi="Times New Roman" w:cs="Times New Roman"/>
          <w:sz w:val="24"/>
          <w:szCs w:val="24"/>
        </w:rPr>
        <w:t xml:space="preserve">If to </w:t>
      </w:r>
      <w:r w:rsidR="00914696" w:rsidRPr="0034665C">
        <w:rPr>
          <w:rFonts w:ascii="Times New Roman" w:hAnsi="Times New Roman" w:cs="Times New Roman"/>
          <w:sz w:val="24"/>
          <w:szCs w:val="24"/>
        </w:rPr>
        <w:t>KyMEA</w:t>
      </w:r>
      <w:r w:rsidRPr="0034665C">
        <w:rPr>
          <w:rFonts w:ascii="Times New Roman" w:hAnsi="Times New Roman" w:cs="Times New Roman"/>
          <w:sz w:val="24"/>
          <w:szCs w:val="24"/>
        </w:rPr>
        <w:t>:</w:t>
      </w:r>
    </w:p>
    <w:p w14:paraId="1725FE51" w14:textId="5E7BD9C7" w:rsidR="00961263" w:rsidRDefault="00961263" w:rsidP="00961263">
      <w:pPr>
        <w:spacing w:after="0" w:line="240" w:lineRule="auto"/>
        <w:rPr>
          <w:rFonts w:ascii="Times New Roman" w:hAnsi="Times New Roman" w:cs="Times New Roman"/>
          <w:sz w:val="24"/>
          <w:szCs w:val="24"/>
        </w:rPr>
      </w:pPr>
      <w:r>
        <w:rPr>
          <w:rFonts w:ascii="Times New Roman" w:hAnsi="Times New Roman" w:cs="Times New Roman"/>
          <w:sz w:val="24"/>
          <w:szCs w:val="24"/>
        </w:rPr>
        <w:t>Doug Buresh</w:t>
      </w:r>
    </w:p>
    <w:p w14:paraId="505E93B7" w14:textId="0BF29F75" w:rsidR="00961263" w:rsidRDefault="00961263" w:rsidP="00961263">
      <w:pPr>
        <w:spacing w:after="0" w:line="240" w:lineRule="auto"/>
        <w:rPr>
          <w:rFonts w:ascii="Times New Roman" w:hAnsi="Times New Roman" w:cs="Times New Roman"/>
          <w:sz w:val="24"/>
          <w:szCs w:val="24"/>
        </w:rPr>
      </w:pPr>
      <w:r>
        <w:rPr>
          <w:rFonts w:ascii="Times New Roman" w:hAnsi="Times New Roman" w:cs="Times New Roman"/>
          <w:sz w:val="24"/>
          <w:szCs w:val="24"/>
        </w:rPr>
        <w:t>President and CEO</w:t>
      </w:r>
    </w:p>
    <w:p w14:paraId="5755A6F3" w14:textId="38C04ABE" w:rsidR="00961263" w:rsidRDefault="00961263" w:rsidP="00961263">
      <w:pPr>
        <w:spacing w:after="0" w:line="240" w:lineRule="auto"/>
        <w:rPr>
          <w:rFonts w:ascii="Times New Roman" w:hAnsi="Times New Roman" w:cs="Times New Roman"/>
          <w:sz w:val="24"/>
          <w:szCs w:val="24"/>
        </w:rPr>
      </w:pPr>
      <w:r>
        <w:rPr>
          <w:rFonts w:ascii="Times New Roman" w:hAnsi="Times New Roman" w:cs="Times New Roman"/>
          <w:sz w:val="24"/>
          <w:szCs w:val="24"/>
        </w:rPr>
        <w:t>Kentucky Municipal Energy Agency</w:t>
      </w:r>
    </w:p>
    <w:p w14:paraId="35DB4A5B" w14:textId="0992451F" w:rsidR="00961263" w:rsidRDefault="00961263" w:rsidP="00961263">
      <w:pPr>
        <w:spacing w:after="0" w:line="240" w:lineRule="auto"/>
        <w:rPr>
          <w:rFonts w:ascii="Times New Roman" w:hAnsi="Times New Roman" w:cs="Times New Roman"/>
          <w:sz w:val="24"/>
          <w:szCs w:val="24"/>
        </w:rPr>
      </w:pPr>
      <w:r>
        <w:rPr>
          <w:rFonts w:ascii="Times New Roman" w:hAnsi="Times New Roman" w:cs="Times New Roman"/>
          <w:sz w:val="24"/>
          <w:szCs w:val="24"/>
        </w:rPr>
        <w:t>1700 Eastpoint Parkway, Suite 220</w:t>
      </w:r>
    </w:p>
    <w:p w14:paraId="568B98DF" w14:textId="00046A1B" w:rsidR="00961263" w:rsidRDefault="00961263" w:rsidP="00961263">
      <w:pPr>
        <w:spacing w:after="0" w:line="240" w:lineRule="auto"/>
        <w:rPr>
          <w:rFonts w:ascii="Times New Roman" w:hAnsi="Times New Roman" w:cs="Times New Roman"/>
          <w:sz w:val="24"/>
          <w:szCs w:val="24"/>
        </w:rPr>
      </w:pPr>
      <w:r>
        <w:rPr>
          <w:rFonts w:ascii="Times New Roman" w:hAnsi="Times New Roman" w:cs="Times New Roman"/>
          <w:sz w:val="24"/>
          <w:szCs w:val="24"/>
        </w:rPr>
        <w:t>Louisville, Kentucky  40223</w:t>
      </w:r>
    </w:p>
    <w:p w14:paraId="444E0436" w14:textId="48883BF6" w:rsidR="00961263" w:rsidRPr="0034665C" w:rsidRDefault="00961263" w:rsidP="00961263">
      <w:pPr>
        <w:spacing w:after="0" w:line="240" w:lineRule="auto"/>
        <w:rPr>
          <w:rFonts w:ascii="Times New Roman" w:hAnsi="Times New Roman" w:cs="Times New Roman"/>
          <w:sz w:val="24"/>
          <w:szCs w:val="24"/>
        </w:rPr>
      </w:pPr>
      <w:r>
        <w:rPr>
          <w:rFonts w:ascii="Times New Roman" w:hAnsi="Times New Roman" w:cs="Times New Roman"/>
          <w:sz w:val="24"/>
          <w:szCs w:val="24"/>
        </w:rPr>
        <w:t>(502) 693-3790</w:t>
      </w:r>
    </w:p>
    <w:p w14:paraId="07B76538" w14:textId="77777777" w:rsidR="00D96A55" w:rsidRPr="0034665C" w:rsidRDefault="00D96A55" w:rsidP="00D96A55">
      <w:pPr>
        <w:rPr>
          <w:rFonts w:ascii="Times New Roman" w:eastAsia="MS Mincho" w:hAnsi="Times New Roman" w:cs="Times New Roman"/>
          <w:sz w:val="24"/>
          <w:szCs w:val="24"/>
        </w:rPr>
      </w:pPr>
    </w:p>
    <w:p w14:paraId="21B2BD0F" w14:textId="77777777" w:rsidR="00D96A55" w:rsidRPr="0034665C" w:rsidRDefault="00D96A55" w:rsidP="00914696">
      <w:pPr>
        <w:jc w:val="both"/>
        <w:rPr>
          <w:rFonts w:ascii="Times New Roman" w:hAnsi="Times New Roman" w:cs="Times New Roman"/>
          <w:sz w:val="24"/>
          <w:szCs w:val="24"/>
        </w:rPr>
      </w:pPr>
      <w:r w:rsidRPr="0034665C">
        <w:rPr>
          <w:rFonts w:ascii="Times New Roman" w:eastAsia="MS Mincho" w:hAnsi="Times New Roman" w:cs="Times New Roman"/>
          <w:sz w:val="24"/>
          <w:szCs w:val="24"/>
        </w:rPr>
        <w:t>Each notice, consent or approval shall be conclusively deemed to have been given (A) on the day of the actual delivery thereof, if given by personal delivery or overnight delivery, (B) on the fifth (5</w:t>
      </w:r>
      <w:r w:rsidRPr="0034665C">
        <w:rPr>
          <w:rFonts w:ascii="Times New Roman" w:eastAsia="MS Mincho" w:hAnsi="Times New Roman" w:cs="Times New Roman"/>
          <w:sz w:val="24"/>
          <w:szCs w:val="24"/>
          <w:vertAlign w:val="superscript"/>
        </w:rPr>
        <w:t>th</w:t>
      </w:r>
      <w:r w:rsidRPr="0034665C">
        <w:rPr>
          <w:rFonts w:ascii="Times New Roman" w:eastAsia="MS Mincho" w:hAnsi="Times New Roman" w:cs="Times New Roman"/>
          <w:sz w:val="24"/>
          <w:szCs w:val="24"/>
        </w:rPr>
        <w:t xml:space="preserve">) calendar day following the deposit thereof in the mail, if given by registered mail and (C) </w:t>
      </w:r>
      <w:r w:rsidRPr="0034665C">
        <w:rPr>
          <w:rFonts w:ascii="Times New Roman" w:hAnsi="Times New Roman" w:cs="Times New Roman"/>
          <w:sz w:val="24"/>
          <w:szCs w:val="24"/>
        </w:rPr>
        <w:t xml:space="preserve">in the case of a notice, consent or approval sent by facsimile communication, on the day of actual </w:t>
      </w:r>
      <w:r w:rsidRPr="0034665C">
        <w:rPr>
          <w:rFonts w:ascii="Times New Roman" w:hAnsi="Times New Roman" w:cs="Times New Roman"/>
          <w:sz w:val="24"/>
          <w:szCs w:val="24"/>
        </w:rPr>
        <w:lastRenderedPageBreak/>
        <w:t>receipt if a Business Day and received prior to 4:30 p.m. at the place of receipt, or if not so received, on the next following Business Day in the place of receipt.</w:t>
      </w:r>
    </w:p>
    <w:p w14:paraId="610BA643" w14:textId="77777777" w:rsidR="00914696" w:rsidRPr="0034665C" w:rsidRDefault="00D96A55" w:rsidP="002B501E">
      <w:pPr>
        <w:numPr>
          <w:ilvl w:val="1"/>
          <w:numId w:val="1"/>
        </w:numPr>
        <w:spacing w:after="0" w:line="240" w:lineRule="auto"/>
        <w:ind w:firstLine="720"/>
        <w:jc w:val="both"/>
        <w:rPr>
          <w:rFonts w:ascii="Times New Roman" w:hAnsi="Times New Roman" w:cs="Times New Roman"/>
          <w:sz w:val="24"/>
          <w:szCs w:val="24"/>
        </w:rPr>
      </w:pPr>
      <w:r w:rsidRPr="0034665C">
        <w:rPr>
          <w:rFonts w:ascii="Times New Roman" w:hAnsi="Times New Roman" w:cs="Times New Roman"/>
          <w:sz w:val="24"/>
          <w:szCs w:val="24"/>
        </w:rPr>
        <w:t xml:space="preserve">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may be executed in one or more counterparts (including by facsimile or a scanned image), each of which when so executed shall be deemed to be an original, and all of which shall together constitute one and the same instrument.</w:t>
      </w:r>
    </w:p>
    <w:p w14:paraId="16F652ED" w14:textId="77777777" w:rsidR="00914696" w:rsidRPr="0034665C" w:rsidRDefault="00914696" w:rsidP="002B501E">
      <w:pPr>
        <w:spacing w:after="0" w:line="240" w:lineRule="auto"/>
        <w:ind w:left="720"/>
        <w:jc w:val="both"/>
        <w:rPr>
          <w:rFonts w:ascii="Times New Roman" w:hAnsi="Times New Roman" w:cs="Times New Roman"/>
          <w:sz w:val="24"/>
          <w:szCs w:val="24"/>
        </w:rPr>
      </w:pPr>
    </w:p>
    <w:p w14:paraId="02D807DF" w14:textId="77777777" w:rsidR="00914696" w:rsidRPr="0034665C" w:rsidRDefault="00D96A55" w:rsidP="002B501E">
      <w:pPr>
        <w:numPr>
          <w:ilvl w:val="1"/>
          <w:numId w:val="1"/>
        </w:numPr>
        <w:spacing w:after="0" w:line="240" w:lineRule="auto"/>
        <w:ind w:firstLine="720"/>
        <w:jc w:val="both"/>
        <w:rPr>
          <w:rFonts w:ascii="Times New Roman" w:hAnsi="Times New Roman" w:cs="Times New Roman"/>
          <w:sz w:val="24"/>
          <w:szCs w:val="24"/>
        </w:rPr>
      </w:pPr>
      <w:r w:rsidRPr="0034665C">
        <w:rPr>
          <w:rFonts w:ascii="Times New Roman" w:hAnsi="Times New Roman" w:cs="Times New Roman"/>
          <w:sz w:val="24"/>
          <w:szCs w:val="24"/>
        </w:rPr>
        <w:t xml:space="preserve">Nothing contained in 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shall be construed as creating a corporation, company, partnership, association, joint venture or other entity, nor shall anything contained in 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be construed as creating or requiring any fiduciary relationship between the Parties.  No Party shall be responsible hereunder for the acts or omissions of the other Party.</w:t>
      </w:r>
    </w:p>
    <w:p w14:paraId="34B2AB36" w14:textId="77777777" w:rsidR="00914696" w:rsidRPr="002B501E" w:rsidRDefault="00914696" w:rsidP="002B501E">
      <w:pPr>
        <w:spacing w:after="0" w:line="240" w:lineRule="auto"/>
        <w:ind w:left="720"/>
        <w:jc w:val="both"/>
        <w:rPr>
          <w:rFonts w:ascii="Times New Roman" w:hAnsi="Times New Roman" w:cs="Times New Roman"/>
          <w:sz w:val="24"/>
          <w:szCs w:val="24"/>
        </w:rPr>
      </w:pPr>
    </w:p>
    <w:p w14:paraId="455F0F1C" w14:textId="77777777" w:rsidR="00D96A55" w:rsidRPr="0034665C" w:rsidRDefault="00D96A55" w:rsidP="002B501E">
      <w:pPr>
        <w:numPr>
          <w:ilvl w:val="1"/>
          <w:numId w:val="1"/>
        </w:numPr>
        <w:spacing w:after="0" w:line="240" w:lineRule="auto"/>
        <w:ind w:firstLine="720"/>
        <w:jc w:val="both"/>
        <w:rPr>
          <w:rFonts w:ascii="Times New Roman" w:hAnsi="Times New Roman" w:cs="Times New Roman"/>
          <w:sz w:val="24"/>
          <w:szCs w:val="24"/>
        </w:rPr>
      </w:pPr>
      <w:r w:rsidRPr="002B501E">
        <w:rPr>
          <w:rFonts w:ascii="Times New Roman" w:hAnsi="Times New Roman" w:cs="Times New Roman"/>
          <w:sz w:val="24"/>
          <w:szCs w:val="24"/>
        </w:rPr>
        <w:t xml:space="preserve">Unless otherwise expressly provided, for purposes of this </w:t>
      </w:r>
      <w:r w:rsidR="0034665C" w:rsidRPr="0034665C">
        <w:rPr>
          <w:rFonts w:ascii="Times New Roman" w:hAnsi="Times New Roman" w:cs="Times New Roman"/>
          <w:sz w:val="24"/>
          <w:szCs w:val="24"/>
        </w:rPr>
        <w:t>Agreement</w:t>
      </w:r>
      <w:r w:rsidRPr="002B501E">
        <w:rPr>
          <w:rFonts w:ascii="Times New Roman" w:hAnsi="Times New Roman" w:cs="Times New Roman"/>
          <w:sz w:val="24"/>
          <w:szCs w:val="24"/>
        </w:rPr>
        <w:t xml:space="preserve">, the following rules of interpretation shall apply: (A) any reference in this </w:t>
      </w:r>
      <w:r w:rsidR="0034665C" w:rsidRPr="0034665C">
        <w:rPr>
          <w:rFonts w:ascii="Times New Roman" w:hAnsi="Times New Roman" w:cs="Times New Roman"/>
          <w:sz w:val="24"/>
          <w:szCs w:val="24"/>
        </w:rPr>
        <w:t>Agreement</w:t>
      </w:r>
      <w:r w:rsidRPr="002B501E">
        <w:rPr>
          <w:rFonts w:ascii="Times New Roman" w:hAnsi="Times New Roman" w:cs="Times New Roman"/>
          <w:sz w:val="24"/>
          <w:szCs w:val="24"/>
        </w:rPr>
        <w:t xml:space="preserve"> to gender includes all genders, and the meaning of defined terms applies to both the singular and the plural of those terms; (B) the insertion of headings are for convenience of reference only and do not affect, and will not be utilized in construing or interpreting, this </w:t>
      </w:r>
      <w:r w:rsidR="0034665C" w:rsidRPr="0034665C">
        <w:rPr>
          <w:rFonts w:ascii="Times New Roman" w:hAnsi="Times New Roman" w:cs="Times New Roman"/>
          <w:sz w:val="24"/>
          <w:szCs w:val="24"/>
        </w:rPr>
        <w:t>Agreement</w:t>
      </w:r>
      <w:r w:rsidRPr="002B501E">
        <w:rPr>
          <w:rFonts w:ascii="Times New Roman" w:hAnsi="Times New Roman" w:cs="Times New Roman"/>
          <w:sz w:val="24"/>
          <w:szCs w:val="24"/>
        </w:rPr>
        <w:t xml:space="preserve">; (C) all references in this </w:t>
      </w:r>
      <w:r w:rsidR="0034665C" w:rsidRPr="0034665C">
        <w:rPr>
          <w:rFonts w:ascii="Times New Roman" w:hAnsi="Times New Roman" w:cs="Times New Roman"/>
          <w:sz w:val="24"/>
          <w:szCs w:val="24"/>
        </w:rPr>
        <w:t>Agreement</w:t>
      </w:r>
      <w:r w:rsidRPr="002B501E">
        <w:rPr>
          <w:rFonts w:ascii="Times New Roman" w:hAnsi="Times New Roman" w:cs="Times New Roman"/>
          <w:sz w:val="24"/>
          <w:szCs w:val="24"/>
        </w:rPr>
        <w:t xml:space="preserve"> to any “Section” are to the corresponding Section of this </w:t>
      </w:r>
      <w:r w:rsidR="0034665C" w:rsidRPr="0034665C">
        <w:rPr>
          <w:rFonts w:ascii="Times New Roman" w:hAnsi="Times New Roman" w:cs="Times New Roman"/>
          <w:sz w:val="24"/>
          <w:szCs w:val="24"/>
        </w:rPr>
        <w:t>Agreement</w:t>
      </w:r>
      <w:r w:rsidRPr="002B501E">
        <w:rPr>
          <w:rFonts w:ascii="Times New Roman" w:hAnsi="Times New Roman" w:cs="Times New Roman"/>
          <w:sz w:val="24"/>
          <w:szCs w:val="24"/>
        </w:rPr>
        <w:t xml:space="preserve"> unless otherwise specified; (D) words such as “herein,” “hereinafter,” “hereof,” and “hereunder” refer to this </w:t>
      </w:r>
      <w:r w:rsidR="0034665C" w:rsidRPr="0034665C">
        <w:rPr>
          <w:rFonts w:ascii="Times New Roman" w:hAnsi="Times New Roman" w:cs="Times New Roman"/>
          <w:sz w:val="24"/>
          <w:szCs w:val="24"/>
        </w:rPr>
        <w:t>Agreement</w:t>
      </w:r>
      <w:r w:rsidRPr="002B501E">
        <w:rPr>
          <w:rFonts w:ascii="Times New Roman" w:hAnsi="Times New Roman" w:cs="Times New Roman"/>
          <w:sz w:val="24"/>
          <w:szCs w:val="24"/>
        </w:rPr>
        <w:t xml:space="preserve"> as a whole and not merely to a subdivision in which such words appear unless the context otherwise requires; (E) the word “including” or any variation thereof means “including, without limitation” and does not limit any general statement that it follows to the specific or similar items or matters immediately following it; (F) the Parties have participated jointly in the negotiation and drafting of this </w:t>
      </w:r>
      <w:r w:rsidR="0034665C" w:rsidRPr="0034665C">
        <w:rPr>
          <w:rFonts w:ascii="Times New Roman" w:hAnsi="Times New Roman" w:cs="Times New Roman"/>
          <w:sz w:val="24"/>
          <w:szCs w:val="24"/>
        </w:rPr>
        <w:t>Agreement</w:t>
      </w:r>
      <w:r w:rsidRPr="002B501E">
        <w:rPr>
          <w:rFonts w:ascii="Times New Roman" w:hAnsi="Times New Roman" w:cs="Times New Roman"/>
          <w:sz w:val="24"/>
          <w:szCs w:val="24"/>
        </w:rPr>
        <w:t xml:space="preserve"> and, in the event an ambiguity or question of intent or interpretation arises, this </w:t>
      </w:r>
      <w:r w:rsidR="0034665C" w:rsidRPr="0034665C">
        <w:rPr>
          <w:rFonts w:ascii="Times New Roman" w:hAnsi="Times New Roman" w:cs="Times New Roman"/>
          <w:sz w:val="24"/>
          <w:szCs w:val="24"/>
        </w:rPr>
        <w:t>Agreement</w:t>
      </w:r>
      <w:r w:rsidRPr="002B501E">
        <w:rPr>
          <w:rFonts w:ascii="Times New Roman" w:hAnsi="Times New Roman" w:cs="Times New Roman"/>
          <w:sz w:val="24"/>
          <w:szCs w:val="24"/>
        </w:rPr>
        <w:t xml:space="preserve"> shall be construed as jointly drafted by the Parties and no presumption or burden of proof favoring or disfavoring any Party will exist or arise by virtue of the authorship of any provision of this </w:t>
      </w:r>
      <w:r w:rsidR="0034665C" w:rsidRPr="0034665C">
        <w:rPr>
          <w:rFonts w:ascii="Times New Roman" w:hAnsi="Times New Roman" w:cs="Times New Roman"/>
          <w:sz w:val="24"/>
          <w:szCs w:val="24"/>
        </w:rPr>
        <w:t>Agreement</w:t>
      </w:r>
      <w:r w:rsidRPr="002B501E">
        <w:rPr>
          <w:rFonts w:ascii="Times New Roman" w:hAnsi="Times New Roman" w:cs="Times New Roman"/>
          <w:sz w:val="24"/>
          <w:szCs w:val="24"/>
        </w:rPr>
        <w:t>; and (G) “Business Day” means any day other than Saturday, Sunday, and any day which is a legal holiday or a day on which banking institutions in Louisville, Kentucky are authorized or obligated by law to close.</w:t>
      </w:r>
    </w:p>
    <w:p w14:paraId="6AD38381" w14:textId="77777777" w:rsidR="00914696" w:rsidRPr="0034665C" w:rsidRDefault="00914696" w:rsidP="00914696">
      <w:pPr>
        <w:spacing w:after="0" w:line="240" w:lineRule="auto"/>
        <w:ind w:left="720"/>
        <w:jc w:val="both"/>
        <w:rPr>
          <w:rFonts w:ascii="Times New Roman" w:hAnsi="Times New Roman" w:cs="Times New Roman"/>
          <w:sz w:val="24"/>
          <w:szCs w:val="24"/>
        </w:rPr>
      </w:pPr>
    </w:p>
    <w:p w14:paraId="4F68E000" w14:textId="77777777" w:rsidR="00914696" w:rsidRPr="0034665C" w:rsidRDefault="00D96A55" w:rsidP="00914696">
      <w:pPr>
        <w:numPr>
          <w:ilvl w:val="0"/>
          <w:numId w:val="1"/>
        </w:numPr>
        <w:tabs>
          <w:tab w:val="clear" w:pos="1440"/>
          <w:tab w:val="num" w:pos="720"/>
        </w:tabs>
        <w:spacing w:after="0" w:line="240" w:lineRule="auto"/>
        <w:ind w:left="0" w:firstLine="0"/>
        <w:rPr>
          <w:rFonts w:ascii="Times New Roman" w:hAnsi="Times New Roman" w:cs="Times New Roman"/>
          <w:sz w:val="24"/>
          <w:szCs w:val="24"/>
        </w:rPr>
      </w:pPr>
      <w:r w:rsidRPr="0034665C">
        <w:rPr>
          <w:rFonts w:ascii="Times New Roman" w:hAnsi="Times New Roman" w:cs="Times New Roman"/>
          <w:sz w:val="24"/>
          <w:szCs w:val="24"/>
          <w:u w:val="single"/>
        </w:rPr>
        <w:t>Governing Law; Venue</w:t>
      </w:r>
      <w:r w:rsidRPr="0034665C">
        <w:rPr>
          <w:rFonts w:ascii="Times New Roman" w:hAnsi="Times New Roman" w:cs="Times New Roman"/>
          <w:sz w:val="24"/>
          <w:szCs w:val="24"/>
        </w:rPr>
        <w:t xml:space="preserve">. </w:t>
      </w:r>
    </w:p>
    <w:p w14:paraId="05664ED3" w14:textId="77777777" w:rsidR="00914696" w:rsidRPr="0034665C" w:rsidRDefault="00914696" w:rsidP="00914696">
      <w:pPr>
        <w:spacing w:after="0" w:line="240" w:lineRule="auto"/>
        <w:rPr>
          <w:rFonts w:ascii="Times New Roman" w:hAnsi="Times New Roman" w:cs="Times New Roman"/>
          <w:sz w:val="24"/>
          <w:szCs w:val="24"/>
          <w:u w:val="single"/>
        </w:rPr>
      </w:pPr>
    </w:p>
    <w:p w14:paraId="40EA9A91" w14:textId="77777777" w:rsidR="00914696" w:rsidRPr="0034665C" w:rsidRDefault="00D96A55" w:rsidP="00914696">
      <w:pPr>
        <w:spacing w:after="0" w:line="240" w:lineRule="auto"/>
        <w:ind w:firstLine="720"/>
        <w:rPr>
          <w:rFonts w:ascii="Times New Roman" w:hAnsi="Times New Roman" w:cs="Times New Roman"/>
          <w:sz w:val="24"/>
          <w:szCs w:val="24"/>
        </w:rPr>
      </w:pPr>
      <w:r w:rsidRPr="0034665C">
        <w:rPr>
          <w:rFonts w:ascii="Times New Roman" w:hAnsi="Times New Roman" w:cs="Times New Roman"/>
          <w:sz w:val="24"/>
          <w:szCs w:val="24"/>
        </w:rPr>
        <w:t xml:space="preserve">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shall be governed by, and construed and interpreted in accordance with, the laws of the Commonwealth of Kentucky without regard to its principles of conflicts of laws.  </w:t>
      </w:r>
    </w:p>
    <w:p w14:paraId="03388312" w14:textId="77777777" w:rsidR="00914696" w:rsidRPr="0034665C" w:rsidRDefault="00914696" w:rsidP="00914696">
      <w:pPr>
        <w:spacing w:after="0" w:line="240" w:lineRule="auto"/>
        <w:ind w:firstLine="720"/>
        <w:rPr>
          <w:rFonts w:ascii="Times New Roman" w:hAnsi="Times New Roman" w:cs="Times New Roman"/>
          <w:sz w:val="24"/>
          <w:szCs w:val="24"/>
        </w:rPr>
      </w:pPr>
    </w:p>
    <w:p w14:paraId="56B0C72C" w14:textId="77777777" w:rsidR="00961263" w:rsidRDefault="00961263">
      <w:pPr>
        <w:rPr>
          <w:rFonts w:ascii="Times New Roman" w:hAnsi="Times New Roman" w:cs="Times New Roman"/>
          <w:sz w:val="24"/>
          <w:szCs w:val="24"/>
        </w:rPr>
      </w:pPr>
      <w:r>
        <w:rPr>
          <w:rFonts w:ascii="Times New Roman" w:hAnsi="Times New Roman" w:cs="Times New Roman"/>
          <w:sz w:val="24"/>
          <w:szCs w:val="24"/>
        </w:rPr>
        <w:br w:type="page"/>
      </w:r>
    </w:p>
    <w:p w14:paraId="2A090D93" w14:textId="5A5053EE" w:rsidR="00D96A55" w:rsidRPr="0034665C" w:rsidRDefault="00D96A55" w:rsidP="00914696">
      <w:pPr>
        <w:spacing w:after="0" w:line="240" w:lineRule="auto"/>
        <w:ind w:firstLine="720"/>
        <w:rPr>
          <w:rFonts w:ascii="Times New Roman" w:hAnsi="Times New Roman" w:cs="Times New Roman"/>
          <w:sz w:val="24"/>
          <w:szCs w:val="24"/>
        </w:rPr>
      </w:pPr>
      <w:r w:rsidRPr="0034665C">
        <w:rPr>
          <w:rFonts w:ascii="Times New Roman" w:hAnsi="Times New Roman" w:cs="Times New Roman"/>
          <w:sz w:val="24"/>
          <w:szCs w:val="24"/>
        </w:rPr>
        <w:lastRenderedPageBreak/>
        <w:t xml:space="preserve">IN WITNESS WHEREOF, each of the Parties has caused its duly authorized officer to execute this </w:t>
      </w:r>
      <w:r w:rsidR="0034665C" w:rsidRPr="0034665C">
        <w:rPr>
          <w:rFonts w:ascii="Times New Roman" w:hAnsi="Times New Roman" w:cs="Times New Roman"/>
          <w:sz w:val="24"/>
          <w:szCs w:val="24"/>
        </w:rPr>
        <w:t>Agreement</w:t>
      </w:r>
      <w:r w:rsidRPr="0034665C">
        <w:rPr>
          <w:rFonts w:ascii="Times New Roman" w:hAnsi="Times New Roman" w:cs="Times New Roman"/>
          <w:sz w:val="24"/>
          <w:szCs w:val="24"/>
        </w:rPr>
        <w:t xml:space="preserve"> as of the date first above written.</w:t>
      </w:r>
    </w:p>
    <w:p w14:paraId="385A978C" w14:textId="77777777" w:rsidR="00914696" w:rsidRPr="0034665C" w:rsidRDefault="00914696" w:rsidP="00D96A55">
      <w:pPr>
        <w:jc w:val="both"/>
        <w:rPr>
          <w:rFonts w:ascii="Times New Roman" w:hAnsi="Times New Roman" w:cs="Times New Roman"/>
          <w:b/>
          <w:sz w:val="24"/>
          <w:szCs w:val="24"/>
        </w:rPr>
      </w:pPr>
    </w:p>
    <w:p w14:paraId="0674A9DC" w14:textId="77777777" w:rsidR="00D96A55" w:rsidRPr="0034665C" w:rsidRDefault="00D96A55" w:rsidP="00D96A55">
      <w:pPr>
        <w:jc w:val="both"/>
        <w:rPr>
          <w:rFonts w:ascii="Times New Roman" w:hAnsi="Times New Roman" w:cs="Times New Roman"/>
          <w:b/>
          <w:sz w:val="24"/>
          <w:szCs w:val="24"/>
        </w:rPr>
      </w:pPr>
      <w:r w:rsidRPr="0034665C">
        <w:rPr>
          <w:rFonts w:ascii="Times New Roman" w:hAnsi="Times New Roman" w:cs="Times New Roman"/>
          <w:b/>
          <w:sz w:val="24"/>
          <w:szCs w:val="24"/>
        </w:rPr>
        <w:t>LG&amp;E/KU</w:t>
      </w:r>
    </w:p>
    <w:p w14:paraId="44A501C9" w14:textId="77777777" w:rsidR="00D96A55" w:rsidRPr="0034665C" w:rsidRDefault="00D96A55" w:rsidP="00D96A55">
      <w:pPr>
        <w:jc w:val="both"/>
        <w:rPr>
          <w:rFonts w:ascii="Times New Roman" w:hAnsi="Times New Roman" w:cs="Times New Roman"/>
          <w:sz w:val="24"/>
          <w:szCs w:val="24"/>
        </w:rPr>
      </w:pPr>
    </w:p>
    <w:p w14:paraId="094263F3" w14:textId="77777777" w:rsidR="00D96A55" w:rsidRPr="0034665C" w:rsidRDefault="00D96A55" w:rsidP="00D96A55">
      <w:pPr>
        <w:keepNext/>
        <w:spacing w:after="120"/>
        <w:rPr>
          <w:rFonts w:ascii="Times New Roman" w:hAnsi="Times New Roman" w:cs="Times New Roman"/>
          <w:sz w:val="24"/>
          <w:szCs w:val="24"/>
        </w:rPr>
      </w:pPr>
    </w:p>
    <w:p w14:paraId="53011248" w14:textId="77777777" w:rsidR="00D96A55" w:rsidRPr="0034665C" w:rsidRDefault="00D96A55" w:rsidP="00D96A55">
      <w:pPr>
        <w:rPr>
          <w:rFonts w:ascii="Times New Roman" w:hAnsi="Times New Roman" w:cs="Times New Roman"/>
          <w:sz w:val="24"/>
          <w:szCs w:val="24"/>
        </w:rPr>
      </w:pPr>
      <w:r w:rsidRPr="0034665C">
        <w:rPr>
          <w:rFonts w:ascii="Times New Roman" w:hAnsi="Times New Roman" w:cs="Times New Roman"/>
          <w:sz w:val="24"/>
          <w:szCs w:val="24"/>
        </w:rPr>
        <w:t>By: ____________________________</w:t>
      </w:r>
    </w:p>
    <w:p w14:paraId="6B27260D" w14:textId="77777777" w:rsidR="00D96A55" w:rsidRPr="0034665C" w:rsidRDefault="00D96A55" w:rsidP="00D96A55">
      <w:pPr>
        <w:rPr>
          <w:rFonts w:ascii="Times New Roman" w:hAnsi="Times New Roman" w:cs="Times New Roman"/>
          <w:sz w:val="24"/>
          <w:szCs w:val="24"/>
        </w:rPr>
      </w:pPr>
      <w:r w:rsidRPr="0034665C">
        <w:rPr>
          <w:rFonts w:ascii="Times New Roman" w:hAnsi="Times New Roman" w:cs="Times New Roman"/>
          <w:sz w:val="24"/>
          <w:szCs w:val="24"/>
        </w:rPr>
        <w:t xml:space="preserve">       Name:</w:t>
      </w:r>
    </w:p>
    <w:p w14:paraId="57EBAF04" w14:textId="77777777" w:rsidR="00D96A55" w:rsidRPr="0034665C" w:rsidRDefault="00D96A55" w:rsidP="00D96A55">
      <w:pPr>
        <w:rPr>
          <w:rFonts w:ascii="Times New Roman" w:hAnsi="Times New Roman" w:cs="Times New Roman"/>
          <w:sz w:val="24"/>
          <w:szCs w:val="24"/>
        </w:rPr>
      </w:pPr>
      <w:r w:rsidRPr="0034665C">
        <w:rPr>
          <w:rFonts w:ascii="Times New Roman" w:hAnsi="Times New Roman" w:cs="Times New Roman"/>
          <w:sz w:val="24"/>
          <w:szCs w:val="24"/>
        </w:rPr>
        <w:t xml:space="preserve">       Title:</w:t>
      </w:r>
    </w:p>
    <w:p w14:paraId="07A614AF" w14:textId="77777777" w:rsidR="00D96A55" w:rsidRPr="0034665C" w:rsidRDefault="00D96A55" w:rsidP="00D96A55">
      <w:pPr>
        <w:rPr>
          <w:rFonts w:ascii="Times New Roman" w:hAnsi="Times New Roman" w:cs="Times New Roman"/>
          <w:sz w:val="24"/>
          <w:szCs w:val="24"/>
        </w:rPr>
      </w:pPr>
    </w:p>
    <w:p w14:paraId="09742417" w14:textId="77777777" w:rsidR="00D96A55" w:rsidRPr="0034665C" w:rsidRDefault="00914696" w:rsidP="00D96A55">
      <w:pPr>
        <w:jc w:val="both"/>
        <w:rPr>
          <w:rFonts w:ascii="Times New Roman" w:hAnsi="Times New Roman" w:cs="Times New Roman"/>
          <w:b/>
          <w:sz w:val="24"/>
          <w:szCs w:val="24"/>
        </w:rPr>
      </w:pPr>
      <w:r w:rsidRPr="0034665C">
        <w:rPr>
          <w:rFonts w:ascii="Times New Roman" w:hAnsi="Times New Roman" w:cs="Times New Roman"/>
          <w:b/>
          <w:sz w:val="24"/>
          <w:szCs w:val="24"/>
        </w:rPr>
        <w:t>KyMEA</w:t>
      </w:r>
    </w:p>
    <w:p w14:paraId="479947C5" w14:textId="77777777" w:rsidR="00D96A55" w:rsidRPr="0034665C" w:rsidRDefault="00D96A55" w:rsidP="00D96A55">
      <w:pPr>
        <w:jc w:val="both"/>
        <w:rPr>
          <w:rFonts w:ascii="Times New Roman" w:hAnsi="Times New Roman" w:cs="Times New Roman"/>
          <w:sz w:val="24"/>
          <w:szCs w:val="24"/>
        </w:rPr>
      </w:pPr>
    </w:p>
    <w:p w14:paraId="5E6319FF" w14:textId="77777777" w:rsidR="00D96A55" w:rsidRPr="0034665C" w:rsidRDefault="00D96A55" w:rsidP="00D96A55">
      <w:pPr>
        <w:jc w:val="both"/>
        <w:rPr>
          <w:rFonts w:ascii="Times New Roman" w:hAnsi="Times New Roman" w:cs="Times New Roman"/>
          <w:sz w:val="24"/>
          <w:szCs w:val="24"/>
        </w:rPr>
      </w:pPr>
    </w:p>
    <w:p w14:paraId="1AE925C7" w14:textId="77777777" w:rsidR="00D96A55" w:rsidRPr="0034665C" w:rsidRDefault="00D96A55" w:rsidP="00D96A55">
      <w:pPr>
        <w:jc w:val="both"/>
        <w:rPr>
          <w:rFonts w:ascii="Times New Roman" w:hAnsi="Times New Roman" w:cs="Times New Roman"/>
          <w:sz w:val="24"/>
          <w:szCs w:val="24"/>
        </w:rPr>
      </w:pPr>
      <w:r w:rsidRPr="0034665C">
        <w:rPr>
          <w:rFonts w:ascii="Times New Roman" w:hAnsi="Times New Roman" w:cs="Times New Roman"/>
          <w:sz w:val="24"/>
          <w:szCs w:val="24"/>
        </w:rPr>
        <w:t>By:___________________________</w:t>
      </w:r>
    </w:p>
    <w:p w14:paraId="7D5B0A79" w14:textId="56D5CA89" w:rsidR="00D96A55" w:rsidRPr="0034665C" w:rsidRDefault="00D96A55" w:rsidP="00D96A55">
      <w:pPr>
        <w:jc w:val="both"/>
        <w:rPr>
          <w:rFonts w:ascii="Times New Roman" w:hAnsi="Times New Roman" w:cs="Times New Roman"/>
          <w:sz w:val="24"/>
          <w:szCs w:val="24"/>
        </w:rPr>
      </w:pPr>
      <w:r w:rsidRPr="0034665C">
        <w:rPr>
          <w:rFonts w:ascii="Times New Roman" w:hAnsi="Times New Roman" w:cs="Times New Roman"/>
          <w:sz w:val="24"/>
          <w:szCs w:val="24"/>
        </w:rPr>
        <w:t xml:space="preserve">      Name:</w:t>
      </w:r>
      <w:r w:rsidR="00961263">
        <w:rPr>
          <w:rFonts w:ascii="Times New Roman" w:hAnsi="Times New Roman" w:cs="Times New Roman"/>
          <w:sz w:val="24"/>
          <w:szCs w:val="24"/>
        </w:rPr>
        <w:t xml:space="preserve">  Doug Buresh</w:t>
      </w:r>
    </w:p>
    <w:p w14:paraId="28ADB33A" w14:textId="0CA6507D" w:rsidR="00D96A55" w:rsidRPr="0034665C" w:rsidRDefault="00D96A55" w:rsidP="00D96A55">
      <w:pPr>
        <w:jc w:val="both"/>
        <w:rPr>
          <w:rFonts w:ascii="Times New Roman" w:hAnsi="Times New Roman" w:cs="Times New Roman"/>
          <w:sz w:val="24"/>
          <w:szCs w:val="24"/>
        </w:rPr>
      </w:pPr>
      <w:r w:rsidRPr="0034665C">
        <w:rPr>
          <w:rFonts w:ascii="Times New Roman" w:hAnsi="Times New Roman" w:cs="Times New Roman"/>
          <w:sz w:val="24"/>
          <w:szCs w:val="24"/>
        </w:rPr>
        <w:t xml:space="preserve">      Title:</w:t>
      </w:r>
      <w:r w:rsidR="00961263">
        <w:rPr>
          <w:rFonts w:ascii="Times New Roman" w:hAnsi="Times New Roman" w:cs="Times New Roman"/>
          <w:sz w:val="24"/>
          <w:szCs w:val="24"/>
        </w:rPr>
        <w:t xml:space="preserve">  President and CEO</w:t>
      </w:r>
    </w:p>
    <w:p w14:paraId="2AC187DF" w14:textId="77777777" w:rsidR="00F114C9" w:rsidRPr="0034665C" w:rsidRDefault="00F114C9" w:rsidP="00BC1EB2">
      <w:pPr>
        <w:pStyle w:val="FootnoteText"/>
        <w:widowControl w:val="0"/>
        <w:autoSpaceDE w:val="0"/>
        <w:autoSpaceDN w:val="0"/>
        <w:adjustRightInd w:val="0"/>
        <w:ind w:firstLine="720"/>
        <w:jc w:val="both"/>
        <w:rPr>
          <w:b/>
          <w:sz w:val="24"/>
          <w:szCs w:val="24"/>
        </w:rPr>
      </w:pPr>
    </w:p>
    <w:sectPr w:rsidR="00F114C9" w:rsidRPr="0034665C">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lvin, Kelsey" w:date="2018-05-09T14:26:00Z" w:initials="CK">
    <w:p w14:paraId="3C272FF7" w14:textId="05857473" w:rsidR="00AE4258" w:rsidRDefault="00AE4258">
      <w:pPr>
        <w:pStyle w:val="CommentText"/>
      </w:pPr>
      <w:r>
        <w:rPr>
          <w:rStyle w:val="CommentReference"/>
        </w:rPr>
        <w:annotationRef/>
      </w:r>
      <w:r w:rsidR="00297AFB">
        <w:t>We will fill in date upon LG&amp;E/KU execution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72F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31E88" w14:textId="77777777" w:rsidR="004404DB" w:rsidRDefault="004404DB" w:rsidP="00D96A55">
      <w:pPr>
        <w:spacing w:after="0" w:line="240" w:lineRule="auto"/>
      </w:pPr>
      <w:r>
        <w:separator/>
      </w:r>
    </w:p>
  </w:endnote>
  <w:endnote w:type="continuationSeparator" w:id="0">
    <w:p w14:paraId="6E8A089C" w14:textId="77777777" w:rsidR="004404DB" w:rsidRDefault="004404DB" w:rsidP="00D9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1EC5" w14:textId="77777777" w:rsidR="00D30E65" w:rsidRDefault="00AA7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A33CCB" w14:textId="77777777" w:rsidR="00D30E65" w:rsidRDefault="007E5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A421A" w14:textId="1A042FDE" w:rsidR="00D30E65" w:rsidRDefault="00AA7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593C">
      <w:rPr>
        <w:rStyle w:val="PageNumber"/>
        <w:noProof/>
      </w:rPr>
      <w:t>3</w:t>
    </w:r>
    <w:r>
      <w:rPr>
        <w:rStyle w:val="PageNumber"/>
      </w:rPr>
      <w:fldChar w:fldCharType="end"/>
    </w:r>
  </w:p>
  <w:p w14:paraId="7906CF4F" w14:textId="77777777" w:rsidR="00D30E65" w:rsidRPr="002572AC" w:rsidRDefault="007E593C" w:rsidP="00CC3B63">
    <w:pPr>
      <w:pStyle w:val="Foote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317A8" w14:textId="77777777" w:rsidR="002572AC" w:rsidRDefault="00AA7A48">
    <w:pPr>
      <w:pStyle w:val="Footer"/>
    </w:pPr>
    <w:r>
      <w:tab/>
    </w:r>
    <w:r>
      <w:tab/>
    </w:r>
  </w:p>
  <w:p w14:paraId="0BCF3810" w14:textId="77777777" w:rsidR="00CC3B63" w:rsidRDefault="007E593C" w:rsidP="00CC3B63">
    <w:pPr>
      <w:pStyle w:val="Foote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16B82" w14:textId="77777777" w:rsidR="004404DB" w:rsidRDefault="004404DB" w:rsidP="00D96A55">
      <w:pPr>
        <w:spacing w:after="0" w:line="240" w:lineRule="auto"/>
      </w:pPr>
      <w:r>
        <w:separator/>
      </w:r>
    </w:p>
  </w:footnote>
  <w:footnote w:type="continuationSeparator" w:id="0">
    <w:p w14:paraId="2A37B0AA" w14:textId="77777777" w:rsidR="004404DB" w:rsidRDefault="004404DB" w:rsidP="00D96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2BB7" w14:textId="77777777" w:rsidR="00D30E65" w:rsidRPr="00D96A55" w:rsidRDefault="00AA7A48" w:rsidP="00D96A55">
    <w:pPr>
      <w:pStyle w:val="Header"/>
    </w:pPr>
    <w:r w:rsidRPr="00D96A55">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E67FE" w14:textId="77777777" w:rsidR="00D30E65" w:rsidRDefault="00AA7A48" w:rsidP="0082105E">
    <w:pPr>
      <w:pStyle w:val="Header"/>
      <w:jc w:val="right"/>
    </w:pPr>
    <w:r>
      <w:t>MOU DRAFT – FEBRUARY 1, 2018</w:t>
    </w:r>
  </w:p>
  <w:p w14:paraId="4F284766" w14:textId="77777777" w:rsidR="00D30E65" w:rsidRDefault="00AA7A48" w:rsidP="0082105E">
    <w:pPr>
      <w:pStyle w:val="Header"/>
      <w:jc w:val="right"/>
    </w:pPr>
    <w:r>
      <w:t xml:space="preserve">FOR DISCUSSION PURPOSES ONLY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A4506"/>
    <w:multiLevelType w:val="hybridMultilevel"/>
    <w:tmpl w:val="E1C62910"/>
    <w:lvl w:ilvl="0" w:tplc="0409000F">
      <w:start w:val="1"/>
      <w:numFmt w:val="decimal"/>
      <w:lvlText w:val="%1."/>
      <w:lvlJc w:val="left"/>
      <w:pPr>
        <w:tabs>
          <w:tab w:val="num" w:pos="1440"/>
        </w:tabs>
        <w:ind w:left="1440" w:hanging="360"/>
      </w:pPr>
    </w:lvl>
    <w:lvl w:ilvl="1" w:tplc="6F9054AE">
      <w:start w:val="1"/>
      <w:numFmt w:val="lowerLetter"/>
      <w:lvlText w:val="(%2)"/>
      <w:lvlJc w:val="left"/>
      <w:pPr>
        <w:tabs>
          <w:tab w:val="num" w:pos="720"/>
        </w:tabs>
        <w:ind w:left="0" w:firstLine="1440"/>
      </w:pPr>
      <w:rPr>
        <w:rFonts w:hint="default"/>
      </w:rPr>
    </w:lvl>
    <w:lvl w:ilvl="2" w:tplc="0409001B">
      <w:start w:val="1"/>
      <w:numFmt w:val="lowerRoman"/>
      <w:lvlText w:val="%3."/>
      <w:lvlJc w:val="right"/>
      <w:pPr>
        <w:tabs>
          <w:tab w:val="num" w:pos="720"/>
        </w:tabs>
        <w:ind w:left="0" w:firstLine="720"/>
      </w:pPr>
      <w:rPr>
        <w:rFonts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9DBEE858">
      <w:start w:val="2"/>
      <w:numFmt w:val="lowerRoman"/>
      <w:lvlText w:val="(%7)"/>
      <w:lvlJc w:val="left"/>
      <w:pPr>
        <w:tabs>
          <w:tab w:val="num" w:pos="6120"/>
        </w:tabs>
        <w:ind w:left="6120" w:hanging="720"/>
      </w:pPr>
      <w:rPr>
        <w:rFonts w:hint="default"/>
        <w:sz w:val="22"/>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9CA602E"/>
    <w:multiLevelType w:val="hybridMultilevel"/>
    <w:tmpl w:val="40B613AC"/>
    <w:lvl w:ilvl="0" w:tplc="6F9054AE">
      <w:start w:val="1"/>
      <w:numFmt w:val="lowerLetter"/>
      <w:lvlText w:val="(%1)"/>
      <w:lvlJc w:val="left"/>
      <w:pPr>
        <w:tabs>
          <w:tab w:val="num" w:pos="720"/>
        </w:tabs>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4B047C"/>
    <w:multiLevelType w:val="hybridMultilevel"/>
    <w:tmpl w:val="86A01636"/>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vin, Kelsey">
    <w15:presenceInfo w15:providerId="AD" w15:userId="S-1-5-21-107098355-2747479665-1347135383-136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F1"/>
    <w:rsid w:val="00085115"/>
    <w:rsid w:val="000B2CEA"/>
    <w:rsid w:val="0013020F"/>
    <w:rsid w:val="00235AE6"/>
    <w:rsid w:val="00296BE0"/>
    <w:rsid w:val="00297AFB"/>
    <w:rsid w:val="002B501E"/>
    <w:rsid w:val="0034665C"/>
    <w:rsid w:val="003D7F2B"/>
    <w:rsid w:val="003E5FDA"/>
    <w:rsid w:val="003E6A70"/>
    <w:rsid w:val="004404DB"/>
    <w:rsid w:val="00467BEB"/>
    <w:rsid w:val="004D7511"/>
    <w:rsid w:val="005462FA"/>
    <w:rsid w:val="00597827"/>
    <w:rsid w:val="005C4076"/>
    <w:rsid w:val="00644060"/>
    <w:rsid w:val="00756B35"/>
    <w:rsid w:val="0077544B"/>
    <w:rsid w:val="007E593C"/>
    <w:rsid w:val="00914696"/>
    <w:rsid w:val="00961263"/>
    <w:rsid w:val="009B01C3"/>
    <w:rsid w:val="009D40EF"/>
    <w:rsid w:val="00AA23A4"/>
    <w:rsid w:val="00AA7A48"/>
    <w:rsid w:val="00AB14F1"/>
    <w:rsid w:val="00AE4258"/>
    <w:rsid w:val="00B00819"/>
    <w:rsid w:val="00B33B89"/>
    <w:rsid w:val="00BB2B77"/>
    <w:rsid w:val="00BC1EB2"/>
    <w:rsid w:val="00D23862"/>
    <w:rsid w:val="00D339E2"/>
    <w:rsid w:val="00D4582A"/>
    <w:rsid w:val="00D503D4"/>
    <w:rsid w:val="00D96A55"/>
    <w:rsid w:val="00DB6903"/>
    <w:rsid w:val="00E018D3"/>
    <w:rsid w:val="00E4040C"/>
    <w:rsid w:val="00F114C9"/>
    <w:rsid w:val="00FA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FD09"/>
  <w15:chartTrackingRefBased/>
  <w15:docId w15:val="{AE3B8814-E8FF-4354-BCD3-2F87145D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96BE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96BE0"/>
    <w:rPr>
      <w:rFonts w:ascii="Times New Roman" w:eastAsia="Times New Roman" w:hAnsi="Times New Roman" w:cs="Times New Roman"/>
      <w:sz w:val="20"/>
      <w:szCs w:val="20"/>
    </w:rPr>
  </w:style>
  <w:style w:type="paragraph" w:styleId="ListParagraph">
    <w:name w:val="List Paragraph"/>
    <w:basedOn w:val="Normal"/>
    <w:uiPriority w:val="34"/>
    <w:qFormat/>
    <w:rsid w:val="003E6A70"/>
    <w:pPr>
      <w:spacing w:after="0" w:line="240" w:lineRule="auto"/>
      <w:ind w:left="720"/>
      <w:contextualSpacing/>
    </w:pPr>
    <w:rPr>
      <w:rFonts w:ascii="Times New Roman" w:eastAsia="Times New Roman" w:hAnsi="Times New Roman" w:cs="Times New Roman"/>
      <w:sz w:val="24"/>
      <w:szCs w:val="24"/>
    </w:rPr>
  </w:style>
  <w:style w:type="paragraph" w:customStyle="1" w:styleId="AfterQuote">
    <w:name w:val="AfterQuote"/>
    <w:basedOn w:val="Normal"/>
    <w:next w:val="Normal"/>
    <w:rsid w:val="005C4076"/>
    <w:pPr>
      <w:spacing w:after="240" w:line="240" w:lineRule="auto"/>
    </w:pPr>
    <w:rPr>
      <w:rFonts w:ascii="Times New Roman" w:eastAsia="Times New Roman" w:hAnsi="Times New Roman" w:cs="Times New Roman"/>
      <w:sz w:val="24"/>
      <w:szCs w:val="20"/>
    </w:rPr>
  </w:style>
  <w:style w:type="paragraph" w:styleId="Header">
    <w:name w:val="header"/>
    <w:basedOn w:val="Normal"/>
    <w:link w:val="HeaderChar"/>
    <w:rsid w:val="00D96A5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96A55"/>
    <w:rPr>
      <w:rFonts w:ascii="Times New Roman" w:eastAsia="Times New Roman" w:hAnsi="Times New Roman" w:cs="Times New Roman"/>
      <w:sz w:val="24"/>
      <w:szCs w:val="24"/>
    </w:rPr>
  </w:style>
  <w:style w:type="paragraph" w:styleId="Footer">
    <w:name w:val="footer"/>
    <w:basedOn w:val="Normal"/>
    <w:link w:val="FooterChar"/>
    <w:rsid w:val="00D96A5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96A55"/>
    <w:rPr>
      <w:rFonts w:ascii="Times New Roman" w:eastAsia="Times New Roman" w:hAnsi="Times New Roman" w:cs="Times New Roman"/>
      <w:sz w:val="24"/>
      <w:szCs w:val="24"/>
    </w:rPr>
  </w:style>
  <w:style w:type="character" w:styleId="PageNumber">
    <w:name w:val="page number"/>
    <w:basedOn w:val="DefaultParagraphFont"/>
    <w:rsid w:val="00D96A55"/>
  </w:style>
  <w:style w:type="character" w:styleId="CommentReference">
    <w:name w:val="annotation reference"/>
    <w:basedOn w:val="DefaultParagraphFont"/>
    <w:uiPriority w:val="99"/>
    <w:semiHidden/>
    <w:unhideWhenUsed/>
    <w:rsid w:val="00AE4258"/>
    <w:rPr>
      <w:sz w:val="16"/>
      <w:szCs w:val="16"/>
    </w:rPr>
  </w:style>
  <w:style w:type="paragraph" w:styleId="CommentText">
    <w:name w:val="annotation text"/>
    <w:basedOn w:val="Normal"/>
    <w:link w:val="CommentTextChar"/>
    <w:uiPriority w:val="99"/>
    <w:semiHidden/>
    <w:unhideWhenUsed/>
    <w:rsid w:val="00AE4258"/>
    <w:pPr>
      <w:spacing w:line="240" w:lineRule="auto"/>
    </w:pPr>
    <w:rPr>
      <w:sz w:val="20"/>
      <w:szCs w:val="20"/>
    </w:rPr>
  </w:style>
  <w:style w:type="character" w:customStyle="1" w:styleId="CommentTextChar">
    <w:name w:val="Comment Text Char"/>
    <w:basedOn w:val="DefaultParagraphFont"/>
    <w:link w:val="CommentText"/>
    <w:uiPriority w:val="99"/>
    <w:semiHidden/>
    <w:rsid w:val="00AE4258"/>
    <w:rPr>
      <w:sz w:val="20"/>
      <w:szCs w:val="20"/>
    </w:rPr>
  </w:style>
  <w:style w:type="paragraph" w:styleId="CommentSubject">
    <w:name w:val="annotation subject"/>
    <w:basedOn w:val="CommentText"/>
    <w:next w:val="CommentText"/>
    <w:link w:val="CommentSubjectChar"/>
    <w:uiPriority w:val="99"/>
    <w:semiHidden/>
    <w:unhideWhenUsed/>
    <w:rsid w:val="00AE4258"/>
    <w:rPr>
      <w:b/>
      <w:bCs/>
    </w:rPr>
  </w:style>
  <w:style w:type="character" w:customStyle="1" w:styleId="CommentSubjectChar">
    <w:name w:val="Comment Subject Char"/>
    <w:basedOn w:val="CommentTextChar"/>
    <w:link w:val="CommentSubject"/>
    <w:uiPriority w:val="99"/>
    <w:semiHidden/>
    <w:rsid w:val="00AE4258"/>
    <w:rPr>
      <w:b/>
      <w:bCs/>
      <w:sz w:val="20"/>
      <w:szCs w:val="20"/>
    </w:rPr>
  </w:style>
  <w:style w:type="paragraph" w:styleId="BalloonText">
    <w:name w:val="Balloon Text"/>
    <w:basedOn w:val="Normal"/>
    <w:link w:val="BalloonTextChar"/>
    <w:uiPriority w:val="99"/>
    <w:semiHidden/>
    <w:unhideWhenUsed/>
    <w:rsid w:val="00AE4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258"/>
    <w:rPr>
      <w:rFonts w:ascii="Segoe UI" w:hAnsi="Segoe UI" w:cs="Segoe UI"/>
      <w:sz w:val="18"/>
      <w:szCs w:val="18"/>
    </w:rPr>
  </w:style>
  <w:style w:type="paragraph" w:styleId="NoSpacing">
    <w:name w:val="No Spacing"/>
    <w:uiPriority w:val="1"/>
    <w:qFormat/>
    <w:rsid w:val="009D4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16925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Colvin, Kelsey</dc:creator>
  <cp:keywords/>
  <dc:description/>
  <cp:lastModifiedBy>Charlie Musson</cp:lastModifiedBy>
  <cp:revision>4</cp:revision>
  <dcterms:created xsi:type="dcterms:W3CDTF">2018-05-22T18:51:00Z</dcterms:created>
  <dcterms:modified xsi:type="dcterms:W3CDTF">2018-05-23T14:28:00Z</dcterms:modified>
</cp:coreProperties>
</file>