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E6BC" w14:textId="77777777" w:rsidR="00CD5C80" w:rsidRDefault="00CD5C80">
      <w:pPr>
        <w:pStyle w:val="Title"/>
      </w:pPr>
      <w:bookmarkStart w:id="0" w:name="_GoBack"/>
      <w:bookmarkEnd w:id="0"/>
      <w:r>
        <w:t>Kentucky Municipal Energy Agency</w:t>
      </w:r>
    </w:p>
    <w:p w14:paraId="58A47817" w14:textId="68C8F897" w:rsidR="00EA38C4" w:rsidRDefault="00FC3F28">
      <w:pPr>
        <w:pStyle w:val="Title"/>
      </w:pPr>
      <w:r>
        <w:t>Travel Expense Policy</w:t>
      </w:r>
    </w:p>
    <w:p w14:paraId="38A001A4" w14:textId="591E51E3" w:rsidR="00EA38C4" w:rsidRDefault="00BE1D0A">
      <w:pPr>
        <w:pStyle w:val="Title"/>
      </w:pPr>
      <w:r>
        <w:t>0</w:t>
      </w:r>
      <w:r w:rsidR="00CC2035">
        <w:t>4</w:t>
      </w:r>
      <w:r w:rsidR="008D0B1E">
        <w:t>/</w:t>
      </w:r>
      <w:r>
        <w:t>0</w:t>
      </w:r>
      <w:r w:rsidR="008D0B1E">
        <w:t>1/</w:t>
      </w:r>
      <w:r w:rsidR="00CD5C80">
        <w:t>20</w:t>
      </w:r>
      <w:r w:rsidR="008D0B1E">
        <w:t>18</w:t>
      </w:r>
    </w:p>
    <w:p w14:paraId="6D6BD102" w14:textId="11C0563D" w:rsidR="00EA38C4" w:rsidRDefault="00EA38C4">
      <w:pPr>
        <w:rPr>
          <w:b/>
          <w:sz w:val="22"/>
        </w:rPr>
      </w:pPr>
    </w:p>
    <w:p w14:paraId="1AB92AB1" w14:textId="77777777" w:rsidR="00F731D2" w:rsidRDefault="00F731D2">
      <w:pPr>
        <w:rPr>
          <w:b/>
          <w:sz w:val="22"/>
        </w:rPr>
      </w:pPr>
    </w:p>
    <w:p w14:paraId="5C3E3129" w14:textId="77777777" w:rsidR="00EA38C4" w:rsidRDefault="00EA38C4">
      <w:pPr>
        <w:rPr>
          <w:b/>
          <w:sz w:val="22"/>
        </w:rPr>
      </w:pPr>
    </w:p>
    <w:p w14:paraId="58F0E06A" w14:textId="7F773AB1" w:rsidR="000F5D90" w:rsidRPr="000F5D90" w:rsidRDefault="00935331" w:rsidP="000F5D90">
      <w:pPr>
        <w:pStyle w:val="Heading1"/>
      </w:pPr>
      <w:r>
        <w:t>Purpose</w:t>
      </w:r>
    </w:p>
    <w:p w14:paraId="6D1083BB" w14:textId="77777777" w:rsidR="00935331" w:rsidRDefault="00935331" w:rsidP="009B2513">
      <w:pPr>
        <w:rPr>
          <w:sz w:val="22"/>
        </w:rPr>
      </w:pPr>
      <w:r>
        <w:rPr>
          <w:sz w:val="22"/>
        </w:rPr>
        <w:t>The purpose of this policy is to:</w:t>
      </w:r>
    </w:p>
    <w:p w14:paraId="7822AF90" w14:textId="3D689F1A" w:rsidR="00935331" w:rsidRPr="00935331" w:rsidRDefault="00935331" w:rsidP="00935331">
      <w:pPr>
        <w:pStyle w:val="ListParagraph"/>
        <w:numPr>
          <w:ilvl w:val="0"/>
          <w:numId w:val="30"/>
        </w:numPr>
        <w:rPr>
          <w:sz w:val="22"/>
        </w:rPr>
      </w:pPr>
      <w:r w:rsidRPr="00935331">
        <w:rPr>
          <w:sz w:val="22"/>
        </w:rPr>
        <w:t xml:space="preserve">Describe the types of </w:t>
      </w:r>
      <w:r w:rsidR="00206239" w:rsidRPr="00935331">
        <w:rPr>
          <w:sz w:val="22"/>
        </w:rPr>
        <w:t xml:space="preserve">travel and </w:t>
      </w:r>
      <w:r w:rsidR="00F22939">
        <w:rPr>
          <w:sz w:val="22"/>
        </w:rPr>
        <w:t>business development</w:t>
      </w:r>
      <w:r w:rsidR="00206239" w:rsidRPr="00935331">
        <w:rPr>
          <w:sz w:val="22"/>
        </w:rPr>
        <w:t xml:space="preserve"> </w:t>
      </w:r>
      <w:r w:rsidRPr="00935331">
        <w:rPr>
          <w:sz w:val="22"/>
        </w:rPr>
        <w:t xml:space="preserve">expenditures that are reimbursable by </w:t>
      </w:r>
      <w:r w:rsidR="00206239">
        <w:rPr>
          <w:sz w:val="22"/>
        </w:rPr>
        <w:t>Kentucky Municipal Energy Agency</w:t>
      </w:r>
      <w:r w:rsidR="00B820BC">
        <w:rPr>
          <w:sz w:val="22"/>
        </w:rPr>
        <w:t>.</w:t>
      </w:r>
    </w:p>
    <w:p w14:paraId="43B24221" w14:textId="70825B10" w:rsidR="00935331" w:rsidRPr="00935331" w:rsidRDefault="00935331" w:rsidP="00935331">
      <w:pPr>
        <w:pStyle w:val="ListParagraph"/>
        <w:numPr>
          <w:ilvl w:val="0"/>
          <w:numId w:val="30"/>
        </w:numPr>
        <w:rPr>
          <w:sz w:val="22"/>
        </w:rPr>
      </w:pPr>
      <w:r w:rsidRPr="00935331">
        <w:rPr>
          <w:sz w:val="22"/>
        </w:rPr>
        <w:t xml:space="preserve">Inform employees of their responsibilities to control and report travel and </w:t>
      </w:r>
      <w:r w:rsidR="00F22939">
        <w:rPr>
          <w:sz w:val="22"/>
        </w:rPr>
        <w:t>business development</w:t>
      </w:r>
      <w:r w:rsidR="00B820BC">
        <w:rPr>
          <w:sz w:val="22"/>
        </w:rPr>
        <w:t>.</w:t>
      </w:r>
    </w:p>
    <w:p w14:paraId="2EE7F7D6" w14:textId="77777777" w:rsidR="00935331" w:rsidRPr="00935331" w:rsidRDefault="00935331" w:rsidP="00935331">
      <w:pPr>
        <w:pStyle w:val="ListParagraph"/>
        <w:numPr>
          <w:ilvl w:val="0"/>
          <w:numId w:val="30"/>
        </w:numPr>
        <w:rPr>
          <w:sz w:val="22"/>
        </w:rPr>
      </w:pPr>
      <w:r w:rsidRPr="00935331">
        <w:rPr>
          <w:sz w:val="22"/>
        </w:rPr>
        <w:t>Describe the process for an employee to file and obtain travel expenses and reimbursement.</w:t>
      </w:r>
    </w:p>
    <w:p w14:paraId="7C468E3B" w14:textId="33C1A5FC" w:rsidR="00EA38C4" w:rsidRDefault="00EA38C4">
      <w:pPr>
        <w:rPr>
          <w:sz w:val="22"/>
        </w:rPr>
      </w:pPr>
    </w:p>
    <w:p w14:paraId="27099462" w14:textId="77777777" w:rsidR="000D7794" w:rsidRDefault="000D7794">
      <w:pPr>
        <w:rPr>
          <w:sz w:val="22"/>
        </w:rPr>
      </w:pPr>
    </w:p>
    <w:p w14:paraId="39CB7907" w14:textId="1A57AF87" w:rsidR="00EA38C4" w:rsidRDefault="00206239">
      <w:pPr>
        <w:pStyle w:val="Heading1"/>
        <w:rPr>
          <w:sz w:val="22"/>
        </w:rPr>
      </w:pPr>
      <w:r>
        <w:t>Employee Travel &amp; Business Expense Guide</w:t>
      </w:r>
    </w:p>
    <w:p w14:paraId="27FD1D54" w14:textId="77777777" w:rsidR="004F4612" w:rsidRDefault="00206239" w:rsidP="009B2513">
      <w:pPr>
        <w:rPr>
          <w:sz w:val="22"/>
        </w:rPr>
      </w:pPr>
      <w:r>
        <w:rPr>
          <w:sz w:val="22"/>
        </w:rPr>
        <w:t>This guide is intended to aid the Kentucky Municipal Energy Agency</w:t>
      </w:r>
      <w:r w:rsidR="004F4612">
        <w:rPr>
          <w:sz w:val="22"/>
        </w:rPr>
        <w:t xml:space="preserve"> business traveler and Kentucky Municipal Energy Agency</w:t>
      </w:r>
      <w:r w:rsidR="004F4612" w:rsidRPr="009B2513">
        <w:rPr>
          <w:sz w:val="22"/>
        </w:rPr>
        <w:t xml:space="preserve"> </w:t>
      </w:r>
      <w:r w:rsidR="004F4612">
        <w:rPr>
          <w:sz w:val="22"/>
        </w:rPr>
        <w:t>management by setting forth guidelines and reporting requirements related to Kentucky Municipal Energy Agency</w:t>
      </w:r>
      <w:r w:rsidR="004F4612" w:rsidRPr="009B2513">
        <w:rPr>
          <w:sz w:val="22"/>
        </w:rPr>
        <w:t xml:space="preserve"> </w:t>
      </w:r>
      <w:r w:rsidR="004F4612">
        <w:rPr>
          <w:sz w:val="22"/>
        </w:rPr>
        <w:t>expectations and IRS regulations.</w:t>
      </w:r>
    </w:p>
    <w:p w14:paraId="1E4E4A10" w14:textId="77777777" w:rsidR="004F4612" w:rsidRDefault="004F4612" w:rsidP="009B2513">
      <w:pPr>
        <w:rPr>
          <w:sz w:val="22"/>
        </w:rPr>
      </w:pPr>
    </w:p>
    <w:p w14:paraId="65958EEF" w14:textId="506BE840" w:rsidR="004F4612" w:rsidRDefault="004F4612" w:rsidP="009B2513">
      <w:pPr>
        <w:rPr>
          <w:sz w:val="22"/>
        </w:rPr>
      </w:pPr>
      <w:r>
        <w:rPr>
          <w:sz w:val="22"/>
        </w:rPr>
        <w:t xml:space="preserve">All travelers and Managers bear responsibility for cost-effective business travel.  All travel must be approved prior to the actual travel event by the </w:t>
      </w:r>
      <w:r w:rsidR="00390F1F">
        <w:rPr>
          <w:sz w:val="22"/>
        </w:rPr>
        <w:t>CEO</w:t>
      </w:r>
      <w:r>
        <w:rPr>
          <w:sz w:val="22"/>
        </w:rPr>
        <w:t xml:space="preserve"> </w:t>
      </w:r>
      <w:r w:rsidR="00911624">
        <w:rPr>
          <w:sz w:val="22"/>
        </w:rPr>
        <w:t xml:space="preserve">or by a KyMEA Officer in the </w:t>
      </w:r>
      <w:r w:rsidR="00390F1F">
        <w:rPr>
          <w:sz w:val="22"/>
        </w:rPr>
        <w:t>CEO’s</w:t>
      </w:r>
      <w:r w:rsidR="00911624">
        <w:rPr>
          <w:sz w:val="22"/>
        </w:rPr>
        <w:t xml:space="preserve"> absence</w:t>
      </w:r>
      <w:r>
        <w:rPr>
          <w:sz w:val="22"/>
        </w:rPr>
        <w:t xml:space="preserve">.  The </w:t>
      </w:r>
      <w:r w:rsidR="00390F1F">
        <w:rPr>
          <w:sz w:val="22"/>
        </w:rPr>
        <w:t>CEO</w:t>
      </w:r>
      <w:r>
        <w:rPr>
          <w:sz w:val="22"/>
        </w:rPr>
        <w:t xml:space="preserve"> will carefully review and approve all Expense Reports.  Items not considered </w:t>
      </w:r>
      <w:r w:rsidR="00E46B9D">
        <w:rPr>
          <w:sz w:val="22"/>
        </w:rPr>
        <w:t>reimbursable</w:t>
      </w:r>
      <w:r>
        <w:rPr>
          <w:sz w:val="22"/>
        </w:rPr>
        <w:t xml:space="preserve"> will be </w:t>
      </w:r>
      <w:r w:rsidR="00E46B9D">
        <w:rPr>
          <w:sz w:val="22"/>
        </w:rPr>
        <w:t>disallowed</w:t>
      </w:r>
      <w:r>
        <w:rPr>
          <w:sz w:val="22"/>
        </w:rPr>
        <w:t xml:space="preserve"> prior to </w:t>
      </w:r>
      <w:r w:rsidR="00E46B9D">
        <w:rPr>
          <w:sz w:val="22"/>
        </w:rPr>
        <w:t>being</w:t>
      </w:r>
      <w:r>
        <w:rPr>
          <w:sz w:val="22"/>
        </w:rPr>
        <w:t xml:space="preserve"> submitted to Accounting.</w:t>
      </w:r>
    </w:p>
    <w:p w14:paraId="570A009F" w14:textId="77777777" w:rsidR="004F4612" w:rsidRDefault="004F4612" w:rsidP="009B2513">
      <w:pPr>
        <w:rPr>
          <w:sz w:val="22"/>
        </w:rPr>
      </w:pPr>
    </w:p>
    <w:p w14:paraId="29164F37" w14:textId="77777777" w:rsidR="00915059" w:rsidRDefault="00E46B9D" w:rsidP="009B2513">
      <w:pPr>
        <w:rPr>
          <w:sz w:val="22"/>
        </w:rPr>
      </w:pPr>
      <w:r>
        <w:rPr>
          <w:sz w:val="22"/>
        </w:rPr>
        <w:t>While these guidelines are intended to be comprehensive, it is impossible to anticipate every situation encountered by a traveler.  The traveler, is expected to apply these guidelines on a conservative basis, consistent with normal living standards and, where the policy is silent, to exercise good business judgment.</w:t>
      </w:r>
    </w:p>
    <w:p w14:paraId="3C760A39" w14:textId="77777777" w:rsidR="00915059" w:rsidRDefault="00915059" w:rsidP="009B2513">
      <w:pPr>
        <w:rPr>
          <w:sz w:val="22"/>
        </w:rPr>
      </w:pPr>
    </w:p>
    <w:p w14:paraId="2B5286DC" w14:textId="77777777" w:rsidR="000D7794" w:rsidRPr="001D4203" w:rsidRDefault="000D7794" w:rsidP="00BE1D0A">
      <w:pPr>
        <w:rPr>
          <w:sz w:val="22"/>
        </w:rPr>
      </w:pPr>
    </w:p>
    <w:p w14:paraId="06472C27" w14:textId="7AA6052F" w:rsidR="005B636C" w:rsidRPr="001D4203" w:rsidRDefault="008023EF" w:rsidP="005B636C">
      <w:pPr>
        <w:pStyle w:val="Heading1"/>
        <w:rPr>
          <w:sz w:val="22"/>
        </w:rPr>
      </w:pPr>
      <w:r>
        <w:t>General Travel Policy</w:t>
      </w:r>
    </w:p>
    <w:p w14:paraId="151BA0C6" w14:textId="0F7B3656" w:rsidR="008023EF" w:rsidRDefault="008023EF" w:rsidP="009B2513">
      <w:pPr>
        <w:rPr>
          <w:sz w:val="22"/>
        </w:rPr>
      </w:pPr>
      <w:r>
        <w:rPr>
          <w:sz w:val="22"/>
        </w:rPr>
        <w:t xml:space="preserve">It is the </w:t>
      </w:r>
      <w:r w:rsidR="009957D1">
        <w:rPr>
          <w:sz w:val="22"/>
        </w:rPr>
        <w:t>Agency</w:t>
      </w:r>
      <w:r w:rsidR="00390F1F">
        <w:rPr>
          <w:sz w:val="22"/>
        </w:rPr>
        <w:t xml:space="preserve">’s </w:t>
      </w:r>
      <w:r>
        <w:rPr>
          <w:sz w:val="22"/>
        </w:rPr>
        <w:t xml:space="preserve">policy to reimburse employees for all expenses necessary, reasonable and </w:t>
      </w:r>
      <w:r w:rsidR="00122FBB">
        <w:rPr>
          <w:sz w:val="22"/>
        </w:rPr>
        <w:t>incurred</w:t>
      </w:r>
      <w:r>
        <w:rPr>
          <w:sz w:val="22"/>
        </w:rPr>
        <w:t xml:space="preserve"> when traveling on authorized </w:t>
      </w:r>
      <w:r w:rsidR="009957D1">
        <w:rPr>
          <w:sz w:val="22"/>
        </w:rPr>
        <w:t>Agency</w:t>
      </w:r>
      <w:r>
        <w:rPr>
          <w:sz w:val="22"/>
        </w:rPr>
        <w:t xml:space="preserve"> business.</w:t>
      </w:r>
    </w:p>
    <w:p w14:paraId="1BDE8548" w14:textId="77777777" w:rsidR="008023EF" w:rsidRDefault="008023EF" w:rsidP="009B2513">
      <w:pPr>
        <w:rPr>
          <w:sz w:val="22"/>
        </w:rPr>
      </w:pPr>
    </w:p>
    <w:p w14:paraId="18EC52A2" w14:textId="7C1AFE1C" w:rsidR="008023EF" w:rsidRDefault="008023EF" w:rsidP="009B2513">
      <w:pPr>
        <w:rPr>
          <w:sz w:val="22"/>
        </w:rPr>
      </w:pPr>
      <w:r>
        <w:rPr>
          <w:sz w:val="22"/>
        </w:rPr>
        <w:t xml:space="preserve">Travel expenses must be properly documented and approved on a Travel Expense Report.  It is each employee’s responsibility to adhere to policy when involved with expenditures on behalf of the </w:t>
      </w:r>
      <w:r w:rsidR="009957D1">
        <w:rPr>
          <w:sz w:val="22"/>
        </w:rPr>
        <w:t>Agency</w:t>
      </w:r>
      <w:r>
        <w:rPr>
          <w:sz w:val="22"/>
        </w:rPr>
        <w:t xml:space="preserve">.  Further, it is the responsibility of the </w:t>
      </w:r>
      <w:r w:rsidR="00BF0796">
        <w:rPr>
          <w:sz w:val="22"/>
        </w:rPr>
        <w:t>CEO</w:t>
      </w:r>
      <w:r>
        <w:rPr>
          <w:sz w:val="22"/>
        </w:rPr>
        <w:t xml:space="preserve"> to be familiar with the reason for the expenditures and to be satisfied that they have been reported in a manner consistent with the recognized policy.</w:t>
      </w:r>
    </w:p>
    <w:p w14:paraId="2F278041" w14:textId="77777777" w:rsidR="008023EF" w:rsidRDefault="008023EF" w:rsidP="009B2513">
      <w:pPr>
        <w:rPr>
          <w:sz w:val="22"/>
        </w:rPr>
      </w:pPr>
    </w:p>
    <w:p w14:paraId="7381A372" w14:textId="62108DEB" w:rsidR="008023EF" w:rsidRDefault="008023EF" w:rsidP="009B2513">
      <w:pPr>
        <w:rPr>
          <w:sz w:val="22"/>
        </w:rPr>
      </w:pPr>
      <w:r>
        <w:rPr>
          <w:sz w:val="22"/>
        </w:rPr>
        <w:t>Employees are expected to:</w:t>
      </w:r>
    </w:p>
    <w:p w14:paraId="37B7B1DB" w14:textId="77777777" w:rsidR="008023EF" w:rsidRPr="008023EF" w:rsidRDefault="008023EF" w:rsidP="008023EF">
      <w:pPr>
        <w:pStyle w:val="ListParagraph"/>
        <w:numPr>
          <w:ilvl w:val="0"/>
          <w:numId w:val="31"/>
        </w:numPr>
        <w:rPr>
          <w:sz w:val="22"/>
        </w:rPr>
      </w:pPr>
      <w:r w:rsidRPr="008023EF">
        <w:rPr>
          <w:sz w:val="22"/>
        </w:rPr>
        <w:t>Exercise good judgment with respect to expenses.</w:t>
      </w:r>
    </w:p>
    <w:p w14:paraId="61E336B3" w14:textId="2554BC80" w:rsidR="008023EF" w:rsidRPr="008023EF" w:rsidRDefault="008023EF" w:rsidP="008023EF">
      <w:pPr>
        <w:pStyle w:val="ListParagraph"/>
        <w:numPr>
          <w:ilvl w:val="0"/>
          <w:numId w:val="31"/>
        </w:numPr>
        <w:rPr>
          <w:sz w:val="22"/>
        </w:rPr>
      </w:pPr>
      <w:r w:rsidRPr="008023EF">
        <w:rPr>
          <w:sz w:val="22"/>
        </w:rPr>
        <w:t xml:space="preserve">Spend the </w:t>
      </w:r>
      <w:r w:rsidR="009957D1">
        <w:rPr>
          <w:sz w:val="22"/>
        </w:rPr>
        <w:t>Agency</w:t>
      </w:r>
      <w:r w:rsidRPr="008023EF">
        <w:rPr>
          <w:sz w:val="22"/>
        </w:rPr>
        <w:t>’s money as carefully and judiciously as they would their own.</w:t>
      </w:r>
    </w:p>
    <w:p w14:paraId="433197FD" w14:textId="77777777" w:rsidR="008023EF" w:rsidRDefault="008023EF" w:rsidP="009B2513">
      <w:pPr>
        <w:rPr>
          <w:sz w:val="22"/>
        </w:rPr>
      </w:pPr>
    </w:p>
    <w:p w14:paraId="75D5328A" w14:textId="77777777" w:rsidR="00911624" w:rsidRDefault="00911624" w:rsidP="00911624">
      <w:pPr>
        <w:pStyle w:val="Heading1"/>
      </w:pPr>
    </w:p>
    <w:p w14:paraId="154EDA0E" w14:textId="141CA348" w:rsidR="00911624" w:rsidRPr="001D4203" w:rsidRDefault="00911624" w:rsidP="00911624">
      <w:pPr>
        <w:pStyle w:val="Heading1"/>
        <w:rPr>
          <w:sz w:val="22"/>
        </w:rPr>
      </w:pPr>
      <w:r>
        <w:t>Travel</w:t>
      </w:r>
    </w:p>
    <w:p w14:paraId="0C03B8BA" w14:textId="01A9F7FD" w:rsidR="00C31EC0" w:rsidRDefault="00850B6D" w:rsidP="00911624">
      <w:pPr>
        <w:rPr>
          <w:sz w:val="22"/>
        </w:rPr>
      </w:pPr>
      <w:r>
        <w:rPr>
          <w:sz w:val="22"/>
        </w:rPr>
        <w:t xml:space="preserve">The </w:t>
      </w:r>
      <w:r w:rsidR="009957D1">
        <w:rPr>
          <w:sz w:val="22"/>
        </w:rPr>
        <w:t>Agency</w:t>
      </w:r>
      <w:r>
        <w:rPr>
          <w:sz w:val="22"/>
        </w:rPr>
        <w:t xml:space="preserve"> will pay for travel </w:t>
      </w:r>
      <w:proofErr w:type="gramStart"/>
      <w:r>
        <w:rPr>
          <w:sz w:val="22"/>
        </w:rPr>
        <w:t>as long as</w:t>
      </w:r>
      <w:proofErr w:type="gramEnd"/>
      <w:r>
        <w:rPr>
          <w:sz w:val="22"/>
        </w:rPr>
        <w:t xml:space="preserve"> expenses are reasonable.  Employees are expected to fly coach and get the best possible prices and arrangements.  Employees should make similar arrangements for hotels and </w:t>
      </w:r>
      <w:r w:rsidR="00C31EC0">
        <w:rPr>
          <w:sz w:val="22"/>
        </w:rPr>
        <w:t>car rentals as required.</w:t>
      </w:r>
    </w:p>
    <w:p w14:paraId="22D7029B" w14:textId="2C40CB56" w:rsidR="00E961B1" w:rsidRDefault="00C31EC0" w:rsidP="00E961B1">
      <w:pPr>
        <w:pStyle w:val="Heading1"/>
      </w:pPr>
      <w:r>
        <w:lastRenderedPageBreak/>
        <w:t>Travel Advances</w:t>
      </w:r>
    </w:p>
    <w:p w14:paraId="2D8BBF50" w14:textId="138D884C" w:rsidR="00E961B1" w:rsidRDefault="00AD3C53" w:rsidP="00AD3C53">
      <w:pPr>
        <w:rPr>
          <w:sz w:val="22"/>
        </w:rPr>
      </w:pPr>
      <w:r>
        <w:rPr>
          <w:sz w:val="22"/>
        </w:rPr>
        <w:t xml:space="preserve">Except in hardship cases, the </w:t>
      </w:r>
      <w:r w:rsidR="009957D1">
        <w:rPr>
          <w:sz w:val="22"/>
        </w:rPr>
        <w:t>Agency</w:t>
      </w:r>
      <w:r>
        <w:rPr>
          <w:sz w:val="22"/>
        </w:rPr>
        <w:t xml:space="preserve"> provides no travel advances.</w:t>
      </w:r>
      <w:r w:rsidR="00390F1F">
        <w:rPr>
          <w:sz w:val="22"/>
        </w:rPr>
        <w:t xml:space="preserve">  </w:t>
      </w:r>
      <w:r w:rsidR="009957D1">
        <w:rPr>
          <w:sz w:val="22"/>
        </w:rPr>
        <w:t>Agency</w:t>
      </w:r>
      <w:r w:rsidR="00390F1F">
        <w:rPr>
          <w:sz w:val="22"/>
        </w:rPr>
        <w:t xml:space="preserve"> employees will be provided a</w:t>
      </w:r>
      <w:r w:rsidR="009957D1">
        <w:rPr>
          <w:sz w:val="22"/>
        </w:rPr>
        <w:t>n Agency</w:t>
      </w:r>
      <w:r w:rsidR="00390F1F">
        <w:rPr>
          <w:sz w:val="22"/>
        </w:rPr>
        <w:t xml:space="preserve"> credit card to be used for travel expenditures.</w:t>
      </w:r>
    </w:p>
    <w:p w14:paraId="52B222A2" w14:textId="69E91D73" w:rsidR="009E4635" w:rsidRPr="007267DD" w:rsidRDefault="009E4635"/>
    <w:p w14:paraId="2F1BB2B3" w14:textId="77777777" w:rsidR="00E34392" w:rsidRPr="007267DD" w:rsidRDefault="00E34392"/>
    <w:p w14:paraId="4C7CBFEF" w14:textId="17B63A4E" w:rsidR="00E961B1" w:rsidRDefault="00EB7B87" w:rsidP="00E961B1">
      <w:pPr>
        <w:pStyle w:val="Heading1"/>
      </w:pPr>
      <w:r>
        <w:t>Mileage</w:t>
      </w:r>
    </w:p>
    <w:p w14:paraId="4DD098CA" w14:textId="65C68F0B" w:rsidR="00430EE4" w:rsidRPr="001D4203" w:rsidRDefault="00EB7B87" w:rsidP="00EB7B87">
      <w:pPr>
        <w:rPr>
          <w:sz w:val="22"/>
        </w:rPr>
      </w:pPr>
      <w:r>
        <w:rPr>
          <w:sz w:val="22"/>
        </w:rPr>
        <w:t xml:space="preserve">Any use of an employee’s own vehicle for </w:t>
      </w:r>
      <w:r w:rsidR="009957D1">
        <w:rPr>
          <w:sz w:val="22"/>
        </w:rPr>
        <w:t>Agency</w:t>
      </w:r>
      <w:r>
        <w:rPr>
          <w:sz w:val="22"/>
        </w:rPr>
        <w:t xml:space="preserve"> business will be paid at the then prevailing mileage rate approved by the Internal Revenue Service.</w:t>
      </w:r>
    </w:p>
    <w:p w14:paraId="56824995" w14:textId="1004632D" w:rsidR="00430EE4" w:rsidRPr="001D4203" w:rsidRDefault="00430EE4" w:rsidP="00430EE4">
      <w:pPr>
        <w:rPr>
          <w:sz w:val="22"/>
        </w:rPr>
      </w:pPr>
    </w:p>
    <w:p w14:paraId="135D6C46" w14:textId="77777777" w:rsidR="000D7794" w:rsidRPr="001D4203" w:rsidRDefault="000D7794" w:rsidP="00430EE4">
      <w:pPr>
        <w:rPr>
          <w:sz w:val="22"/>
        </w:rPr>
      </w:pPr>
    </w:p>
    <w:p w14:paraId="5A69741B" w14:textId="2E12AE2D" w:rsidR="00EA38C4" w:rsidRPr="001D4203" w:rsidRDefault="00EB7B87">
      <w:pPr>
        <w:pStyle w:val="Heading1"/>
      </w:pPr>
      <w:r>
        <w:t>Supplies and Services</w:t>
      </w:r>
    </w:p>
    <w:p w14:paraId="5A6880EB" w14:textId="3A5DA8CF" w:rsidR="00EA38C4" w:rsidRPr="008B48B5" w:rsidRDefault="00EB7B87" w:rsidP="00EB7B87">
      <w:pPr>
        <w:rPr>
          <w:sz w:val="22"/>
        </w:rPr>
      </w:pPr>
      <w:r>
        <w:rPr>
          <w:sz w:val="22"/>
        </w:rPr>
        <w:t xml:space="preserve">Supplies and services used in your work will be reimbursable if approved in advance by the CEO.  The </w:t>
      </w:r>
      <w:r w:rsidR="009957D1">
        <w:rPr>
          <w:sz w:val="22"/>
        </w:rPr>
        <w:t>Agency</w:t>
      </w:r>
      <w:r>
        <w:rPr>
          <w:sz w:val="22"/>
        </w:rPr>
        <w:t xml:space="preserve"> may approve the continued reimbursement of certain of these supplies without every time approval.  KyMEA strongly encourages employees to seek out approval for any supplies or services they believe will enhance their work product or those of others around them.</w:t>
      </w:r>
    </w:p>
    <w:p w14:paraId="35A26F81" w14:textId="77777777" w:rsidR="007267DD" w:rsidRDefault="007267DD">
      <w:pPr>
        <w:pStyle w:val="Heading1"/>
      </w:pPr>
    </w:p>
    <w:p w14:paraId="16930348" w14:textId="77777777" w:rsidR="007267DD" w:rsidRDefault="007267DD">
      <w:pPr>
        <w:pStyle w:val="Heading1"/>
      </w:pPr>
    </w:p>
    <w:p w14:paraId="6C2F6DF3" w14:textId="621877D2" w:rsidR="00EA38C4" w:rsidRDefault="00B91044">
      <w:pPr>
        <w:pStyle w:val="Heading1"/>
      </w:pPr>
      <w:r>
        <w:t>Meals</w:t>
      </w:r>
      <w:r w:rsidR="00F22939">
        <w:t xml:space="preserve"> and Business Development</w:t>
      </w:r>
    </w:p>
    <w:p w14:paraId="7299EC06" w14:textId="3960CEDA" w:rsidR="00EC2B58" w:rsidRDefault="00B91044" w:rsidP="00EC2B58">
      <w:pPr>
        <w:pStyle w:val="BodyText"/>
      </w:pPr>
      <w:r>
        <w:t xml:space="preserve">All meals out of town are </w:t>
      </w:r>
      <w:r w:rsidR="00122FBB">
        <w:t>reimbursable</w:t>
      </w:r>
      <w:r>
        <w:t xml:space="preserve">, </w:t>
      </w:r>
      <w:proofErr w:type="gramStart"/>
      <w:r>
        <w:t>as long as</w:t>
      </w:r>
      <w:proofErr w:type="gramEnd"/>
      <w:r>
        <w:t xml:space="preserve"> reasonable prudence is used.  </w:t>
      </w:r>
      <w:r w:rsidR="00F22939">
        <w:t>Business development</w:t>
      </w:r>
      <w:r>
        <w:t xml:space="preserve"> and other direct Agency </w:t>
      </w:r>
      <w:r w:rsidR="00390F1F">
        <w:t xml:space="preserve">business </w:t>
      </w:r>
      <w:r>
        <w:t>associations which promote goodwill is encouraged</w:t>
      </w:r>
      <w:r w:rsidR="00EC2B58">
        <w:t xml:space="preserve"> but within reasonable and prudent limits.</w:t>
      </w:r>
    </w:p>
    <w:p w14:paraId="1A7FABB5" w14:textId="58748145" w:rsidR="00677904" w:rsidRDefault="00677904">
      <w:pPr>
        <w:rPr>
          <w:b/>
          <w:i/>
        </w:rPr>
      </w:pPr>
    </w:p>
    <w:p w14:paraId="089008D0" w14:textId="77777777" w:rsidR="00E1199B" w:rsidRDefault="00E1199B">
      <w:pPr>
        <w:rPr>
          <w:b/>
          <w:i/>
        </w:rPr>
      </w:pPr>
    </w:p>
    <w:p w14:paraId="5638E035" w14:textId="3584E7F0" w:rsidR="00EA38C4" w:rsidRDefault="002E4FBA">
      <w:pPr>
        <w:pStyle w:val="Heading1"/>
        <w:rPr>
          <w:sz w:val="22"/>
        </w:rPr>
      </w:pPr>
      <w:r>
        <w:t>Expense Report Submissions</w:t>
      </w:r>
    </w:p>
    <w:p w14:paraId="67F6A626" w14:textId="3B7CDEC2" w:rsidR="002E4FBA" w:rsidRDefault="002E4FBA">
      <w:pPr>
        <w:rPr>
          <w:sz w:val="22"/>
        </w:rPr>
      </w:pPr>
      <w:r>
        <w:rPr>
          <w:sz w:val="22"/>
        </w:rPr>
        <w:t>Expense reports should be filled out promptly and submitted for reimbursement.  Receipts and explanations should be included with all expense reports.  Expense reports are to be signed by the employee and the CEO and forwarded to Accounting.  Any Expense Report turned in 90 days after the first expenditure on the report is subject to nonpayment.</w:t>
      </w:r>
    </w:p>
    <w:p w14:paraId="4732C429" w14:textId="77777777" w:rsidR="002E4FBA" w:rsidRDefault="002E4FBA">
      <w:pPr>
        <w:rPr>
          <w:sz w:val="22"/>
        </w:rPr>
      </w:pPr>
    </w:p>
    <w:p w14:paraId="6264102C" w14:textId="77777777" w:rsidR="002E4FBA" w:rsidRDefault="002E4FBA">
      <w:pPr>
        <w:rPr>
          <w:sz w:val="22"/>
        </w:rPr>
      </w:pPr>
    </w:p>
    <w:p w14:paraId="33ACBCB4" w14:textId="6DCDBF09" w:rsidR="00EA38C4" w:rsidRDefault="002E4FBA">
      <w:pPr>
        <w:pStyle w:val="Heading1"/>
        <w:rPr>
          <w:sz w:val="22"/>
        </w:rPr>
      </w:pPr>
      <w:r>
        <w:t>Reimbursement</w:t>
      </w:r>
    </w:p>
    <w:p w14:paraId="62FBC538" w14:textId="65484B31" w:rsidR="00EA38C4" w:rsidRDefault="002E4FBA" w:rsidP="00390F1F">
      <w:pPr>
        <w:rPr>
          <w:b/>
          <w:sz w:val="22"/>
        </w:rPr>
      </w:pPr>
      <w:r>
        <w:rPr>
          <w:sz w:val="22"/>
        </w:rPr>
        <w:t xml:space="preserve">Employees will be reimbursed for reasonable expenses incurred during the course of their duties, upon the submission and approval of the expense reports, explanations, receipt, and vouchers in accordance with this policy.  The </w:t>
      </w:r>
      <w:r w:rsidR="009957D1">
        <w:rPr>
          <w:sz w:val="22"/>
        </w:rPr>
        <w:t>Agency</w:t>
      </w:r>
      <w:r>
        <w:rPr>
          <w:sz w:val="22"/>
        </w:rPr>
        <w:t xml:space="preserve"> will consider and approve, in its sole discretion, the reasonableness of expense, and the amount that shall be repaid.</w:t>
      </w:r>
    </w:p>
    <w:sectPr w:rsidR="00EA38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8661" w14:textId="77777777" w:rsidR="00A37FEA" w:rsidRDefault="00A37FEA">
      <w:r>
        <w:separator/>
      </w:r>
    </w:p>
  </w:endnote>
  <w:endnote w:type="continuationSeparator" w:id="0">
    <w:p w14:paraId="7F3A9748" w14:textId="77777777" w:rsidR="00A37FEA" w:rsidRDefault="00A3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6106" w14:textId="77777777" w:rsidR="00564938" w:rsidRDefault="00564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BDEA" w14:textId="700C503B" w:rsidR="007C0F59" w:rsidRPr="00F156BB" w:rsidRDefault="009E4635" w:rsidP="00F156BB">
    <w:pPr>
      <w:pStyle w:val="Footer"/>
      <w:jc w:val="center"/>
      <w:rPr>
        <w:color w:val="808080"/>
        <w:sz w:val="18"/>
        <w:szCs w:val="18"/>
      </w:rPr>
    </w:pPr>
    <w:r>
      <w:rPr>
        <w:color w:val="808080"/>
        <w:sz w:val="18"/>
        <w:szCs w:val="18"/>
      </w:rPr>
      <w:t>Kentucky Municipal Energy Agency</w:t>
    </w:r>
    <w:r w:rsidR="007C0F59">
      <w:rPr>
        <w:color w:val="808080"/>
        <w:sz w:val="18"/>
        <w:szCs w:val="18"/>
      </w:rPr>
      <w:t xml:space="preserve">                                                                                                                </w:t>
    </w:r>
    <w:r>
      <w:rPr>
        <w:color w:val="808080"/>
        <w:sz w:val="18"/>
        <w:szCs w:val="18"/>
      </w:rPr>
      <w:t>04</w:t>
    </w:r>
    <w:r w:rsidR="007C0F59">
      <w:rPr>
        <w:color w:val="808080"/>
        <w:sz w:val="18"/>
        <w:szCs w:val="18"/>
      </w:rPr>
      <w:t>/01/20</w:t>
    </w:r>
    <w:r w:rsidR="009E094B">
      <w:rPr>
        <w:color w:val="808080"/>
        <w:sz w:val="18"/>
        <w:szCs w:val="18"/>
      </w:rPr>
      <w:t>1</w:t>
    </w:r>
    <w:r>
      <w:rPr>
        <w:color w:val="808080"/>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9D48" w14:textId="77777777" w:rsidR="00564938" w:rsidRDefault="0056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2410" w14:textId="77777777" w:rsidR="00A37FEA" w:rsidRDefault="00A37FEA">
      <w:r>
        <w:separator/>
      </w:r>
    </w:p>
  </w:footnote>
  <w:footnote w:type="continuationSeparator" w:id="0">
    <w:p w14:paraId="32B63209" w14:textId="77777777" w:rsidR="00A37FEA" w:rsidRDefault="00A3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B498" w14:textId="7D723CA7" w:rsidR="00564938" w:rsidRDefault="00A37FEA">
    <w:pPr>
      <w:pStyle w:val="Header"/>
    </w:pPr>
    <w:r>
      <w:rPr>
        <w:noProof/>
      </w:rPr>
      <w:pict w14:anchorId="5BF26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0751" o:spid="_x0000_s2050" type="#_x0000_t136" style="position:absolute;margin-left:0;margin-top:0;width:574.2pt;height:34.8pt;rotation:315;z-index:-251655168;mso-position-horizontal:center;mso-position-horizontal-relative:margin;mso-position-vertical:center;mso-position-vertical-relative:margin" o:allowincell="f" fillcolor="silver" stroked="f">
          <v:fill opacity=".5"/>
          <v:textpath style="font-family:&quot;Times New Roman&quot;;font-size:1pt" string="DRAFT - Subject to Board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A6EC" w14:textId="73694900" w:rsidR="00564938" w:rsidRDefault="00A37FEA">
    <w:pPr>
      <w:pStyle w:val="Header"/>
    </w:pPr>
    <w:r>
      <w:rPr>
        <w:noProof/>
      </w:rPr>
      <w:pict w14:anchorId="52DC9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0752" o:spid="_x0000_s2051" type="#_x0000_t136" style="position:absolute;margin-left:0;margin-top:0;width:574.2pt;height:34.8pt;rotation:315;z-index:-251653120;mso-position-horizontal:center;mso-position-horizontal-relative:margin;mso-position-vertical:center;mso-position-vertical-relative:margin" o:allowincell="f" fillcolor="silver" stroked="f">
          <v:fill opacity=".5"/>
          <v:textpath style="font-family:&quot;Times New Roman&quot;;font-size:1pt" string="DRAFT - Subject to Board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DAB" w14:textId="5B943A8E" w:rsidR="00564938" w:rsidRDefault="00A37FEA">
    <w:pPr>
      <w:pStyle w:val="Header"/>
    </w:pPr>
    <w:r>
      <w:rPr>
        <w:noProof/>
      </w:rPr>
      <w:pict w14:anchorId="4FBE8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50750" o:spid="_x0000_s2049" type="#_x0000_t136" style="position:absolute;margin-left:0;margin-top:0;width:574.2pt;height:34.8pt;rotation:315;z-index:-251657216;mso-position-horizontal:center;mso-position-horizontal-relative:margin;mso-position-vertical:center;mso-position-vertical-relative:margin" o:allowincell="f" fillcolor="silver" stroked="f">
          <v:fill opacity=".5"/>
          <v:textpath style="font-family:&quot;Times New Roman&quot;;font-size:1pt" string="DRAFT - Subject to Board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026"/>
    <w:multiLevelType w:val="hybridMultilevel"/>
    <w:tmpl w:val="BF164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C54C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5DA30C6"/>
    <w:multiLevelType w:val="hybridMultilevel"/>
    <w:tmpl w:val="BFC6898A"/>
    <w:lvl w:ilvl="0" w:tplc="F30EE224">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1393"/>
    <w:multiLevelType w:val="hybridMultilevel"/>
    <w:tmpl w:val="3234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C0705"/>
    <w:multiLevelType w:val="hybridMultilevel"/>
    <w:tmpl w:val="08C00360"/>
    <w:lvl w:ilvl="0" w:tplc="04408A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A0F32"/>
    <w:multiLevelType w:val="hybridMultilevel"/>
    <w:tmpl w:val="3110B5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A3AF5"/>
    <w:multiLevelType w:val="hybridMultilevel"/>
    <w:tmpl w:val="FEF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B426A"/>
    <w:multiLevelType w:val="hybridMultilevel"/>
    <w:tmpl w:val="473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77F85"/>
    <w:multiLevelType w:val="hybridMultilevel"/>
    <w:tmpl w:val="A78ACB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1244A"/>
    <w:multiLevelType w:val="hybridMultilevel"/>
    <w:tmpl w:val="D61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D4F7C"/>
    <w:multiLevelType w:val="hybridMultilevel"/>
    <w:tmpl w:val="24EA7236"/>
    <w:lvl w:ilvl="0" w:tplc="BAC6F2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A72E0"/>
    <w:multiLevelType w:val="hybridMultilevel"/>
    <w:tmpl w:val="15CED7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579FD"/>
    <w:multiLevelType w:val="singleLevel"/>
    <w:tmpl w:val="40EC2A0E"/>
    <w:lvl w:ilvl="0">
      <w:start w:val="1"/>
      <w:numFmt w:val="lowerLetter"/>
      <w:lvlText w:val="%1)"/>
      <w:lvlJc w:val="left"/>
      <w:pPr>
        <w:tabs>
          <w:tab w:val="num" w:pos="720"/>
        </w:tabs>
        <w:ind w:left="720" w:hanging="360"/>
      </w:pPr>
      <w:rPr>
        <w:rFonts w:hint="default"/>
      </w:rPr>
    </w:lvl>
  </w:abstractNum>
  <w:abstractNum w:abstractNumId="13" w15:restartNumberingAfterBreak="0">
    <w:nsid w:val="3CAC4F2C"/>
    <w:multiLevelType w:val="hybridMultilevel"/>
    <w:tmpl w:val="025E3D8A"/>
    <w:lvl w:ilvl="0" w:tplc="F30EE224">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F5D30"/>
    <w:multiLevelType w:val="singleLevel"/>
    <w:tmpl w:val="04090015"/>
    <w:lvl w:ilvl="0">
      <w:start w:val="1"/>
      <w:numFmt w:val="upperLetter"/>
      <w:lvlText w:val="%1."/>
      <w:lvlJc w:val="left"/>
      <w:pPr>
        <w:ind w:left="360" w:hanging="360"/>
      </w:pPr>
      <w:rPr>
        <w:rFonts w:hint="default"/>
      </w:rPr>
    </w:lvl>
  </w:abstractNum>
  <w:abstractNum w:abstractNumId="15" w15:restartNumberingAfterBreak="0">
    <w:nsid w:val="41B33CE8"/>
    <w:multiLevelType w:val="singleLevel"/>
    <w:tmpl w:val="04090015"/>
    <w:lvl w:ilvl="0">
      <w:start w:val="1"/>
      <w:numFmt w:val="upperLetter"/>
      <w:lvlText w:val="%1."/>
      <w:lvlJc w:val="left"/>
      <w:pPr>
        <w:ind w:left="720" w:hanging="360"/>
      </w:pPr>
      <w:rPr>
        <w:rFonts w:hint="default"/>
      </w:rPr>
    </w:lvl>
  </w:abstractNum>
  <w:abstractNum w:abstractNumId="16" w15:restartNumberingAfterBreak="0">
    <w:nsid w:val="42F32632"/>
    <w:multiLevelType w:val="hybridMultilevel"/>
    <w:tmpl w:val="F0CE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563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5494FA5"/>
    <w:multiLevelType w:val="hybridMultilevel"/>
    <w:tmpl w:val="8B00F4E8"/>
    <w:lvl w:ilvl="0" w:tplc="E8AA59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E38D3"/>
    <w:multiLevelType w:val="hybridMultilevel"/>
    <w:tmpl w:val="67127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F1FD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4D7372E9"/>
    <w:multiLevelType w:val="hybridMultilevel"/>
    <w:tmpl w:val="251276E6"/>
    <w:lvl w:ilvl="0" w:tplc="4538C7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B4583"/>
    <w:multiLevelType w:val="hybridMultilevel"/>
    <w:tmpl w:val="D3D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51E88"/>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66CB4BA8"/>
    <w:multiLevelType w:val="singleLevel"/>
    <w:tmpl w:val="7020E40A"/>
    <w:lvl w:ilvl="0">
      <w:start w:val="1"/>
      <w:numFmt w:val="decimal"/>
      <w:lvlText w:val="%1)"/>
      <w:lvlJc w:val="left"/>
      <w:pPr>
        <w:tabs>
          <w:tab w:val="num" w:pos="720"/>
        </w:tabs>
        <w:ind w:left="720" w:hanging="360"/>
      </w:pPr>
      <w:rPr>
        <w:rFonts w:hint="default"/>
        <w:sz w:val="20"/>
      </w:rPr>
    </w:lvl>
  </w:abstractNum>
  <w:abstractNum w:abstractNumId="25" w15:restartNumberingAfterBreak="0">
    <w:nsid w:val="6CA71E50"/>
    <w:multiLevelType w:val="hybridMultilevel"/>
    <w:tmpl w:val="4A60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5230B"/>
    <w:multiLevelType w:val="hybridMultilevel"/>
    <w:tmpl w:val="3C2CB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A67F0"/>
    <w:multiLevelType w:val="hybridMultilevel"/>
    <w:tmpl w:val="475E3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56C67"/>
    <w:multiLevelType w:val="hybridMultilevel"/>
    <w:tmpl w:val="15162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620441"/>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79C55B48"/>
    <w:multiLevelType w:val="hybridMultilevel"/>
    <w:tmpl w:val="5FAE0570"/>
    <w:lvl w:ilvl="0" w:tplc="DF0A05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20"/>
  </w:num>
  <w:num w:numId="4">
    <w:abstractNumId w:val="17"/>
  </w:num>
  <w:num w:numId="5">
    <w:abstractNumId w:val="23"/>
  </w:num>
  <w:num w:numId="6">
    <w:abstractNumId w:val="1"/>
  </w:num>
  <w:num w:numId="7">
    <w:abstractNumId w:val="12"/>
  </w:num>
  <w:num w:numId="8">
    <w:abstractNumId w:val="24"/>
  </w:num>
  <w:num w:numId="9">
    <w:abstractNumId w:val="29"/>
  </w:num>
  <w:num w:numId="10">
    <w:abstractNumId w:val="16"/>
  </w:num>
  <w:num w:numId="11">
    <w:abstractNumId w:val="11"/>
  </w:num>
  <w:num w:numId="12">
    <w:abstractNumId w:val="4"/>
  </w:num>
  <w:num w:numId="13">
    <w:abstractNumId w:val="6"/>
  </w:num>
  <w:num w:numId="14">
    <w:abstractNumId w:val="9"/>
  </w:num>
  <w:num w:numId="15">
    <w:abstractNumId w:val="18"/>
  </w:num>
  <w:num w:numId="16">
    <w:abstractNumId w:val="10"/>
  </w:num>
  <w:num w:numId="17">
    <w:abstractNumId w:val="30"/>
  </w:num>
  <w:num w:numId="18">
    <w:abstractNumId w:val="21"/>
  </w:num>
  <w:num w:numId="19">
    <w:abstractNumId w:val="28"/>
  </w:num>
  <w:num w:numId="20">
    <w:abstractNumId w:val="25"/>
  </w:num>
  <w:num w:numId="21">
    <w:abstractNumId w:val="27"/>
  </w:num>
  <w:num w:numId="22">
    <w:abstractNumId w:val="5"/>
  </w:num>
  <w:num w:numId="23">
    <w:abstractNumId w:val="2"/>
  </w:num>
  <w:num w:numId="24">
    <w:abstractNumId w:val="0"/>
  </w:num>
  <w:num w:numId="25">
    <w:abstractNumId w:val="13"/>
  </w:num>
  <w:num w:numId="26">
    <w:abstractNumId w:val="8"/>
  </w:num>
  <w:num w:numId="27">
    <w:abstractNumId w:val="3"/>
  </w:num>
  <w:num w:numId="28">
    <w:abstractNumId w:val="7"/>
  </w:num>
  <w:num w:numId="29">
    <w:abstractNumId w:val="2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0F"/>
    <w:rsid w:val="0000006E"/>
    <w:rsid w:val="00010F1E"/>
    <w:rsid w:val="00017612"/>
    <w:rsid w:val="0005798B"/>
    <w:rsid w:val="00075999"/>
    <w:rsid w:val="00080AA9"/>
    <w:rsid w:val="000D6158"/>
    <w:rsid w:val="000D7794"/>
    <w:rsid w:val="000F2604"/>
    <w:rsid w:val="000F5D90"/>
    <w:rsid w:val="001002CF"/>
    <w:rsid w:val="00110456"/>
    <w:rsid w:val="0011451F"/>
    <w:rsid w:val="00120CA7"/>
    <w:rsid w:val="00122FBB"/>
    <w:rsid w:val="00146A5E"/>
    <w:rsid w:val="001633F0"/>
    <w:rsid w:val="00164661"/>
    <w:rsid w:val="00177630"/>
    <w:rsid w:val="00186B98"/>
    <w:rsid w:val="00190116"/>
    <w:rsid w:val="00190CFD"/>
    <w:rsid w:val="001C30BD"/>
    <w:rsid w:val="001D4203"/>
    <w:rsid w:val="00206239"/>
    <w:rsid w:val="00211381"/>
    <w:rsid w:val="00223FC1"/>
    <w:rsid w:val="0022517C"/>
    <w:rsid w:val="00232404"/>
    <w:rsid w:val="00265E39"/>
    <w:rsid w:val="002957CF"/>
    <w:rsid w:val="002B5C57"/>
    <w:rsid w:val="002B7866"/>
    <w:rsid w:val="002D08A0"/>
    <w:rsid w:val="002E4FBA"/>
    <w:rsid w:val="002F4475"/>
    <w:rsid w:val="00312EEC"/>
    <w:rsid w:val="00330A47"/>
    <w:rsid w:val="00334205"/>
    <w:rsid w:val="00340A03"/>
    <w:rsid w:val="0036759C"/>
    <w:rsid w:val="003871D3"/>
    <w:rsid w:val="00390F1F"/>
    <w:rsid w:val="003A30AE"/>
    <w:rsid w:val="003C3004"/>
    <w:rsid w:val="003E494C"/>
    <w:rsid w:val="003F0D95"/>
    <w:rsid w:val="00405307"/>
    <w:rsid w:val="004152F9"/>
    <w:rsid w:val="00425465"/>
    <w:rsid w:val="00430EE4"/>
    <w:rsid w:val="00487F79"/>
    <w:rsid w:val="00493CC6"/>
    <w:rsid w:val="004A4EE0"/>
    <w:rsid w:val="004D0EBA"/>
    <w:rsid w:val="004E48D8"/>
    <w:rsid w:val="004F4612"/>
    <w:rsid w:val="00504EF8"/>
    <w:rsid w:val="005068CC"/>
    <w:rsid w:val="005210BB"/>
    <w:rsid w:val="00524F9B"/>
    <w:rsid w:val="00564938"/>
    <w:rsid w:val="00571851"/>
    <w:rsid w:val="00597C63"/>
    <w:rsid w:val="005B636C"/>
    <w:rsid w:val="005F4708"/>
    <w:rsid w:val="00600F85"/>
    <w:rsid w:val="0060686A"/>
    <w:rsid w:val="00607D69"/>
    <w:rsid w:val="006165AB"/>
    <w:rsid w:val="00621D92"/>
    <w:rsid w:val="00634D35"/>
    <w:rsid w:val="00663236"/>
    <w:rsid w:val="0066446D"/>
    <w:rsid w:val="00670820"/>
    <w:rsid w:val="00677904"/>
    <w:rsid w:val="006826FD"/>
    <w:rsid w:val="006A5063"/>
    <w:rsid w:val="006A66F0"/>
    <w:rsid w:val="006C20BF"/>
    <w:rsid w:val="006E2F94"/>
    <w:rsid w:val="006E713D"/>
    <w:rsid w:val="006F0C06"/>
    <w:rsid w:val="00714507"/>
    <w:rsid w:val="007267DD"/>
    <w:rsid w:val="00733C3A"/>
    <w:rsid w:val="0073610F"/>
    <w:rsid w:val="00746752"/>
    <w:rsid w:val="007555B4"/>
    <w:rsid w:val="00755CF8"/>
    <w:rsid w:val="00794E9A"/>
    <w:rsid w:val="00795BFE"/>
    <w:rsid w:val="007979D7"/>
    <w:rsid w:val="007B12BD"/>
    <w:rsid w:val="007C0F59"/>
    <w:rsid w:val="007C785D"/>
    <w:rsid w:val="007E4A96"/>
    <w:rsid w:val="008023EF"/>
    <w:rsid w:val="008047C1"/>
    <w:rsid w:val="008266ED"/>
    <w:rsid w:val="00831580"/>
    <w:rsid w:val="00842159"/>
    <w:rsid w:val="00850B6D"/>
    <w:rsid w:val="00874F41"/>
    <w:rsid w:val="008B48B5"/>
    <w:rsid w:val="008C38EE"/>
    <w:rsid w:val="008D0B1E"/>
    <w:rsid w:val="008F16F9"/>
    <w:rsid w:val="008F1E87"/>
    <w:rsid w:val="00911624"/>
    <w:rsid w:val="00915059"/>
    <w:rsid w:val="009345A0"/>
    <w:rsid w:val="00935075"/>
    <w:rsid w:val="00935331"/>
    <w:rsid w:val="00945941"/>
    <w:rsid w:val="009957D1"/>
    <w:rsid w:val="009B1540"/>
    <w:rsid w:val="009B2513"/>
    <w:rsid w:val="009B2816"/>
    <w:rsid w:val="009B2FDA"/>
    <w:rsid w:val="009C0A7C"/>
    <w:rsid w:val="009C5186"/>
    <w:rsid w:val="009D1CD7"/>
    <w:rsid w:val="009E094B"/>
    <w:rsid w:val="009E4635"/>
    <w:rsid w:val="009E7ED8"/>
    <w:rsid w:val="009F3247"/>
    <w:rsid w:val="00A003A7"/>
    <w:rsid w:val="00A109FF"/>
    <w:rsid w:val="00A37FEA"/>
    <w:rsid w:val="00A4524F"/>
    <w:rsid w:val="00A54A2A"/>
    <w:rsid w:val="00A54BD2"/>
    <w:rsid w:val="00A56A10"/>
    <w:rsid w:val="00A64409"/>
    <w:rsid w:val="00A84C94"/>
    <w:rsid w:val="00AA4018"/>
    <w:rsid w:val="00AB357D"/>
    <w:rsid w:val="00AD021A"/>
    <w:rsid w:val="00AD3C53"/>
    <w:rsid w:val="00AF0AF8"/>
    <w:rsid w:val="00AF5BBF"/>
    <w:rsid w:val="00B02A7A"/>
    <w:rsid w:val="00B04661"/>
    <w:rsid w:val="00B514AA"/>
    <w:rsid w:val="00B63DE6"/>
    <w:rsid w:val="00B671CB"/>
    <w:rsid w:val="00B820BC"/>
    <w:rsid w:val="00B91044"/>
    <w:rsid w:val="00B941E6"/>
    <w:rsid w:val="00BB513A"/>
    <w:rsid w:val="00BC0203"/>
    <w:rsid w:val="00BD567A"/>
    <w:rsid w:val="00BE1D0A"/>
    <w:rsid w:val="00BE4C7A"/>
    <w:rsid w:val="00BF0796"/>
    <w:rsid w:val="00C05149"/>
    <w:rsid w:val="00C15B21"/>
    <w:rsid w:val="00C31EC0"/>
    <w:rsid w:val="00C453BC"/>
    <w:rsid w:val="00C56112"/>
    <w:rsid w:val="00C62184"/>
    <w:rsid w:val="00C63D1D"/>
    <w:rsid w:val="00C765A1"/>
    <w:rsid w:val="00C81DE2"/>
    <w:rsid w:val="00C8642A"/>
    <w:rsid w:val="00CA6E6D"/>
    <w:rsid w:val="00CC2035"/>
    <w:rsid w:val="00CC70DF"/>
    <w:rsid w:val="00CD5C80"/>
    <w:rsid w:val="00D2230A"/>
    <w:rsid w:val="00D27355"/>
    <w:rsid w:val="00D508DE"/>
    <w:rsid w:val="00D526CE"/>
    <w:rsid w:val="00D54C7F"/>
    <w:rsid w:val="00D652D5"/>
    <w:rsid w:val="00D66195"/>
    <w:rsid w:val="00D76453"/>
    <w:rsid w:val="00D97AA9"/>
    <w:rsid w:val="00DB46F9"/>
    <w:rsid w:val="00DF666E"/>
    <w:rsid w:val="00E1199B"/>
    <w:rsid w:val="00E17200"/>
    <w:rsid w:val="00E34392"/>
    <w:rsid w:val="00E46057"/>
    <w:rsid w:val="00E46B9D"/>
    <w:rsid w:val="00E6001E"/>
    <w:rsid w:val="00E66037"/>
    <w:rsid w:val="00E73E95"/>
    <w:rsid w:val="00E94CE5"/>
    <w:rsid w:val="00E95A06"/>
    <w:rsid w:val="00E961B1"/>
    <w:rsid w:val="00EA38C4"/>
    <w:rsid w:val="00EA4BF7"/>
    <w:rsid w:val="00EA5343"/>
    <w:rsid w:val="00EB2E2E"/>
    <w:rsid w:val="00EB7B87"/>
    <w:rsid w:val="00EC2B58"/>
    <w:rsid w:val="00EF07CB"/>
    <w:rsid w:val="00F0618B"/>
    <w:rsid w:val="00F114B4"/>
    <w:rsid w:val="00F156BB"/>
    <w:rsid w:val="00F22939"/>
    <w:rsid w:val="00F2397D"/>
    <w:rsid w:val="00F667DF"/>
    <w:rsid w:val="00F731D2"/>
    <w:rsid w:val="00F80C84"/>
    <w:rsid w:val="00F84264"/>
    <w:rsid w:val="00FC3F28"/>
    <w:rsid w:val="00FE478B"/>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B87A46C"/>
  <w15:docId w15:val="{DB930EEC-BC1B-48D5-A670-C0846BF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rPr>
      <w:sz w:val="22"/>
    </w:rPr>
  </w:style>
  <w:style w:type="paragraph" w:styleId="BalloonText">
    <w:name w:val="Balloon Text"/>
    <w:basedOn w:val="Normal"/>
    <w:semiHidden/>
    <w:rsid w:val="00A003A7"/>
    <w:rPr>
      <w:rFonts w:ascii="Tahoma" w:hAnsi="Tahoma" w:cs="Tahoma"/>
      <w:sz w:val="16"/>
      <w:szCs w:val="16"/>
    </w:rPr>
  </w:style>
  <w:style w:type="paragraph" w:styleId="Header">
    <w:name w:val="header"/>
    <w:basedOn w:val="Normal"/>
    <w:rsid w:val="00F156BB"/>
    <w:pPr>
      <w:tabs>
        <w:tab w:val="center" w:pos="4320"/>
        <w:tab w:val="right" w:pos="8640"/>
      </w:tabs>
    </w:pPr>
  </w:style>
  <w:style w:type="paragraph" w:styleId="Footer">
    <w:name w:val="footer"/>
    <w:basedOn w:val="Normal"/>
    <w:rsid w:val="00F156BB"/>
    <w:pPr>
      <w:tabs>
        <w:tab w:val="center" w:pos="4320"/>
        <w:tab w:val="right" w:pos="8640"/>
      </w:tabs>
    </w:pPr>
  </w:style>
  <w:style w:type="character" w:styleId="CommentReference">
    <w:name w:val="annotation reference"/>
    <w:basedOn w:val="DefaultParagraphFont"/>
    <w:semiHidden/>
    <w:unhideWhenUsed/>
    <w:rsid w:val="00A56A10"/>
    <w:rPr>
      <w:sz w:val="16"/>
      <w:szCs w:val="16"/>
    </w:rPr>
  </w:style>
  <w:style w:type="paragraph" w:styleId="CommentText">
    <w:name w:val="annotation text"/>
    <w:basedOn w:val="Normal"/>
    <w:link w:val="CommentTextChar"/>
    <w:semiHidden/>
    <w:unhideWhenUsed/>
    <w:rsid w:val="00A56A10"/>
  </w:style>
  <w:style w:type="character" w:customStyle="1" w:styleId="CommentTextChar">
    <w:name w:val="Comment Text Char"/>
    <w:basedOn w:val="DefaultParagraphFont"/>
    <w:link w:val="CommentText"/>
    <w:semiHidden/>
    <w:rsid w:val="00A56A10"/>
  </w:style>
  <w:style w:type="paragraph" w:styleId="CommentSubject">
    <w:name w:val="annotation subject"/>
    <w:basedOn w:val="CommentText"/>
    <w:next w:val="CommentText"/>
    <w:link w:val="CommentSubjectChar"/>
    <w:semiHidden/>
    <w:unhideWhenUsed/>
    <w:rsid w:val="00A56A10"/>
    <w:rPr>
      <w:b/>
      <w:bCs/>
    </w:rPr>
  </w:style>
  <w:style w:type="character" w:customStyle="1" w:styleId="CommentSubjectChar">
    <w:name w:val="Comment Subject Char"/>
    <w:basedOn w:val="CommentTextChar"/>
    <w:link w:val="CommentSubject"/>
    <w:semiHidden/>
    <w:rsid w:val="00A56A10"/>
    <w:rPr>
      <w:b/>
      <w:bCs/>
    </w:rPr>
  </w:style>
  <w:style w:type="paragraph" w:styleId="ListParagraph">
    <w:name w:val="List Paragraph"/>
    <w:basedOn w:val="Normal"/>
    <w:uiPriority w:val="34"/>
    <w:qFormat/>
    <w:rsid w:val="00AF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FCD0-D758-4E87-873E-6DB3941D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Benefits Review</vt:lpstr>
    </vt:vector>
  </TitlesOfParts>
  <Company>Kentucky Municipal Energy Agency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Review</dc:title>
  <dc:subject/>
  <dc:creator>Doug Buresh</dc:creator>
  <cp:keywords/>
  <dc:description/>
  <cp:lastModifiedBy>Beth Buresh</cp:lastModifiedBy>
  <cp:revision>2</cp:revision>
  <cp:lastPrinted>2018-03-19T21:44:00Z</cp:lastPrinted>
  <dcterms:created xsi:type="dcterms:W3CDTF">2018-03-20T18:19:00Z</dcterms:created>
  <dcterms:modified xsi:type="dcterms:W3CDTF">2018-03-20T18:19:00Z</dcterms:modified>
</cp:coreProperties>
</file>