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BE6BC" w14:textId="77777777" w:rsidR="00CD5C80" w:rsidRDefault="00CD5C80">
      <w:pPr>
        <w:pStyle w:val="Title"/>
      </w:pPr>
      <w:bookmarkStart w:id="0" w:name="_GoBack"/>
      <w:bookmarkEnd w:id="0"/>
      <w:r>
        <w:t>Kentucky Municipal Energy Agency</w:t>
      </w:r>
    </w:p>
    <w:p w14:paraId="58A47817" w14:textId="168580FC" w:rsidR="00EA38C4" w:rsidRDefault="00CD5C80">
      <w:pPr>
        <w:pStyle w:val="Title"/>
      </w:pPr>
      <w:r>
        <w:t xml:space="preserve">Employee </w:t>
      </w:r>
      <w:r w:rsidR="00EA38C4">
        <w:t xml:space="preserve">Benefits </w:t>
      </w:r>
      <w:r>
        <w:t>Plan</w:t>
      </w:r>
    </w:p>
    <w:p w14:paraId="38A001A4" w14:textId="591E51E3" w:rsidR="00EA38C4" w:rsidRDefault="00BE1D0A">
      <w:pPr>
        <w:pStyle w:val="Title"/>
      </w:pPr>
      <w:r>
        <w:t>0</w:t>
      </w:r>
      <w:r w:rsidR="00CC2035">
        <w:t>4</w:t>
      </w:r>
      <w:r w:rsidR="008D0B1E">
        <w:t>/</w:t>
      </w:r>
      <w:r>
        <w:t>0</w:t>
      </w:r>
      <w:r w:rsidR="008D0B1E">
        <w:t>1/</w:t>
      </w:r>
      <w:r w:rsidR="00CD5C80">
        <w:t>20</w:t>
      </w:r>
      <w:r w:rsidR="008D0B1E">
        <w:t>18</w:t>
      </w:r>
    </w:p>
    <w:p w14:paraId="6D6BD102" w14:textId="11C0563D" w:rsidR="00EA38C4" w:rsidRDefault="00EA38C4">
      <w:pPr>
        <w:rPr>
          <w:b/>
          <w:sz w:val="22"/>
        </w:rPr>
      </w:pPr>
    </w:p>
    <w:p w14:paraId="1AB92AB1" w14:textId="77777777" w:rsidR="00F731D2" w:rsidRDefault="00F731D2">
      <w:pPr>
        <w:rPr>
          <w:b/>
          <w:sz w:val="22"/>
        </w:rPr>
      </w:pPr>
    </w:p>
    <w:p w14:paraId="5C3E3129" w14:textId="77777777" w:rsidR="00EA38C4" w:rsidRDefault="00EA38C4">
      <w:pPr>
        <w:rPr>
          <w:b/>
          <w:sz w:val="22"/>
        </w:rPr>
      </w:pPr>
    </w:p>
    <w:p w14:paraId="58F0E06A" w14:textId="77777777" w:rsidR="000F5D90" w:rsidRPr="000F5D90" w:rsidRDefault="00EA38C4" w:rsidP="000F5D90">
      <w:pPr>
        <w:pStyle w:val="Heading1"/>
      </w:pPr>
      <w:r>
        <w:t>Health Insurance Overview</w:t>
      </w:r>
    </w:p>
    <w:p w14:paraId="4C6D8862" w14:textId="77777777" w:rsidR="009B2513" w:rsidRPr="009B2513" w:rsidRDefault="009B2513" w:rsidP="009B2513">
      <w:pPr>
        <w:rPr>
          <w:sz w:val="22"/>
        </w:rPr>
      </w:pPr>
      <w:r w:rsidRPr="009B2513">
        <w:rPr>
          <w:sz w:val="22"/>
        </w:rPr>
        <w:t>Plan – Anthem Blue Access PPO Plan 500/20%/6000 (Contract Code 2T89)</w:t>
      </w:r>
    </w:p>
    <w:p w14:paraId="2BDE1947" w14:textId="4D2D9324" w:rsidR="00EA38C4" w:rsidRDefault="00EA38C4" w:rsidP="009B2513">
      <w:pPr>
        <w:numPr>
          <w:ilvl w:val="0"/>
          <w:numId w:val="1"/>
        </w:numPr>
        <w:ind w:left="720"/>
        <w:rPr>
          <w:sz w:val="22"/>
        </w:rPr>
      </w:pPr>
      <w:r>
        <w:rPr>
          <w:sz w:val="22"/>
        </w:rPr>
        <w:t xml:space="preserve">Single Health Insurance – Available on the </w:t>
      </w:r>
      <w:r w:rsidRPr="002B5C57">
        <w:rPr>
          <w:sz w:val="22"/>
        </w:rPr>
        <w:t>first day of the month</w:t>
      </w:r>
      <w:r>
        <w:rPr>
          <w:sz w:val="22"/>
        </w:rPr>
        <w:t xml:space="preserve"> following employees</w:t>
      </w:r>
      <w:r w:rsidR="000F5D90">
        <w:rPr>
          <w:sz w:val="22"/>
        </w:rPr>
        <w:t>’</w:t>
      </w:r>
      <w:r>
        <w:rPr>
          <w:sz w:val="22"/>
        </w:rPr>
        <w:t xml:space="preserve"> hire date for full time employees.</w:t>
      </w:r>
    </w:p>
    <w:p w14:paraId="6872AAEF" w14:textId="048EC9EA" w:rsidR="00CD5C80" w:rsidRDefault="00CD5C80" w:rsidP="009B2513">
      <w:pPr>
        <w:numPr>
          <w:ilvl w:val="0"/>
          <w:numId w:val="10"/>
        </w:numPr>
        <w:ind w:left="1080"/>
        <w:rPr>
          <w:sz w:val="22"/>
        </w:rPr>
      </w:pPr>
      <w:r>
        <w:rPr>
          <w:sz w:val="22"/>
        </w:rPr>
        <w:t xml:space="preserve">KyMEA </w:t>
      </w:r>
      <w:r w:rsidR="000D6158">
        <w:rPr>
          <w:sz w:val="22"/>
        </w:rPr>
        <w:t xml:space="preserve">Employee Premium </w:t>
      </w:r>
      <w:r>
        <w:rPr>
          <w:sz w:val="22"/>
        </w:rPr>
        <w:t xml:space="preserve">Contribution – </w:t>
      </w:r>
      <w:r w:rsidR="00F0618B">
        <w:rPr>
          <w:sz w:val="22"/>
        </w:rPr>
        <w:t>99</w:t>
      </w:r>
      <w:r>
        <w:rPr>
          <w:sz w:val="22"/>
        </w:rPr>
        <w:t>%</w:t>
      </w:r>
      <w:r w:rsidR="009B1540">
        <w:rPr>
          <w:sz w:val="22"/>
        </w:rPr>
        <w:t xml:space="preserve"> </w:t>
      </w:r>
      <w:r w:rsidR="007267DD">
        <w:rPr>
          <w:sz w:val="22"/>
        </w:rPr>
        <w:t xml:space="preserve">contribution </w:t>
      </w:r>
      <w:r w:rsidR="009B1540">
        <w:rPr>
          <w:sz w:val="22"/>
        </w:rPr>
        <w:t>p</w:t>
      </w:r>
      <w:r w:rsidR="00F0618B">
        <w:rPr>
          <w:sz w:val="22"/>
        </w:rPr>
        <w:t xml:space="preserve">lus </w:t>
      </w:r>
      <w:r w:rsidR="003871D3">
        <w:rPr>
          <w:sz w:val="22"/>
        </w:rPr>
        <w:t>1% of the Single Health Insurance premium</w:t>
      </w:r>
      <w:r w:rsidR="007C785D">
        <w:rPr>
          <w:sz w:val="22"/>
        </w:rPr>
        <w:t xml:space="preserve"> </w:t>
      </w:r>
      <w:r w:rsidR="007267DD">
        <w:rPr>
          <w:sz w:val="22"/>
        </w:rPr>
        <w:t xml:space="preserve">grossed up for taxes (25%) </w:t>
      </w:r>
      <w:r w:rsidR="007C785D">
        <w:rPr>
          <w:sz w:val="22"/>
        </w:rPr>
        <w:t xml:space="preserve">to be </w:t>
      </w:r>
      <w:r w:rsidR="007267DD">
        <w:rPr>
          <w:sz w:val="22"/>
        </w:rPr>
        <w:t>applied towards a gift card for employee medical expenses.</w:t>
      </w:r>
    </w:p>
    <w:p w14:paraId="027C794F" w14:textId="34049BF2" w:rsidR="00EA38C4" w:rsidRDefault="00EA38C4" w:rsidP="009B2513">
      <w:pPr>
        <w:numPr>
          <w:ilvl w:val="0"/>
          <w:numId w:val="1"/>
        </w:numPr>
        <w:ind w:left="720"/>
        <w:rPr>
          <w:sz w:val="22"/>
        </w:rPr>
      </w:pPr>
      <w:r>
        <w:rPr>
          <w:sz w:val="22"/>
        </w:rPr>
        <w:t xml:space="preserve">Family Health Insurance – Available on the </w:t>
      </w:r>
      <w:r w:rsidRPr="002B5C57">
        <w:rPr>
          <w:sz w:val="22"/>
        </w:rPr>
        <w:t>first day of the month</w:t>
      </w:r>
      <w:r>
        <w:rPr>
          <w:sz w:val="22"/>
        </w:rPr>
        <w:t xml:space="preserve"> following </w:t>
      </w:r>
      <w:r w:rsidRPr="003E494C">
        <w:rPr>
          <w:sz w:val="22"/>
        </w:rPr>
        <w:t>employees</w:t>
      </w:r>
      <w:r w:rsidR="000F5D90" w:rsidRPr="003E494C">
        <w:rPr>
          <w:sz w:val="22"/>
        </w:rPr>
        <w:t>’</w:t>
      </w:r>
      <w:r w:rsidRPr="003E494C">
        <w:rPr>
          <w:sz w:val="22"/>
        </w:rPr>
        <w:t xml:space="preserve"> hire date for full time employees.  Available for </w:t>
      </w:r>
      <w:r w:rsidRPr="002B5C57">
        <w:rPr>
          <w:sz w:val="22"/>
        </w:rPr>
        <w:t xml:space="preserve">dependents </w:t>
      </w:r>
      <w:r w:rsidR="00E95A06">
        <w:rPr>
          <w:sz w:val="22"/>
        </w:rPr>
        <w:t xml:space="preserve">through </w:t>
      </w:r>
      <w:r w:rsidR="00146A5E">
        <w:rPr>
          <w:sz w:val="22"/>
        </w:rPr>
        <w:t>the end of the calendar month in which the 26</w:t>
      </w:r>
      <w:r w:rsidR="00146A5E" w:rsidRPr="00146A5E">
        <w:rPr>
          <w:sz w:val="22"/>
          <w:vertAlign w:val="superscript"/>
        </w:rPr>
        <w:t>th</w:t>
      </w:r>
      <w:r w:rsidR="00146A5E">
        <w:rPr>
          <w:sz w:val="22"/>
        </w:rPr>
        <w:t xml:space="preserve"> birthday occurs.</w:t>
      </w:r>
    </w:p>
    <w:p w14:paraId="2FDF755F" w14:textId="16C8EC36" w:rsidR="000D6158" w:rsidRDefault="000D6158" w:rsidP="006A66F0">
      <w:pPr>
        <w:numPr>
          <w:ilvl w:val="0"/>
          <w:numId w:val="24"/>
        </w:numPr>
        <w:rPr>
          <w:sz w:val="22"/>
        </w:rPr>
      </w:pPr>
      <w:r>
        <w:rPr>
          <w:sz w:val="22"/>
        </w:rPr>
        <w:t>K</w:t>
      </w:r>
      <w:r w:rsidR="00E34392">
        <w:rPr>
          <w:sz w:val="22"/>
        </w:rPr>
        <w:t>y</w:t>
      </w:r>
      <w:r>
        <w:rPr>
          <w:sz w:val="22"/>
        </w:rPr>
        <w:t>MEA Additional Family Premium Contribution – 75%</w:t>
      </w:r>
    </w:p>
    <w:p w14:paraId="18AFB49D" w14:textId="21747C8C" w:rsidR="00A84C94" w:rsidRDefault="006A66F0" w:rsidP="006A66F0">
      <w:pPr>
        <w:numPr>
          <w:ilvl w:val="0"/>
          <w:numId w:val="23"/>
        </w:numPr>
        <w:rPr>
          <w:sz w:val="22"/>
        </w:rPr>
      </w:pPr>
      <w:r>
        <w:rPr>
          <w:sz w:val="22"/>
        </w:rPr>
        <w:t xml:space="preserve">Health Insurance Waiver – Employees and their family are permitted to waive health insurance coverage so long as the waiving of coverage does not </w:t>
      </w:r>
      <w:r w:rsidR="00677904">
        <w:rPr>
          <w:sz w:val="22"/>
        </w:rPr>
        <w:t xml:space="preserve">prohibit </w:t>
      </w:r>
      <w:r w:rsidR="008C38EE">
        <w:rPr>
          <w:sz w:val="22"/>
        </w:rPr>
        <w:t xml:space="preserve">KyMEA’s </w:t>
      </w:r>
      <w:r>
        <w:rPr>
          <w:sz w:val="22"/>
        </w:rPr>
        <w:t xml:space="preserve">ability to offer group </w:t>
      </w:r>
      <w:r w:rsidR="0066446D">
        <w:rPr>
          <w:sz w:val="22"/>
        </w:rPr>
        <w:t xml:space="preserve">health insurance </w:t>
      </w:r>
      <w:r>
        <w:rPr>
          <w:sz w:val="22"/>
        </w:rPr>
        <w:t>coverage</w:t>
      </w:r>
      <w:r w:rsidR="00634D35">
        <w:rPr>
          <w:sz w:val="22"/>
        </w:rPr>
        <w:t xml:space="preserve"> due to a lack of participants</w:t>
      </w:r>
      <w:r>
        <w:rPr>
          <w:sz w:val="22"/>
        </w:rPr>
        <w:t>.</w:t>
      </w:r>
    </w:p>
    <w:p w14:paraId="1583FC7E" w14:textId="54383124" w:rsidR="006A66F0" w:rsidRDefault="006A66F0" w:rsidP="006A66F0">
      <w:pPr>
        <w:numPr>
          <w:ilvl w:val="0"/>
          <w:numId w:val="26"/>
        </w:numPr>
        <w:rPr>
          <w:sz w:val="22"/>
        </w:rPr>
      </w:pPr>
      <w:r>
        <w:rPr>
          <w:sz w:val="22"/>
        </w:rPr>
        <w:t xml:space="preserve">Employee is required to sign </w:t>
      </w:r>
      <w:r w:rsidR="0011451F">
        <w:rPr>
          <w:sz w:val="22"/>
        </w:rPr>
        <w:t xml:space="preserve">a </w:t>
      </w:r>
      <w:r>
        <w:rPr>
          <w:sz w:val="22"/>
        </w:rPr>
        <w:t xml:space="preserve">waiver </w:t>
      </w:r>
      <w:r w:rsidR="0066446D">
        <w:rPr>
          <w:sz w:val="22"/>
        </w:rPr>
        <w:t>declining</w:t>
      </w:r>
      <w:r>
        <w:rPr>
          <w:sz w:val="22"/>
        </w:rPr>
        <w:t xml:space="preserve"> coverage and offer proof </w:t>
      </w:r>
      <w:r w:rsidR="00D76453">
        <w:rPr>
          <w:sz w:val="22"/>
        </w:rPr>
        <w:t>of comparable coverage elsewhere.</w:t>
      </w:r>
    </w:p>
    <w:p w14:paraId="0AC214EA" w14:textId="1476F6BB" w:rsidR="005F4708" w:rsidRDefault="007C785D" w:rsidP="006A66F0">
      <w:pPr>
        <w:numPr>
          <w:ilvl w:val="0"/>
          <w:numId w:val="26"/>
        </w:numPr>
        <w:rPr>
          <w:sz w:val="22"/>
        </w:rPr>
      </w:pPr>
      <w:r>
        <w:rPr>
          <w:sz w:val="22"/>
        </w:rPr>
        <w:t xml:space="preserve">For any employee or eligible family member, </w:t>
      </w:r>
      <w:r w:rsidR="005F4708">
        <w:rPr>
          <w:sz w:val="22"/>
        </w:rPr>
        <w:t>KyMEA</w:t>
      </w:r>
      <w:r>
        <w:rPr>
          <w:sz w:val="22"/>
        </w:rPr>
        <w:t xml:space="preserve"> will share the </w:t>
      </w:r>
      <w:r w:rsidR="00677904">
        <w:rPr>
          <w:sz w:val="22"/>
        </w:rPr>
        <w:t xml:space="preserve">premium savings </w:t>
      </w:r>
      <w:r>
        <w:rPr>
          <w:sz w:val="22"/>
        </w:rPr>
        <w:t xml:space="preserve">it will realize </w:t>
      </w:r>
      <w:r w:rsidR="00677904">
        <w:rPr>
          <w:sz w:val="22"/>
        </w:rPr>
        <w:t xml:space="preserve">50/50 </w:t>
      </w:r>
      <w:r>
        <w:rPr>
          <w:sz w:val="22"/>
        </w:rPr>
        <w:t>as straight compensation at the end of each month</w:t>
      </w:r>
      <w:r w:rsidR="00677904">
        <w:rPr>
          <w:sz w:val="22"/>
        </w:rPr>
        <w:t>,</w:t>
      </w:r>
      <w:r>
        <w:rPr>
          <w:sz w:val="22"/>
        </w:rPr>
        <w:t xml:space="preserve"> payable </w:t>
      </w:r>
      <w:r w:rsidR="00677904">
        <w:rPr>
          <w:sz w:val="22"/>
        </w:rPr>
        <w:t xml:space="preserve">during </w:t>
      </w:r>
      <w:r>
        <w:rPr>
          <w:sz w:val="22"/>
        </w:rPr>
        <w:t>the next available pay period.</w:t>
      </w:r>
      <w:r w:rsidR="005F4708">
        <w:rPr>
          <w:sz w:val="22"/>
        </w:rPr>
        <w:t xml:space="preserve"> </w:t>
      </w:r>
    </w:p>
    <w:p w14:paraId="7C468E3B" w14:textId="33C1A5FC" w:rsidR="00EA38C4" w:rsidRDefault="00EA38C4">
      <w:pPr>
        <w:rPr>
          <w:sz w:val="22"/>
        </w:rPr>
      </w:pPr>
    </w:p>
    <w:p w14:paraId="27099462" w14:textId="77777777" w:rsidR="000D7794" w:rsidRDefault="000D7794">
      <w:pPr>
        <w:rPr>
          <w:sz w:val="22"/>
        </w:rPr>
      </w:pPr>
    </w:p>
    <w:p w14:paraId="39CB7907" w14:textId="77777777" w:rsidR="00EA38C4" w:rsidRDefault="00EA38C4">
      <w:pPr>
        <w:pStyle w:val="Heading1"/>
        <w:rPr>
          <w:sz w:val="22"/>
        </w:rPr>
      </w:pPr>
      <w:r>
        <w:t>Dental Insurance Overview</w:t>
      </w:r>
    </w:p>
    <w:p w14:paraId="058F1715" w14:textId="77777777" w:rsidR="009B2513" w:rsidRPr="009B2513" w:rsidRDefault="009B2513" w:rsidP="009B2513">
      <w:pPr>
        <w:rPr>
          <w:sz w:val="22"/>
        </w:rPr>
      </w:pPr>
      <w:r w:rsidRPr="009B2513">
        <w:rPr>
          <w:sz w:val="22"/>
        </w:rPr>
        <w:t>Plan – Anthem Dental Family (Contract Code 25JE)</w:t>
      </w:r>
    </w:p>
    <w:p w14:paraId="0D0F91E7" w14:textId="3E8158E7" w:rsidR="000D6158" w:rsidRDefault="00EA38C4" w:rsidP="009B2513">
      <w:pPr>
        <w:numPr>
          <w:ilvl w:val="0"/>
          <w:numId w:val="2"/>
        </w:numPr>
        <w:rPr>
          <w:sz w:val="22"/>
        </w:rPr>
      </w:pPr>
      <w:r w:rsidRPr="000D6158">
        <w:rPr>
          <w:sz w:val="22"/>
        </w:rPr>
        <w:t xml:space="preserve">Single Dental Insurance – </w:t>
      </w:r>
      <w:r w:rsidR="00A56A10" w:rsidRPr="000D6158">
        <w:rPr>
          <w:sz w:val="22"/>
        </w:rPr>
        <w:t>Available on the first day of the month following employees’ hire date for full time employees.</w:t>
      </w:r>
    </w:p>
    <w:p w14:paraId="033C60B3" w14:textId="5D4613B8" w:rsidR="003F0D95" w:rsidRPr="001D4203" w:rsidRDefault="003F0D95" w:rsidP="009B2513">
      <w:pPr>
        <w:numPr>
          <w:ilvl w:val="0"/>
          <w:numId w:val="13"/>
        </w:numPr>
        <w:ind w:left="1080"/>
        <w:rPr>
          <w:sz w:val="22"/>
        </w:rPr>
      </w:pPr>
      <w:r>
        <w:rPr>
          <w:sz w:val="22"/>
        </w:rPr>
        <w:t xml:space="preserve">KyMEA Employee </w:t>
      </w:r>
      <w:r w:rsidRPr="001D4203">
        <w:rPr>
          <w:sz w:val="22"/>
        </w:rPr>
        <w:t>Premium Contribution – 100%</w:t>
      </w:r>
      <w:r w:rsidR="00E34392">
        <w:rPr>
          <w:sz w:val="22"/>
        </w:rPr>
        <w:t>.</w:t>
      </w:r>
    </w:p>
    <w:p w14:paraId="5F5D5088" w14:textId="5AC5944F" w:rsidR="00EA38C4" w:rsidRPr="001D4203" w:rsidRDefault="00EA38C4" w:rsidP="009B2513">
      <w:pPr>
        <w:numPr>
          <w:ilvl w:val="0"/>
          <w:numId w:val="2"/>
        </w:numPr>
        <w:rPr>
          <w:sz w:val="22"/>
        </w:rPr>
      </w:pPr>
      <w:r w:rsidRPr="001D4203">
        <w:rPr>
          <w:sz w:val="22"/>
        </w:rPr>
        <w:t xml:space="preserve">Family Dental Insurance – </w:t>
      </w:r>
      <w:r w:rsidR="00A56A10" w:rsidRPr="001D4203">
        <w:rPr>
          <w:sz w:val="22"/>
        </w:rPr>
        <w:t xml:space="preserve">Available on the first day of the month following employees’ hire date for full time employees. </w:t>
      </w:r>
      <w:r w:rsidR="00795BFE" w:rsidRPr="001D4203">
        <w:rPr>
          <w:sz w:val="22"/>
        </w:rPr>
        <w:t xml:space="preserve"> Available for dependents through the end of the calendar month in which the 26</w:t>
      </w:r>
      <w:r w:rsidR="00795BFE" w:rsidRPr="001D4203">
        <w:rPr>
          <w:sz w:val="22"/>
          <w:vertAlign w:val="superscript"/>
        </w:rPr>
        <w:t>th</w:t>
      </w:r>
      <w:r w:rsidR="00795BFE" w:rsidRPr="001D4203">
        <w:rPr>
          <w:sz w:val="22"/>
        </w:rPr>
        <w:t xml:space="preserve"> birthday occurs.</w:t>
      </w:r>
    </w:p>
    <w:p w14:paraId="6356F2F8" w14:textId="66802631" w:rsidR="003F0D95" w:rsidRPr="001D4203" w:rsidRDefault="003F0D95" w:rsidP="009B2513">
      <w:pPr>
        <w:numPr>
          <w:ilvl w:val="0"/>
          <w:numId w:val="14"/>
        </w:numPr>
        <w:ind w:left="1080"/>
        <w:rPr>
          <w:sz w:val="22"/>
        </w:rPr>
      </w:pPr>
      <w:r w:rsidRPr="001D4203">
        <w:rPr>
          <w:sz w:val="22"/>
        </w:rPr>
        <w:t>K</w:t>
      </w:r>
      <w:r w:rsidR="008C38EE">
        <w:rPr>
          <w:sz w:val="22"/>
        </w:rPr>
        <w:t>y</w:t>
      </w:r>
      <w:r w:rsidRPr="001D4203">
        <w:rPr>
          <w:sz w:val="22"/>
        </w:rPr>
        <w:t>MEA Additional Family Premium Contribution – 75%</w:t>
      </w:r>
      <w:r w:rsidR="00E34392">
        <w:rPr>
          <w:sz w:val="22"/>
        </w:rPr>
        <w:t>.</w:t>
      </w:r>
    </w:p>
    <w:p w14:paraId="04A2C588" w14:textId="358E334B" w:rsidR="00BE1D0A" w:rsidRPr="001D4203" w:rsidRDefault="00BE1D0A" w:rsidP="00BE1D0A">
      <w:pPr>
        <w:rPr>
          <w:sz w:val="22"/>
        </w:rPr>
      </w:pPr>
    </w:p>
    <w:p w14:paraId="2B5286DC" w14:textId="77777777" w:rsidR="000D7794" w:rsidRPr="001D4203" w:rsidRDefault="000D7794" w:rsidP="00BE1D0A">
      <w:pPr>
        <w:rPr>
          <w:sz w:val="22"/>
        </w:rPr>
      </w:pPr>
    </w:p>
    <w:p w14:paraId="06472C27" w14:textId="7AD7A560" w:rsidR="005B636C" w:rsidRPr="001D4203" w:rsidRDefault="005B636C" w:rsidP="005B636C">
      <w:pPr>
        <w:pStyle w:val="Heading1"/>
        <w:rPr>
          <w:sz w:val="22"/>
        </w:rPr>
      </w:pPr>
      <w:r w:rsidRPr="001D4203">
        <w:t>Vision Insurance Overview</w:t>
      </w:r>
    </w:p>
    <w:p w14:paraId="19687D16" w14:textId="77777777" w:rsidR="009B2513" w:rsidRPr="001D4203" w:rsidRDefault="009B2513" w:rsidP="009B2513">
      <w:pPr>
        <w:rPr>
          <w:sz w:val="22"/>
        </w:rPr>
      </w:pPr>
      <w:r w:rsidRPr="001D4203">
        <w:rPr>
          <w:sz w:val="22"/>
        </w:rPr>
        <w:t>Plan – Anthem Vision Family (Contract Code 0RKV)</w:t>
      </w:r>
    </w:p>
    <w:p w14:paraId="73757535" w14:textId="192A2F8E" w:rsidR="005B636C" w:rsidRPr="001D4203" w:rsidRDefault="005B636C" w:rsidP="009B2513">
      <w:pPr>
        <w:numPr>
          <w:ilvl w:val="0"/>
          <w:numId w:val="15"/>
        </w:numPr>
        <w:tabs>
          <w:tab w:val="clear" w:pos="360"/>
          <w:tab w:val="num" w:pos="720"/>
        </w:tabs>
        <w:ind w:left="720"/>
        <w:rPr>
          <w:sz w:val="22"/>
        </w:rPr>
      </w:pPr>
      <w:r w:rsidRPr="001D4203">
        <w:rPr>
          <w:sz w:val="22"/>
        </w:rPr>
        <w:t xml:space="preserve">Single </w:t>
      </w:r>
      <w:r w:rsidR="00F84264" w:rsidRPr="001D4203">
        <w:rPr>
          <w:sz w:val="22"/>
        </w:rPr>
        <w:t xml:space="preserve">Vision </w:t>
      </w:r>
      <w:r w:rsidRPr="001D4203">
        <w:rPr>
          <w:sz w:val="22"/>
        </w:rPr>
        <w:t>Insurance – Available on the first day of the month following employees’ hire date for full time employees.</w:t>
      </w:r>
    </w:p>
    <w:p w14:paraId="7C1E766D" w14:textId="501F9411" w:rsidR="005B636C" w:rsidRPr="001D4203" w:rsidRDefault="005B636C" w:rsidP="009B2513">
      <w:pPr>
        <w:numPr>
          <w:ilvl w:val="0"/>
          <w:numId w:val="13"/>
        </w:numPr>
        <w:ind w:left="1080"/>
        <w:rPr>
          <w:sz w:val="22"/>
        </w:rPr>
      </w:pPr>
      <w:r w:rsidRPr="001D4203">
        <w:rPr>
          <w:sz w:val="22"/>
        </w:rPr>
        <w:t>KyMEA Employee Premium Contribution – 100%</w:t>
      </w:r>
      <w:r w:rsidR="00E34392">
        <w:rPr>
          <w:sz w:val="22"/>
        </w:rPr>
        <w:t>.</w:t>
      </w:r>
    </w:p>
    <w:p w14:paraId="37B21D53" w14:textId="001C0AF4" w:rsidR="005B636C" w:rsidRPr="001D4203" w:rsidRDefault="005B636C" w:rsidP="009B2513">
      <w:pPr>
        <w:numPr>
          <w:ilvl w:val="0"/>
          <w:numId w:val="15"/>
        </w:numPr>
        <w:tabs>
          <w:tab w:val="clear" w:pos="360"/>
          <w:tab w:val="num" w:pos="720"/>
        </w:tabs>
        <w:ind w:left="720"/>
        <w:rPr>
          <w:sz w:val="22"/>
        </w:rPr>
      </w:pPr>
      <w:r w:rsidRPr="001D4203">
        <w:rPr>
          <w:sz w:val="22"/>
        </w:rPr>
        <w:t xml:space="preserve">Family </w:t>
      </w:r>
      <w:r w:rsidR="00F84264" w:rsidRPr="001D4203">
        <w:rPr>
          <w:sz w:val="22"/>
        </w:rPr>
        <w:t>Vision</w:t>
      </w:r>
      <w:r w:rsidRPr="001D4203">
        <w:rPr>
          <w:sz w:val="22"/>
        </w:rPr>
        <w:t xml:space="preserve"> Insurance – Available on the first day of the month following employees’ hire date for full time employees. </w:t>
      </w:r>
      <w:r w:rsidR="00795BFE" w:rsidRPr="001D4203">
        <w:rPr>
          <w:sz w:val="22"/>
        </w:rPr>
        <w:t xml:space="preserve"> Available for dependents through the end of the calendar month in which the 26</w:t>
      </w:r>
      <w:r w:rsidR="00795BFE" w:rsidRPr="001D4203">
        <w:rPr>
          <w:sz w:val="22"/>
          <w:vertAlign w:val="superscript"/>
        </w:rPr>
        <w:t>th</w:t>
      </w:r>
      <w:r w:rsidR="00795BFE" w:rsidRPr="001D4203">
        <w:rPr>
          <w:sz w:val="22"/>
        </w:rPr>
        <w:t xml:space="preserve"> birthday occurs.</w:t>
      </w:r>
    </w:p>
    <w:p w14:paraId="471BB804" w14:textId="682AE1A6" w:rsidR="005B636C" w:rsidRPr="001D4203" w:rsidRDefault="005B636C" w:rsidP="009B2513">
      <w:pPr>
        <w:numPr>
          <w:ilvl w:val="0"/>
          <w:numId w:val="14"/>
        </w:numPr>
        <w:ind w:left="1080"/>
        <w:rPr>
          <w:sz w:val="22"/>
        </w:rPr>
      </w:pPr>
      <w:r w:rsidRPr="001D4203">
        <w:rPr>
          <w:sz w:val="22"/>
        </w:rPr>
        <w:t>K</w:t>
      </w:r>
      <w:r w:rsidR="00E34392">
        <w:rPr>
          <w:sz w:val="22"/>
        </w:rPr>
        <w:t>y</w:t>
      </w:r>
      <w:r w:rsidRPr="001D4203">
        <w:rPr>
          <w:sz w:val="22"/>
        </w:rPr>
        <w:t>MEA Additional Family Premium Contribution – 75%</w:t>
      </w:r>
      <w:r w:rsidR="00E34392">
        <w:rPr>
          <w:sz w:val="22"/>
        </w:rPr>
        <w:t>.</w:t>
      </w:r>
    </w:p>
    <w:p w14:paraId="7246559E" w14:textId="77777777" w:rsidR="00677904" w:rsidRDefault="00677904">
      <w:pPr>
        <w:rPr>
          <w:b/>
          <w:i/>
        </w:rPr>
      </w:pPr>
      <w:r>
        <w:br w:type="page"/>
      </w:r>
    </w:p>
    <w:p w14:paraId="22D7029B" w14:textId="32E40FFE" w:rsidR="00E961B1" w:rsidRDefault="00AF0AF8" w:rsidP="00E961B1">
      <w:pPr>
        <w:pStyle w:val="Heading1"/>
      </w:pPr>
      <w:r>
        <w:lastRenderedPageBreak/>
        <w:t xml:space="preserve">Basic </w:t>
      </w:r>
      <w:r w:rsidR="00E961B1">
        <w:t>Group Life Insurance</w:t>
      </w:r>
    </w:p>
    <w:p w14:paraId="4063F57B" w14:textId="32830A32" w:rsidR="009B2513" w:rsidRPr="009B2513" w:rsidRDefault="009B2513" w:rsidP="009B2513">
      <w:pPr>
        <w:rPr>
          <w:sz w:val="22"/>
        </w:rPr>
      </w:pPr>
      <w:r w:rsidRPr="009B2513">
        <w:rPr>
          <w:sz w:val="22"/>
        </w:rPr>
        <w:t>Plan – Anthem Basic Life &amp; AD&amp;D</w:t>
      </w:r>
      <w:r w:rsidR="00E34392">
        <w:rPr>
          <w:sz w:val="22"/>
        </w:rPr>
        <w:t>.</w:t>
      </w:r>
    </w:p>
    <w:p w14:paraId="33D416C6" w14:textId="7868D662" w:rsidR="00AF0AF8" w:rsidRDefault="00AF0AF8" w:rsidP="009B2513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>Single Basic Life &amp; AD&amp;D</w:t>
      </w:r>
      <w:r w:rsidRPr="000D6158">
        <w:rPr>
          <w:sz w:val="22"/>
        </w:rPr>
        <w:t xml:space="preserve"> – Available on the first day of the month following employees’ hire date for full time employees.</w:t>
      </w:r>
    </w:p>
    <w:p w14:paraId="68F56470" w14:textId="51728C73" w:rsidR="00AF0AF8" w:rsidRDefault="00AF0AF8" w:rsidP="009B2513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>Coverage Level - $30,000</w:t>
      </w:r>
      <w:r w:rsidR="00E34392">
        <w:rPr>
          <w:sz w:val="22"/>
        </w:rPr>
        <w:t>.</w:t>
      </w:r>
    </w:p>
    <w:p w14:paraId="2D8BBF50" w14:textId="7038E33D" w:rsidR="00E961B1" w:rsidRDefault="00AF0AF8" w:rsidP="009B2513">
      <w:pPr>
        <w:pStyle w:val="ListParagraph"/>
        <w:numPr>
          <w:ilvl w:val="0"/>
          <w:numId w:val="14"/>
        </w:numPr>
        <w:ind w:left="1080"/>
        <w:rPr>
          <w:sz w:val="22"/>
        </w:rPr>
      </w:pPr>
      <w:r w:rsidRPr="00AF0AF8">
        <w:rPr>
          <w:sz w:val="22"/>
        </w:rPr>
        <w:t>KyMEA Employee Premium Contribution – 100%</w:t>
      </w:r>
      <w:r w:rsidR="00E34392">
        <w:rPr>
          <w:sz w:val="22"/>
        </w:rPr>
        <w:t>.</w:t>
      </w:r>
    </w:p>
    <w:p w14:paraId="52B222A2" w14:textId="69E91D73" w:rsidR="009E4635" w:rsidRPr="007267DD" w:rsidRDefault="009E4635"/>
    <w:p w14:paraId="2F1BB2B3" w14:textId="77777777" w:rsidR="00E34392" w:rsidRPr="007267DD" w:rsidRDefault="00E34392"/>
    <w:p w14:paraId="4C7CBFEF" w14:textId="5E84A0C8" w:rsidR="00E961B1" w:rsidRDefault="00AF0AF8" w:rsidP="00E961B1">
      <w:pPr>
        <w:pStyle w:val="Heading1"/>
      </w:pPr>
      <w:r>
        <w:t xml:space="preserve">Individual </w:t>
      </w:r>
      <w:r w:rsidR="00E961B1">
        <w:t xml:space="preserve">Life </w:t>
      </w:r>
      <w:r w:rsidR="00430EE4">
        <w:t xml:space="preserve">and AD&amp;D </w:t>
      </w:r>
      <w:r w:rsidR="00E961B1">
        <w:t>Insurance</w:t>
      </w:r>
      <w:r w:rsidR="007267DD">
        <w:t xml:space="preserve"> (Voluntary)</w:t>
      </w:r>
    </w:p>
    <w:p w14:paraId="140B9951" w14:textId="0FBE82A1" w:rsidR="00C765A1" w:rsidRPr="001D4203" w:rsidRDefault="00C765A1" w:rsidP="00E961B1">
      <w:pPr>
        <w:rPr>
          <w:sz w:val="22"/>
        </w:rPr>
      </w:pPr>
      <w:r w:rsidRPr="001D4203">
        <w:rPr>
          <w:sz w:val="22"/>
        </w:rPr>
        <w:t xml:space="preserve">In the absence of a group plan, </w:t>
      </w:r>
      <w:r w:rsidR="00E961B1" w:rsidRPr="001D4203">
        <w:rPr>
          <w:sz w:val="22"/>
        </w:rPr>
        <w:t>Kentucky Municipal Energy Agency provides employees with a</w:t>
      </w:r>
      <w:r w:rsidRPr="001D4203">
        <w:rPr>
          <w:sz w:val="22"/>
        </w:rPr>
        <w:t>n individual</w:t>
      </w:r>
      <w:r w:rsidR="00E961B1" w:rsidRPr="001D4203">
        <w:rPr>
          <w:sz w:val="22"/>
        </w:rPr>
        <w:t xml:space="preserve"> life and accidental death and dismemberment policy</w:t>
      </w:r>
      <w:r w:rsidRPr="001D4203">
        <w:rPr>
          <w:sz w:val="22"/>
        </w:rPr>
        <w:t xml:space="preserve"> for </w:t>
      </w:r>
      <w:r w:rsidR="00BB513A" w:rsidRPr="001D4203">
        <w:rPr>
          <w:sz w:val="22"/>
        </w:rPr>
        <w:t xml:space="preserve">insurable </w:t>
      </w:r>
      <w:r w:rsidRPr="001D4203">
        <w:rPr>
          <w:sz w:val="22"/>
        </w:rPr>
        <w:t>employees</w:t>
      </w:r>
      <w:r w:rsidR="00E961B1" w:rsidRPr="001D4203">
        <w:rPr>
          <w:sz w:val="22"/>
        </w:rPr>
        <w:t>.</w:t>
      </w:r>
      <w:r w:rsidR="00430EE4" w:rsidRPr="001D4203">
        <w:rPr>
          <w:sz w:val="22"/>
        </w:rPr>
        <w:t xml:space="preserve">  In the event employees are uninsurable, KyMEA is under no obligation to provide individual </w:t>
      </w:r>
      <w:r w:rsidR="006C20BF" w:rsidRPr="001D4203">
        <w:rPr>
          <w:sz w:val="22"/>
        </w:rPr>
        <w:t>L</w:t>
      </w:r>
      <w:r w:rsidR="00430EE4" w:rsidRPr="001D4203">
        <w:rPr>
          <w:sz w:val="22"/>
        </w:rPr>
        <w:t>ife and AD&amp;D Insurance.</w:t>
      </w:r>
    </w:p>
    <w:p w14:paraId="1A616E22" w14:textId="51BD3AE9" w:rsidR="00430EE4" w:rsidRPr="001D4203" w:rsidRDefault="00430EE4" w:rsidP="000D7794">
      <w:pPr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sz w:val="22"/>
        </w:rPr>
      </w:pPr>
      <w:r w:rsidRPr="001D4203">
        <w:rPr>
          <w:sz w:val="22"/>
        </w:rPr>
        <w:t xml:space="preserve">Single Individual Life &amp; AD&amp;D – Available on the first day of the month following employees’ hire date for full time employees </w:t>
      </w:r>
      <w:r w:rsidR="006C20BF" w:rsidRPr="001D4203">
        <w:rPr>
          <w:sz w:val="22"/>
        </w:rPr>
        <w:t xml:space="preserve">- </w:t>
      </w:r>
      <w:r w:rsidRPr="001D4203">
        <w:rPr>
          <w:sz w:val="22"/>
        </w:rPr>
        <w:t>subject to employee insurability.</w:t>
      </w:r>
    </w:p>
    <w:p w14:paraId="26CAD16A" w14:textId="275170F1" w:rsidR="00430EE4" w:rsidRPr="001D4203" w:rsidRDefault="00430EE4" w:rsidP="000D7794">
      <w:pPr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sz w:val="22"/>
        </w:rPr>
      </w:pPr>
      <w:r w:rsidRPr="001D4203">
        <w:rPr>
          <w:sz w:val="22"/>
        </w:rPr>
        <w:t>Coverage Level – Benefit is equal to t</w:t>
      </w:r>
      <w:r w:rsidR="00425465" w:rsidRPr="001D4203">
        <w:rPr>
          <w:sz w:val="22"/>
        </w:rPr>
        <w:t xml:space="preserve">hree </w:t>
      </w:r>
      <w:r w:rsidRPr="001D4203">
        <w:rPr>
          <w:sz w:val="22"/>
        </w:rPr>
        <w:t>times the employee’s salary up to a maximum of $500,000.</w:t>
      </w:r>
      <w:r w:rsidR="00DF666E" w:rsidRPr="001D4203">
        <w:rPr>
          <w:sz w:val="22"/>
        </w:rPr>
        <w:t xml:space="preserve">  Minimum coverage is $100,000.</w:t>
      </w:r>
    </w:p>
    <w:p w14:paraId="7A669D1F" w14:textId="530B368F" w:rsidR="008B48B5" w:rsidRPr="001D4203" w:rsidRDefault="001D4203" w:rsidP="000D7794">
      <w:pPr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 xml:space="preserve">Premium </w:t>
      </w:r>
      <w:r w:rsidR="00177630">
        <w:rPr>
          <w:sz w:val="22"/>
        </w:rPr>
        <w:t>Guaranteed Term</w:t>
      </w:r>
      <w:r>
        <w:rPr>
          <w:sz w:val="22"/>
        </w:rPr>
        <w:t xml:space="preserve"> </w:t>
      </w:r>
      <w:r w:rsidR="008B48B5" w:rsidRPr="001D4203">
        <w:rPr>
          <w:sz w:val="22"/>
        </w:rPr>
        <w:t xml:space="preserve">Period – To </w:t>
      </w:r>
      <w:r>
        <w:rPr>
          <w:sz w:val="22"/>
        </w:rPr>
        <w:t xml:space="preserve">social security normal </w:t>
      </w:r>
      <w:r w:rsidR="008B48B5" w:rsidRPr="001D4203">
        <w:rPr>
          <w:sz w:val="22"/>
        </w:rPr>
        <w:t>retirement age</w:t>
      </w:r>
      <w:r w:rsidR="00E34392">
        <w:rPr>
          <w:sz w:val="22"/>
        </w:rPr>
        <w:t>.</w:t>
      </w:r>
    </w:p>
    <w:p w14:paraId="4DD098CA" w14:textId="1F7B2A1C" w:rsidR="00430EE4" w:rsidRPr="001D4203" w:rsidRDefault="00430EE4" w:rsidP="000D7794">
      <w:pPr>
        <w:pStyle w:val="ListParagraph"/>
        <w:numPr>
          <w:ilvl w:val="0"/>
          <w:numId w:val="14"/>
        </w:numPr>
        <w:ind w:left="1080"/>
        <w:rPr>
          <w:sz w:val="22"/>
        </w:rPr>
      </w:pPr>
      <w:r w:rsidRPr="001D4203">
        <w:rPr>
          <w:sz w:val="22"/>
        </w:rPr>
        <w:t>KyMEA Employee Premium Contribution – 100%</w:t>
      </w:r>
      <w:r w:rsidR="00E34392">
        <w:rPr>
          <w:sz w:val="22"/>
        </w:rPr>
        <w:t>.</w:t>
      </w:r>
    </w:p>
    <w:p w14:paraId="56824995" w14:textId="1004632D" w:rsidR="00430EE4" w:rsidRPr="001D4203" w:rsidRDefault="00430EE4" w:rsidP="00430EE4">
      <w:pPr>
        <w:rPr>
          <w:sz w:val="22"/>
        </w:rPr>
      </w:pPr>
    </w:p>
    <w:p w14:paraId="135D6C46" w14:textId="77777777" w:rsidR="000D7794" w:rsidRPr="001D4203" w:rsidRDefault="000D7794" w:rsidP="00430EE4">
      <w:pPr>
        <w:rPr>
          <w:sz w:val="22"/>
        </w:rPr>
      </w:pPr>
    </w:p>
    <w:p w14:paraId="5A69741B" w14:textId="570A2D90" w:rsidR="00EA38C4" w:rsidRPr="001D4203" w:rsidRDefault="0022517C">
      <w:pPr>
        <w:pStyle w:val="Heading1"/>
      </w:pPr>
      <w:r w:rsidRPr="001D4203">
        <w:t xml:space="preserve">Individual </w:t>
      </w:r>
      <w:r w:rsidR="00EA38C4" w:rsidRPr="001D4203">
        <w:t>Long</w:t>
      </w:r>
      <w:r w:rsidR="006C20BF" w:rsidRPr="001D4203">
        <w:t>-</w:t>
      </w:r>
      <w:r w:rsidR="00EA38C4" w:rsidRPr="001D4203">
        <w:t>Term Disability Insurance</w:t>
      </w:r>
      <w:r w:rsidR="007267DD">
        <w:t xml:space="preserve"> (Voluntary)</w:t>
      </w:r>
    </w:p>
    <w:p w14:paraId="7A3F17C4" w14:textId="7513AD77" w:rsidR="006C20BF" w:rsidRPr="001D4203" w:rsidRDefault="006C20BF" w:rsidP="006C20BF">
      <w:pPr>
        <w:rPr>
          <w:sz w:val="22"/>
        </w:rPr>
      </w:pPr>
      <w:r w:rsidRPr="001D4203">
        <w:rPr>
          <w:sz w:val="22"/>
        </w:rPr>
        <w:t>In the absence of a group plan, Kentucky Municipal Energy Agency provides employees with an individual long-term disability policy for insurable employees.  In the event employees are uninsurable, KyMEA is under no obligation to provide individual Long-Term Disability Insurance.</w:t>
      </w:r>
    </w:p>
    <w:p w14:paraId="617FA0A1" w14:textId="169A30CD" w:rsidR="006C20BF" w:rsidRDefault="006C20BF" w:rsidP="006C20BF">
      <w:pPr>
        <w:numPr>
          <w:ilvl w:val="0"/>
          <w:numId w:val="3"/>
        </w:numPr>
        <w:tabs>
          <w:tab w:val="clear" w:pos="360"/>
        </w:tabs>
        <w:ind w:left="720"/>
        <w:rPr>
          <w:sz w:val="22"/>
        </w:rPr>
      </w:pPr>
      <w:r w:rsidRPr="001D4203">
        <w:rPr>
          <w:sz w:val="22"/>
        </w:rPr>
        <w:t>Single Individual Disability Insurance – Available on the first day of the month following employees’ hire date for full</w:t>
      </w:r>
      <w:r w:rsidRPr="000D6158">
        <w:rPr>
          <w:sz w:val="22"/>
        </w:rPr>
        <w:t xml:space="preserve"> time employees</w:t>
      </w:r>
      <w:r>
        <w:rPr>
          <w:sz w:val="22"/>
        </w:rPr>
        <w:t xml:space="preserve"> - subject to employee insurability</w:t>
      </w:r>
      <w:r w:rsidRPr="000D6158">
        <w:rPr>
          <w:sz w:val="22"/>
        </w:rPr>
        <w:t>.</w:t>
      </w:r>
    </w:p>
    <w:p w14:paraId="78422603" w14:textId="62C6FAC8" w:rsidR="006C20BF" w:rsidRDefault="006C20BF" w:rsidP="006C20BF">
      <w:pPr>
        <w:numPr>
          <w:ilvl w:val="0"/>
          <w:numId w:val="3"/>
        </w:numPr>
        <w:tabs>
          <w:tab w:val="clear" w:pos="360"/>
        </w:tabs>
        <w:ind w:left="720"/>
        <w:rPr>
          <w:sz w:val="22"/>
        </w:rPr>
      </w:pPr>
      <w:r>
        <w:rPr>
          <w:sz w:val="22"/>
        </w:rPr>
        <w:t xml:space="preserve">Coverage Level – Benefit is equal to </w:t>
      </w:r>
      <w:r w:rsidR="007E4A96">
        <w:rPr>
          <w:sz w:val="22"/>
        </w:rPr>
        <w:t xml:space="preserve">60% of </w:t>
      </w:r>
      <w:r>
        <w:rPr>
          <w:sz w:val="22"/>
        </w:rPr>
        <w:t xml:space="preserve">the employee’s </w:t>
      </w:r>
      <w:r w:rsidR="00794E9A">
        <w:rPr>
          <w:sz w:val="22"/>
        </w:rPr>
        <w:t xml:space="preserve">after-tax </w:t>
      </w:r>
      <w:r>
        <w:rPr>
          <w:sz w:val="22"/>
        </w:rPr>
        <w:t>salary</w:t>
      </w:r>
      <w:r w:rsidR="007B12BD">
        <w:rPr>
          <w:sz w:val="22"/>
        </w:rPr>
        <w:t xml:space="preserve"> with </w:t>
      </w:r>
      <w:r w:rsidR="008B48B5">
        <w:rPr>
          <w:sz w:val="22"/>
        </w:rPr>
        <w:t>COLA Rider</w:t>
      </w:r>
      <w:r w:rsidR="007E4A96">
        <w:rPr>
          <w:sz w:val="22"/>
        </w:rPr>
        <w:t>.</w:t>
      </w:r>
    </w:p>
    <w:p w14:paraId="42E3D1D3" w14:textId="5F176499" w:rsidR="007E4A96" w:rsidRDefault="008B48B5" w:rsidP="006C20BF">
      <w:pPr>
        <w:numPr>
          <w:ilvl w:val="0"/>
          <w:numId w:val="3"/>
        </w:numPr>
        <w:tabs>
          <w:tab w:val="clear" w:pos="360"/>
        </w:tabs>
        <w:ind w:left="720"/>
        <w:rPr>
          <w:sz w:val="22"/>
        </w:rPr>
      </w:pPr>
      <w:r>
        <w:rPr>
          <w:sz w:val="22"/>
        </w:rPr>
        <w:t xml:space="preserve">Waiting </w:t>
      </w:r>
      <w:r w:rsidR="007E4A96">
        <w:rPr>
          <w:sz w:val="22"/>
        </w:rPr>
        <w:t xml:space="preserve">Period – 90 </w:t>
      </w:r>
      <w:r>
        <w:rPr>
          <w:sz w:val="22"/>
        </w:rPr>
        <w:t>d</w:t>
      </w:r>
      <w:r w:rsidR="007E4A96">
        <w:rPr>
          <w:sz w:val="22"/>
        </w:rPr>
        <w:t>ays</w:t>
      </w:r>
      <w:r w:rsidR="00E34392">
        <w:rPr>
          <w:sz w:val="22"/>
        </w:rPr>
        <w:t>.</w:t>
      </w:r>
    </w:p>
    <w:p w14:paraId="22D1A56F" w14:textId="775A5262" w:rsidR="008B48B5" w:rsidRDefault="008B48B5" w:rsidP="006C20BF">
      <w:pPr>
        <w:numPr>
          <w:ilvl w:val="0"/>
          <w:numId w:val="3"/>
        </w:numPr>
        <w:tabs>
          <w:tab w:val="clear" w:pos="360"/>
        </w:tabs>
        <w:ind w:left="720"/>
        <w:rPr>
          <w:sz w:val="22"/>
        </w:rPr>
      </w:pPr>
      <w:r>
        <w:rPr>
          <w:sz w:val="22"/>
        </w:rPr>
        <w:t xml:space="preserve">Maximum Benefit Period – To </w:t>
      </w:r>
      <w:r w:rsidR="001D4203">
        <w:rPr>
          <w:sz w:val="22"/>
        </w:rPr>
        <w:t xml:space="preserve">social security normal </w:t>
      </w:r>
      <w:r w:rsidR="001D4203" w:rsidRPr="001D4203">
        <w:rPr>
          <w:sz w:val="22"/>
        </w:rPr>
        <w:t>retirement age</w:t>
      </w:r>
      <w:r w:rsidR="00E34392">
        <w:rPr>
          <w:sz w:val="22"/>
        </w:rPr>
        <w:t>.</w:t>
      </w:r>
    </w:p>
    <w:p w14:paraId="5A6880EB" w14:textId="27BF778E" w:rsidR="00EA38C4" w:rsidRPr="008B48B5" w:rsidRDefault="006C20BF" w:rsidP="008B48B5">
      <w:pPr>
        <w:pStyle w:val="ListParagraph"/>
        <w:numPr>
          <w:ilvl w:val="0"/>
          <w:numId w:val="19"/>
        </w:numPr>
        <w:rPr>
          <w:sz w:val="22"/>
        </w:rPr>
      </w:pPr>
      <w:r w:rsidRPr="00AF0AF8">
        <w:rPr>
          <w:sz w:val="22"/>
        </w:rPr>
        <w:t>KyMEA Employee Premium Contribution – 100%</w:t>
      </w:r>
      <w:r w:rsidR="00E34392">
        <w:rPr>
          <w:sz w:val="22"/>
        </w:rPr>
        <w:t>.</w:t>
      </w:r>
    </w:p>
    <w:p w14:paraId="35A26F81" w14:textId="77777777" w:rsidR="007267DD" w:rsidRDefault="007267DD">
      <w:pPr>
        <w:pStyle w:val="Heading1"/>
      </w:pPr>
    </w:p>
    <w:p w14:paraId="16930348" w14:textId="77777777" w:rsidR="007267DD" w:rsidRDefault="007267DD">
      <w:pPr>
        <w:pStyle w:val="Heading1"/>
      </w:pPr>
    </w:p>
    <w:p w14:paraId="6C2F6DF3" w14:textId="339C847A" w:rsidR="00EA38C4" w:rsidRDefault="00EA38C4">
      <w:pPr>
        <w:pStyle w:val="Heading1"/>
      </w:pPr>
      <w:r>
        <w:t>Retirement</w:t>
      </w:r>
    </w:p>
    <w:p w14:paraId="7299EC06" w14:textId="7C8CBA8B" w:rsidR="00EA38C4" w:rsidRDefault="00EA38C4">
      <w:pPr>
        <w:pStyle w:val="BodyText"/>
      </w:pPr>
      <w:r>
        <w:t xml:space="preserve">Retirement benefits are funded by employee contributions </w:t>
      </w:r>
      <w:r w:rsidR="00CC2035">
        <w:t xml:space="preserve">to a 457 plan </w:t>
      </w:r>
      <w:r>
        <w:t>that are deducted from an employee’s wages and by employer contributions</w:t>
      </w:r>
      <w:r w:rsidR="00CC2035">
        <w:t xml:space="preserve"> to a </w:t>
      </w:r>
      <w:proofErr w:type="gramStart"/>
      <w:r w:rsidR="00CC2035">
        <w:t>401(a) plan</w:t>
      </w:r>
      <w:proofErr w:type="gramEnd"/>
      <w:r>
        <w:t xml:space="preserve"> paid by </w:t>
      </w:r>
      <w:r w:rsidR="00A56A10">
        <w:t>Kentucky Municipal Energy Agency</w:t>
      </w:r>
      <w:r>
        <w:t>.</w:t>
      </w:r>
    </w:p>
    <w:p w14:paraId="31065F7D" w14:textId="2D0DD92B" w:rsidR="00EA38C4" w:rsidRDefault="00EA38C4" w:rsidP="007979D7">
      <w:pPr>
        <w:pStyle w:val="BodyText"/>
        <w:numPr>
          <w:ilvl w:val="0"/>
          <w:numId w:val="5"/>
        </w:numPr>
        <w:tabs>
          <w:tab w:val="clear" w:pos="360"/>
          <w:tab w:val="num" w:pos="720"/>
        </w:tabs>
        <w:ind w:left="720"/>
      </w:pPr>
      <w:r>
        <w:t xml:space="preserve">Employees contribute a percentage of gross wages </w:t>
      </w:r>
      <w:r w:rsidR="00A56A10">
        <w:t>or a fixed amount as chosen by the employee</w:t>
      </w:r>
      <w:r w:rsidR="00607D69">
        <w:t>.</w:t>
      </w:r>
      <w:r w:rsidR="00CC2035">
        <w:t xml:space="preserve">  457 plan offers </w:t>
      </w:r>
      <w:r w:rsidR="00C05149">
        <w:t>both pre</w:t>
      </w:r>
      <w:r w:rsidR="00CC2035">
        <w:t xml:space="preserve">-tax traditional </w:t>
      </w:r>
      <w:r w:rsidR="00C05149">
        <w:t>and post</w:t>
      </w:r>
      <w:r w:rsidR="00CC2035">
        <w:t>-tax Roth options.</w:t>
      </w:r>
    </w:p>
    <w:p w14:paraId="2B98B1D6" w14:textId="6A7B0083" w:rsidR="007979D7" w:rsidRDefault="00A56A10" w:rsidP="007979D7">
      <w:pPr>
        <w:pStyle w:val="BodyText"/>
        <w:numPr>
          <w:ilvl w:val="0"/>
          <w:numId w:val="5"/>
        </w:numPr>
        <w:tabs>
          <w:tab w:val="clear" w:pos="360"/>
          <w:tab w:val="num" w:pos="720"/>
        </w:tabs>
        <w:ind w:left="720"/>
      </w:pPr>
      <w:r>
        <w:t xml:space="preserve">Kentucky Municipal Energy Agency’s </w:t>
      </w:r>
      <w:r w:rsidR="00EA38C4">
        <w:t xml:space="preserve">contribution </w:t>
      </w:r>
      <w:r w:rsidR="00CC2035">
        <w:t xml:space="preserve">to 401(a) plan </w:t>
      </w:r>
      <w:r w:rsidR="00EA38C4">
        <w:t xml:space="preserve">is </w:t>
      </w:r>
      <w:r>
        <w:t xml:space="preserve">10% of </w:t>
      </w:r>
      <w:r w:rsidR="007979D7">
        <w:t>base</w:t>
      </w:r>
      <w:r>
        <w:t xml:space="preserve"> wages</w:t>
      </w:r>
      <w:r w:rsidR="007979D7">
        <w:t xml:space="preserve"> each pay period.</w:t>
      </w:r>
    </w:p>
    <w:p w14:paraId="5C8A0930" w14:textId="4E8684A4" w:rsidR="00EA38C4" w:rsidRDefault="007979D7" w:rsidP="007979D7">
      <w:pPr>
        <w:pStyle w:val="BodyText"/>
        <w:numPr>
          <w:ilvl w:val="0"/>
          <w:numId w:val="5"/>
        </w:numPr>
        <w:tabs>
          <w:tab w:val="clear" w:pos="360"/>
          <w:tab w:val="num" w:pos="720"/>
        </w:tabs>
        <w:ind w:left="720"/>
      </w:pPr>
      <w:r>
        <w:t>To be eligible for the KyMEA 401(a) contribution, employee is required to contribute a minimum of 3% to the 457 plan each pay period.</w:t>
      </w:r>
    </w:p>
    <w:p w14:paraId="1A7FABB5" w14:textId="58748145" w:rsidR="00677904" w:rsidRDefault="00677904">
      <w:pPr>
        <w:rPr>
          <w:b/>
          <w:i/>
        </w:rPr>
      </w:pPr>
    </w:p>
    <w:p w14:paraId="089008D0" w14:textId="77777777" w:rsidR="00E1199B" w:rsidRDefault="00E1199B">
      <w:pPr>
        <w:rPr>
          <w:b/>
          <w:i/>
        </w:rPr>
      </w:pPr>
    </w:p>
    <w:p w14:paraId="6EF3FB9E" w14:textId="77777777" w:rsidR="007267DD" w:rsidRDefault="007267DD">
      <w:pPr>
        <w:rPr>
          <w:b/>
          <w:i/>
        </w:rPr>
      </w:pPr>
      <w:r>
        <w:br w:type="page"/>
      </w:r>
    </w:p>
    <w:p w14:paraId="5638E035" w14:textId="20F19529" w:rsidR="00EA38C4" w:rsidRDefault="00A54BD2">
      <w:pPr>
        <w:pStyle w:val="Heading1"/>
        <w:rPr>
          <w:sz w:val="22"/>
        </w:rPr>
      </w:pPr>
      <w:r>
        <w:lastRenderedPageBreak/>
        <w:t xml:space="preserve">Personal Leave </w:t>
      </w:r>
      <w:r w:rsidR="00EA38C4">
        <w:t>Accrual</w:t>
      </w:r>
    </w:p>
    <w:p w14:paraId="5EFE4731" w14:textId="214413AC" w:rsidR="00EA38C4" w:rsidRDefault="00EA38C4">
      <w:pPr>
        <w:rPr>
          <w:sz w:val="22"/>
        </w:rPr>
      </w:pPr>
      <w:r>
        <w:rPr>
          <w:sz w:val="22"/>
        </w:rPr>
        <w:t xml:space="preserve">All regular, full time employees earn </w:t>
      </w:r>
      <w:r w:rsidR="00A54BD2">
        <w:rPr>
          <w:sz w:val="22"/>
        </w:rPr>
        <w:t xml:space="preserve">personal </w:t>
      </w:r>
      <w:r>
        <w:rPr>
          <w:sz w:val="22"/>
        </w:rPr>
        <w:t>leave with pay as follows:</w:t>
      </w:r>
    </w:p>
    <w:p w14:paraId="5BFDF8E4" w14:textId="77777777" w:rsidR="00EA38C4" w:rsidRDefault="00EA38C4">
      <w:pPr>
        <w:rPr>
          <w:sz w:val="22"/>
        </w:rPr>
      </w:pPr>
      <w:r>
        <w:rPr>
          <w:sz w:val="22"/>
        </w:rPr>
        <w:tab/>
        <w:t xml:space="preserve">  1 – 5 years of service</w:t>
      </w:r>
      <w:r>
        <w:rPr>
          <w:sz w:val="22"/>
        </w:rPr>
        <w:tab/>
      </w:r>
      <w:r>
        <w:rPr>
          <w:sz w:val="22"/>
        </w:rPr>
        <w:tab/>
        <w:t>2 weeks</w:t>
      </w:r>
    </w:p>
    <w:p w14:paraId="394237B8" w14:textId="77777777" w:rsidR="00EA38C4" w:rsidRDefault="00EA38C4">
      <w:pPr>
        <w:rPr>
          <w:sz w:val="22"/>
        </w:rPr>
      </w:pPr>
      <w:r>
        <w:rPr>
          <w:sz w:val="22"/>
        </w:rPr>
        <w:tab/>
        <w:t xml:space="preserve">  6 - 10 years of service</w:t>
      </w:r>
      <w:r>
        <w:rPr>
          <w:sz w:val="22"/>
        </w:rPr>
        <w:tab/>
      </w:r>
      <w:r>
        <w:rPr>
          <w:sz w:val="22"/>
        </w:rPr>
        <w:tab/>
        <w:t>3 weeks</w:t>
      </w:r>
    </w:p>
    <w:p w14:paraId="3C604F1B" w14:textId="77777777" w:rsidR="00EA38C4" w:rsidRDefault="00EA38C4">
      <w:pPr>
        <w:rPr>
          <w:sz w:val="22"/>
        </w:rPr>
      </w:pPr>
      <w:r>
        <w:rPr>
          <w:sz w:val="22"/>
        </w:rPr>
        <w:tab/>
        <w:t>11 – 20 years of service</w:t>
      </w:r>
      <w:r>
        <w:rPr>
          <w:sz w:val="22"/>
        </w:rPr>
        <w:tab/>
      </w:r>
      <w:r>
        <w:rPr>
          <w:sz w:val="22"/>
        </w:rPr>
        <w:tab/>
        <w:t>4 weeks</w:t>
      </w:r>
    </w:p>
    <w:p w14:paraId="55C7A0AA" w14:textId="77777777" w:rsidR="00EA38C4" w:rsidRDefault="00EA38C4">
      <w:pPr>
        <w:rPr>
          <w:sz w:val="22"/>
        </w:rPr>
      </w:pPr>
      <w:r>
        <w:rPr>
          <w:sz w:val="22"/>
        </w:rPr>
        <w:tab/>
        <w:t>21 – 25 years of service</w:t>
      </w:r>
      <w:r>
        <w:rPr>
          <w:sz w:val="22"/>
        </w:rPr>
        <w:tab/>
      </w:r>
      <w:r>
        <w:rPr>
          <w:sz w:val="22"/>
        </w:rPr>
        <w:tab/>
        <w:t>5 weeks</w:t>
      </w:r>
    </w:p>
    <w:p w14:paraId="666B7C23" w14:textId="77777777" w:rsidR="00EA38C4" w:rsidRDefault="00EA38C4">
      <w:pPr>
        <w:rPr>
          <w:sz w:val="22"/>
        </w:rPr>
      </w:pPr>
    </w:p>
    <w:p w14:paraId="44863783" w14:textId="65756741" w:rsidR="00EA38C4" w:rsidRDefault="00EA38C4">
      <w:pPr>
        <w:rPr>
          <w:sz w:val="22"/>
        </w:rPr>
      </w:pPr>
      <w:r>
        <w:rPr>
          <w:sz w:val="22"/>
        </w:rPr>
        <w:t xml:space="preserve">Employees shall use </w:t>
      </w:r>
      <w:r w:rsidR="00A54BD2">
        <w:rPr>
          <w:sz w:val="22"/>
        </w:rPr>
        <w:t>all</w:t>
      </w:r>
      <w:r>
        <w:rPr>
          <w:sz w:val="22"/>
        </w:rPr>
        <w:t xml:space="preserve"> their </w:t>
      </w:r>
      <w:r w:rsidR="00A54BD2">
        <w:rPr>
          <w:sz w:val="22"/>
        </w:rPr>
        <w:t xml:space="preserve">personal </w:t>
      </w:r>
      <w:r>
        <w:rPr>
          <w:sz w:val="22"/>
        </w:rPr>
        <w:t xml:space="preserve">leave on or before December 31 of any calendar year with the exception that employees may carry up to </w:t>
      </w:r>
      <w:r w:rsidR="00D66195">
        <w:rPr>
          <w:sz w:val="22"/>
        </w:rPr>
        <w:t>400</w:t>
      </w:r>
      <w:r>
        <w:rPr>
          <w:sz w:val="22"/>
        </w:rPr>
        <w:t xml:space="preserve"> hours </w:t>
      </w:r>
      <w:r w:rsidR="00A54BD2">
        <w:rPr>
          <w:sz w:val="22"/>
        </w:rPr>
        <w:t xml:space="preserve">personal </w:t>
      </w:r>
      <w:r>
        <w:rPr>
          <w:sz w:val="22"/>
        </w:rPr>
        <w:t>leave into the following calendar year.</w:t>
      </w:r>
      <w:r w:rsidR="00A54BD2">
        <w:rPr>
          <w:sz w:val="22"/>
        </w:rPr>
        <w:t xml:space="preserve">  Credit for past years of service </w:t>
      </w:r>
      <w:r w:rsidR="00177630">
        <w:rPr>
          <w:sz w:val="22"/>
        </w:rPr>
        <w:t>is</w:t>
      </w:r>
      <w:r w:rsidR="00A54BD2">
        <w:rPr>
          <w:sz w:val="22"/>
        </w:rPr>
        <w:t xml:space="preserve"> </w:t>
      </w:r>
      <w:r w:rsidR="00B514AA">
        <w:rPr>
          <w:sz w:val="22"/>
        </w:rPr>
        <w:t>possible</w:t>
      </w:r>
      <w:r w:rsidR="00A54BD2">
        <w:rPr>
          <w:sz w:val="22"/>
        </w:rPr>
        <w:t xml:space="preserve"> for new hires at the discretion of the President and CEO.</w:t>
      </w:r>
    </w:p>
    <w:p w14:paraId="49407839" w14:textId="54A34269" w:rsidR="00F80C84" w:rsidRDefault="00F80C84">
      <w:pPr>
        <w:rPr>
          <w:sz w:val="22"/>
        </w:rPr>
      </w:pPr>
    </w:p>
    <w:p w14:paraId="163797A1" w14:textId="77777777" w:rsidR="00E34392" w:rsidRDefault="00E34392">
      <w:pPr>
        <w:rPr>
          <w:sz w:val="22"/>
        </w:rPr>
      </w:pPr>
    </w:p>
    <w:p w14:paraId="33ACBCB4" w14:textId="77777777" w:rsidR="00EA38C4" w:rsidRDefault="00EA38C4">
      <w:pPr>
        <w:pStyle w:val="Heading1"/>
        <w:rPr>
          <w:sz w:val="22"/>
        </w:rPr>
      </w:pPr>
      <w:r>
        <w:t>Sick Accrual</w:t>
      </w:r>
    </w:p>
    <w:p w14:paraId="04D025D4" w14:textId="77777777" w:rsidR="00EA38C4" w:rsidRDefault="00EA38C4">
      <w:pPr>
        <w:rPr>
          <w:sz w:val="22"/>
        </w:rPr>
      </w:pPr>
      <w:r>
        <w:rPr>
          <w:sz w:val="22"/>
        </w:rPr>
        <w:t xml:space="preserve">All regular, full time employees shall earn eight (8) hours of paid sick leave monthly.  Any unused and accumulated sick leave may be carried over to the following calendar year.  </w:t>
      </w:r>
      <w:r w:rsidR="00A56A10">
        <w:rPr>
          <w:sz w:val="22"/>
        </w:rPr>
        <w:t>Upon retirement, a</w:t>
      </w:r>
      <w:r>
        <w:rPr>
          <w:sz w:val="22"/>
        </w:rPr>
        <w:t xml:space="preserve">ny accumulated sick leave after that is payable to the employee at one half of </w:t>
      </w:r>
      <w:r w:rsidR="001C30BD">
        <w:rPr>
          <w:sz w:val="22"/>
        </w:rPr>
        <w:t>his/her</w:t>
      </w:r>
      <w:r w:rsidR="000F5D90">
        <w:rPr>
          <w:sz w:val="22"/>
        </w:rPr>
        <w:t xml:space="preserve"> </w:t>
      </w:r>
      <w:r>
        <w:rPr>
          <w:sz w:val="22"/>
        </w:rPr>
        <w:t>current hourly rate of pay or they may choose to have the balance transferred to deferred compensation (401</w:t>
      </w:r>
      <w:r w:rsidR="00A56A10">
        <w:rPr>
          <w:sz w:val="22"/>
        </w:rPr>
        <w:t>a</w:t>
      </w:r>
      <w:r>
        <w:rPr>
          <w:sz w:val="22"/>
        </w:rPr>
        <w:t xml:space="preserve"> or 457 plan) at their current hourly rate of pay.  If an employee terminates, any accumulated sick leave is forfeited.</w:t>
      </w:r>
    </w:p>
    <w:p w14:paraId="4047E0BA" w14:textId="79A7788A" w:rsidR="00EA38C4" w:rsidRPr="00F80C84" w:rsidRDefault="00EA38C4">
      <w:pPr>
        <w:pStyle w:val="Heading1"/>
        <w:rPr>
          <w:b w:val="0"/>
          <w:i w:val="0"/>
        </w:rPr>
      </w:pPr>
    </w:p>
    <w:p w14:paraId="28C84DAE" w14:textId="77777777" w:rsidR="00F80C84" w:rsidRPr="00F80C84" w:rsidRDefault="00F80C84" w:rsidP="00F80C84"/>
    <w:p w14:paraId="20850794" w14:textId="77777777" w:rsidR="00EA38C4" w:rsidRDefault="00EA38C4">
      <w:pPr>
        <w:pStyle w:val="Heading1"/>
        <w:rPr>
          <w:sz w:val="22"/>
        </w:rPr>
      </w:pPr>
      <w:r>
        <w:t>Paid Holidays</w:t>
      </w:r>
    </w:p>
    <w:p w14:paraId="2A808199" w14:textId="77777777" w:rsidR="00EA38C4" w:rsidRDefault="00EA38C4">
      <w:pPr>
        <w:rPr>
          <w:sz w:val="22"/>
        </w:rPr>
      </w:pPr>
      <w:r>
        <w:rPr>
          <w:sz w:val="22"/>
        </w:rPr>
        <w:t>All regular, ful</w:t>
      </w:r>
      <w:r w:rsidR="00CC2035">
        <w:rPr>
          <w:sz w:val="22"/>
        </w:rPr>
        <w:t>l time employees are granted (11</w:t>
      </w:r>
      <w:r>
        <w:rPr>
          <w:sz w:val="22"/>
        </w:rPr>
        <w:t>) paid holidays annually.</w:t>
      </w:r>
    </w:p>
    <w:p w14:paraId="41393265" w14:textId="24666884" w:rsidR="00EA38C4" w:rsidRPr="006A5063" w:rsidRDefault="00EA38C4" w:rsidP="006A5063">
      <w:pPr>
        <w:pStyle w:val="ListParagraph"/>
        <w:numPr>
          <w:ilvl w:val="0"/>
          <w:numId w:val="22"/>
        </w:numPr>
        <w:rPr>
          <w:sz w:val="22"/>
        </w:rPr>
      </w:pPr>
      <w:r w:rsidRPr="006A5063">
        <w:rPr>
          <w:sz w:val="22"/>
        </w:rPr>
        <w:t>New Year’s Day</w:t>
      </w:r>
    </w:p>
    <w:p w14:paraId="4A4F1299" w14:textId="677D9224" w:rsidR="00EA38C4" w:rsidRPr="006A5063" w:rsidRDefault="00EA38C4" w:rsidP="006A5063">
      <w:pPr>
        <w:pStyle w:val="ListParagraph"/>
        <w:numPr>
          <w:ilvl w:val="0"/>
          <w:numId w:val="22"/>
        </w:numPr>
        <w:rPr>
          <w:sz w:val="22"/>
        </w:rPr>
      </w:pPr>
      <w:r w:rsidRPr="006A5063">
        <w:rPr>
          <w:sz w:val="22"/>
        </w:rPr>
        <w:t>Memorial Day</w:t>
      </w:r>
    </w:p>
    <w:p w14:paraId="5689637A" w14:textId="3D9DEA4D" w:rsidR="00EA38C4" w:rsidRPr="006A5063" w:rsidRDefault="00EA38C4" w:rsidP="006A5063">
      <w:pPr>
        <w:pStyle w:val="ListParagraph"/>
        <w:numPr>
          <w:ilvl w:val="0"/>
          <w:numId w:val="22"/>
        </w:numPr>
        <w:rPr>
          <w:sz w:val="22"/>
        </w:rPr>
      </w:pPr>
      <w:r w:rsidRPr="006A5063">
        <w:rPr>
          <w:sz w:val="22"/>
        </w:rPr>
        <w:t>Independence Day</w:t>
      </w:r>
    </w:p>
    <w:p w14:paraId="6FBA2EBC" w14:textId="771360AB" w:rsidR="00EA38C4" w:rsidRPr="006A5063" w:rsidRDefault="00EA38C4" w:rsidP="006A5063">
      <w:pPr>
        <w:pStyle w:val="ListParagraph"/>
        <w:numPr>
          <w:ilvl w:val="0"/>
          <w:numId w:val="22"/>
        </w:numPr>
        <w:rPr>
          <w:sz w:val="22"/>
        </w:rPr>
      </w:pPr>
      <w:r w:rsidRPr="006A5063">
        <w:rPr>
          <w:sz w:val="22"/>
        </w:rPr>
        <w:t>Labor Day</w:t>
      </w:r>
    </w:p>
    <w:p w14:paraId="549FE652" w14:textId="32FB13F6" w:rsidR="00EA38C4" w:rsidRPr="006A5063" w:rsidRDefault="00EA38C4" w:rsidP="006A5063">
      <w:pPr>
        <w:pStyle w:val="ListParagraph"/>
        <w:numPr>
          <w:ilvl w:val="0"/>
          <w:numId w:val="22"/>
        </w:numPr>
        <w:rPr>
          <w:sz w:val="22"/>
        </w:rPr>
      </w:pPr>
      <w:r w:rsidRPr="006A5063">
        <w:rPr>
          <w:sz w:val="22"/>
        </w:rPr>
        <w:t>Thanksgiving Day</w:t>
      </w:r>
    </w:p>
    <w:p w14:paraId="1553B3BB" w14:textId="6F23AA79" w:rsidR="00EA38C4" w:rsidRPr="006A5063" w:rsidRDefault="00EA38C4" w:rsidP="006A5063">
      <w:pPr>
        <w:pStyle w:val="ListParagraph"/>
        <w:numPr>
          <w:ilvl w:val="0"/>
          <w:numId w:val="22"/>
        </w:numPr>
        <w:rPr>
          <w:sz w:val="22"/>
        </w:rPr>
      </w:pPr>
      <w:r w:rsidRPr="006A5063">
        <w:rPr>
          <w:sz w:val="22"/>
        </w:rPr>
        <w:t>Day after Thanksgiving</w:t>
      </w:r>
    </w:p>
    <w:p w14:paraId="4722BB8A" w14:textId="1AD16A41" w:rsidR="00EA38C4" w:rsidRPr="006A5063" w:rsidRDefault="00EA38C4" w:rsidP="006A5063">
      <w:pPr>
        <w:pStyle w:val="ListParagraph"/>
        <w:numPr>
          <w:ilvl w:val="0"/>
          <w:numId w:val="22"/>
        </w:numPr>
        <w:rPr>
          <w:sz w:val="22"/>
        </w:rPr>
      </w:pPr>
      <w:r w:rsidRPr="006A5063">
        <w:rPr>
          <w:sz w:val="22"/>
        </w:rPr>
        <w:t>Christmas Eve</w:t>
      </w:r>
    </w:p>
    <w:p w14:paraId="1A81763A" w14:textId="282653A1" w:rsidR="00EA38C4" w:rsidRPr="006A5063" w:rsidRDefault="00EA38C4" w:rsidP="006A5063">
      <w:pPr>
        <w:pStyle w:val="ListParagraph"/>
        <w:numPr>
          <w:ilvl w:val="0"/>
          <w:numId w:val="22"/>
        </w:numPr>
        <w:rPr>
          <w:sz w:val="22"/>
        </w:rPr>
      </w:pPr>
      <w:r w:rsidRPr="006A5063">
        <w:rPr>
          <w:sz w:val="22"/>
        </w:rPr>
        <w:t>Christmas Day</w:t>
      </w:r>
    </w:p>
    <w:p w14:paraId="73A1416B" w14:textId="7ADBE047" w:rsidR="00CC2035" w:rsidRPr="006A5063" w:rsidRDefault="006A5063" w:rsidP="006A5063">
      <w:pPr>
        <w:pStyle w:val="ListParagraph"/>
        <w:numPr>
          <w:ilvl w:val="0"/>
          <w:numId w:val="22"/>
        </w:numPr>
        <w:rPr>
          <w:sz w:val="22"/>
        </w:rPr>
      </w:pPr>
      <w:r>
        <w:rPr>
          <w:sz w:val="22"/>
        </w:rPr>
        <w:t>Three (3)</w:t>
      </w:r>
      <w:r w:rsidR="00CC2035" w:rsidRPr="006A5063">
        <w:rPr>
          <w:sz w:val="22"/>
        </w:rPr>
        <w:t xml:space="preserve"> Personal Holidays to use at employee discretion</w:t>
      </w:r>
      <w:r w:rsidR="00E34392">
        <w:rPr>
          <w:sz w:val="22"/>
        </w:rPr>
        <w:t>.</w:t>
      </w:r>
    </w:p>
    <w:p w14:paraId="0C57A879" w14:textId="77777777" w:rsidR="002F4475" w:rsidRPr="007267DD" w:rsidRDefault="002F4475">
      <w:pPr>
        <w:rPr>
          <w:i/>
          <w:sz w:val="22"/>
        </w:rPr>
      </w:pPr>
    </w:p>
    <w:p w14:paraId="4BD3B16A" w14:textId="77777777" w:rsidR="00211381" w:rsidRPr="007267DD" w:rsidRDefault="00211381" w:rsidP="00211381">
      <w:pPr>
        <w:pStyle w:val="Heading1"/>
        <w:rPr>
          <w:b w:val="0"/>
        </w:rPr>
      </w:pPr>
    </w:p>
    <w:p w14:paraId="31F36027" w14:textId="30AE46E6" w:rsidR="00211381" w:rsidRDefault="00211381" w:rsidP="00211381">
      <w:pPr>
        <w:pStyle w:val="Heading1"/>
        <w:rPr>
          <w:sz w:val="22"/>
        </w:rPr>
      </w:pPr>
      <w:r>
        <w:t>Bereav</w:t>
      </w:r>
      <w:r w:rsidR="00A4524F">
        <w:t>ement Leave</w:t>
      </w:r>
    </w:p>
    <w:p w14:paraId="19E6F483" w14:textId="65261042" w:rsidR="00EA38C4" w:rsidRDefault="00A4524F" w:rsidP="00211381">
      <w:r>
        <w:rPr>
          <w:sz w:val="22"/>
        </w:rPr>
        <w:t xml:space="preserve">Leave (paid) up to </w:t>
      </w:r>
      <w:r w:rsidR="00AB357D">
        <w:rPr>
          <w:sz w:val="22"/>
        </w:rPr>
        <w:t>3 working days</w:t>
      </w:r>
      <w:r>
        <w:rPr>
          <w:sz w:val="22"/>
        </w:rPr>
        <w:t xml:space="preserve"> in the event of the death of an immediate family member.</w:t>
      </w:r>
    </w:p>
    <w:p w14:paraId="06979F78" w14:textId="679FE42E" w:rsidR="00E1199B" w:rsidRPr="007267DD" w:rsidRDefault="00E1199B"/>
    <w:p w14:paraId="7C01B889" w14:textId="77777777" w:rsidR="007267DD" w:rsidRPr="007267DD" w:rsidRDefault="007267DD"/>
    <w:p w14:paraId="1C924629" w14:textId="18AED7C0" w:rsidR="00A4524F" w:rsidRDefault="00A4524F" w:rsidP="00A4524F">
      <w:pPr>
        <w:pStyle w:val="Heading1"/>
        <w:rPr>
          <w:sz w:val="22"/>
        </w:rPr>
      </w:pPr>
      <w:r>
        <w:t>Recreation &amp; Social Activities</w:t>
      </w:r>
    </w:p>
    <w:p w14:paraId="329A54E8" w14:textId="4F234D14" w:rsidR="00A4524F" w:rsidRDefault="00A4524F" w:rsidP="00A4524F">
      <w:pPr>
        <w:rPr>
          <w:sz w:val="22"/>
        </w:rPr>
      </w:pPr>
      <w:r>
        <w:rPr>
          <w:sz w:val="22"/>
        </w:rPr>
        <w:t xml:space="preserve">Various </w:t>
      </w:r>
      <w:r w:rsidR="0000006E">
        <w:rPr>
          <w:sz w:val="22"/>
        </w:rPr>
        <w:t>h</w:t>
      </w:r>
      <w:r>
        <w:rPr>
          <w:sz w:val="22"/>
        </w:rPr>
        <w:t xml:space="preserve">oliday and KyMEA </w:t>
      </w:r>
      <w:r w:rsidR="0000006E">
        <w:rPr>
          <w:sz w:val="22"/>
        </w:rPr>
        <w:t>a</w:t>
      </w:r>
      <w:r>
        <w:rPr>
          <w:sz w:val="22"/>
        </w:rPr>
        <w:t>ctivities.</w:t>
      </w:r>
    </w:p>
    <w:p w14:paraId="3CF387C7" w14:textId="3C23EAA4" w:rsidR="00A4524F" w:rsidRDefault="00A4524F" w:rsidP="00A4524F"/>
    <w:p w14:paraId="48ED6B39" w14:textId="77777777" w:rsidR="00AD021A" w:rsidRDefault="00AD021A" w:rsidP="00A4524F"/>
    <w:p w14:paraId="77A44708" w14:textId="1B1F86F8" w:rsidR="00AD021A" w:rsidRDefault="00AD021A" w:rsidP="00AD021A">
      <w:pPr>
        <w:pStyle w:val="Heading1"/>
        <w:rPr>
          <w:sz w:val="22"/>
        </w:rPr>
      </w:pPr>
      <w:r>
        <w:t>Fitness Facility &amp; Wellness Program</w:t>
      </w:r>
    </w:p>
    <w:p w14:paraId="7445FDBB" w14:textId="097F5AB3" w:rsidR="00AD021A" w:rsidRDefault="00AD021A" w:rsidP="00AD021A">
      <w:pPr>
        <w:rPr>
          <w:sz w:val="22"/>
        </w:rPr>
      </w:pPr>
      <w:r>
        <w:rPr>
          <w:sz w:val="22"/>
        </w:rPr>
        <w:t>On-site exercise facility.</w:t>
      </w:r>
    </w:p>
    <w:p w14:paraId="59E96D39" w14:textId="77777777" w:rsidR="007267DD" w:rsidRDefault="007267DD">
      <w:pPr>
        <w:rPr>
          <w:b/>
          <w:i/>
        </w:rPr>
      </w:pPr>
      <w:r>
        <w:br w:type="page"/>
      </w:r>
    </w:p>
    <w:p w14:paraId="24DE07C1" w14:textId="69115B53" w:rsidR="00B514AA" w:rsidRDefault="00C15B21" w:rsidP="00B514AA">
      <w:pPr>
        <w:pStyle w:val="Heading1"/>
        <w:rPr>
          <w:sz w:val="22"/>
        </w:rPr>
      </w:pPr>
      <w:r w:rsidRPr="00C15B21">
        <w:lastRenderedPageBreak/>
        <w:t>Employee Achievement Awards</w:t>
      </w:r>
    </w:p>
    <w:p w14:paraId="2A14D1C9" w14:textId="0BB3EC7B" w:rsidR="00C81DE2" w:rsidRDefault="00C81DE2" w:rsidP="00C81DE2">
      <w:pPr>
        <w:rPr>
          <w:sz w:val="22"/>
        </w:rPr>
      </w:pPr>
      <w:r w:rsidRPr="00C81DE2">
        <w:rPr>
          <w:sz w:val="22"/>
        </w:rPr>
        <w:t xml:space="preserve">An employee achievement award is an item of tangible personal property (not cash) for length-of-service. </w:t>
      </w:r>
      <w:r>
        <w:rPr>
          <w:sz w:val="22"/>
        </w:rPr>
        <w:t xml:space="preserve"> </w:t>
      </w:r>
      <w:r w:rsidRPr="00C81DE2">
        <w:rPr>
          <w:sz w:val="22"/>
        </w:rPr>
        <w:t>The following requirements must be met for an achievement award to be excludable</w:t>
      </w:r>
      <w:r>
        <w:rPr>
          <w:sz w:val="22"/>
        </w:rPr>
        <w:t xml:space="preserve"> for tax purposes</w:t>
      </w:r>
      <w:r w:rsidRPr="00C81DE2">
        <w:rPr>
          <w:sz w:val="22"/>
        </w:rPr>
        <w:t>:</w:t>
      </w:r>
    </w:p>
    <w:p w14:paraId="5C64670A" w14:textId="14E7A679" w:rsidR="00C81DE2" w:rsidRPr="00C81DE2" w:rsidRDefault="00C81DE2" w:rsidP="00C81DE2">
      <w:pPr>
        <w:pStyle w:val="ListParagraph"/>
        <w:numPr>
          <w:ilvl w:val="0"/>
          <w:numId w:val="28"/>
        </w:numPr>
        <w:rPr>
          <w:sz w:val="22"/>
        </w:rPr>
      </w:pPr>
      <w:r w:rsidRPr="00C81DE2">
        <w:rPr>
          <w:sz w:val="22"/>
        </w:rPr>
        <w:t>Must be given for length-of-service, and</w:t>
      </w:r>
    </w:p>
    <w:p w14:paraId="53668D01" w14:textId="77777777" w:rsidR="00C81DE2" w:rsidRPr="00C81DE2" w:rsidRDefault="00C81DE2" w:rsidP="00C81DE2">
      <w:pPr>
        <w:pStyle w:val="ListParagraph"/>
        <w:numPr>
          <w:ilvl w:val="0"/>
          <w:numId w:val="28"/>
        </w:numPr>
        <w:rPr>
          <w:sz w:val="22"/>
        </w:rPr>
      </w:pPr>
      <w:r w:rsidRPr="00C81DE2">
        <w:rPr>
          <w:sz w:val="22"/>
        </w:rPr>
        <w:t>Must be awarded as part of a meaningful presentation, and</w:t>
      </w:r>
    </w:p>
    <w:p w14:paraId="5946447C" w14:textId="25DE1208" w:rsidR="00C81DE2" w:rsidRPr="00C81DE2" w:rsidRDefault="00C81DE2" w:rsidP="00C81DE2">
      <w:pPr>
        <w:pStyle w:val="ListParagraph"/>
        <w:numPr>
          <w:ilvl w:val="0"/>
          <w:numId w:val="28"/>
        </w:numPr>
        <w:rPr>
          <w:sz w:val="22"/>
        </w:rPr>
      </w:pPr>
      <w:r w:rsidRPr="00C81DE2">
        <w:rPr>
          <w:sz w:val="22"/>
        </w:rPr>
        <w:t xml:space="preserve">Cannot be disguised wages, or made under conditions and circumstances that create a significant likelihood that it is disguised wages. </w:t>
      </w:r>
    </w:p>
    <w:p w14:paraId="77BE2B0D" w14:textId="77777777" w:rsidR="00C81DE2" w:rsidRPr="00C81DE2" w:rsidRDefault="00C81DE2" w:rsidP="00C81DE2">
      <w:pPr>
        <w:rPr>
          <w:sz w:val="22"/>
        </w:rPr>
      </w:pPr>
      <w:r w:rsidRPr="00C81DE2">
        <w:rPr>
          <w:sz w:val="22"/>
        </w:rPr>
        <w:t xml:space="preserve"> </w:t>
      </w:r>
    </w:p>
    <w:p w14:paraId="6B4C87E7" w14:textId="77777777" w:rsidR="00C81DE2" w:rsidRDefault="00C81DE2" w:rsidP="00C81DE2">
      <w:pPr>
        <w:rPr>
          <w:sz w:val="22"/>
        </w:rPr>
      </w:pPr>
      <w:r w:rsidRPr="00C81DE2">
        <w:rPr>
          <w:sz w:val="22"/>
        </w:rPr>
        <w:t xml:space="preserve">The amount of an award that is excludable depends on whether it is considered qualified. </w:t>
      </w:r>
      <w:r>
        <w:rPr>
          <w:sz w:val="22"/>
        </w:rPr>
        <w:t xml:space="preserve"> </w:t>
      </w:r>
      <w:r w:rsidRPr="00C81DE2">
        <w:rPr>
          <w:sz w:val="22"/>
        </w:rPr>
        <w:t>A plan is a qualified plan award if it meets the tests below:</w:t>
      </w:r>
    </w:p>
    <w:p w14:paraId="24C9EC3C" w14:textId="77777777" w:rsidR="00C81DE2" w:rsidRPr="00C81DE2" w:rsidRDefault="00C81DE2" w:rsidP="00C81DE2">
      <w:pPr>
        <w:pStyle w:val="ListParagraph"/>
        <w:numPr>
          <w:ilvl w:val="0"/>
          <w:numId w:val="29"/>
        </w:numPr>
        <w:rPr>
          <w:sz w:val="22"/>
        </w:rPr>
      </w:pPr>
      <w:r w:rsidRPr="00C81DE2">
        <w:rPr>
          <w:sz w:val="22"/>
        </w:rPr>
        <w:t>The award is made under an established written plan, and</w:t>
      </w:r>
    </w:p>
    <w:p w14:paraId="4635EAF1" w14:textId="77777777" w:rsidR="00C81DE2" w:rsidRPr="00C81DE2" w:rsidRDefault="00C81DE2" w:rsidP="00C81DE2">
      <w:pPr>
        <w:pStyle w:val="ListParagraph"/>
        <w:numPr>
          <w:ilvl w:val="0"/>
          <w:numId w:val="29"/>
        </w:numPr>
        <w:rPr>
          <w:sz w:val="22"/>
        </w:rPr>
      </w:pPr>
      <w:r w:rsidRPr="00C81DE2">
        <w:rPr>
          <w:sz w:val="22"/>
        </w:rPr>
        <w:t>The plan does not discriminate in favor of highly compensated employees</w:t>
      </w:r>
    </w:p>
    <w:p w14:paraId="74DC2FE8" w14:textId="77929B49" w:rsidR="00B514AA" w:rsidRPr="00C81DE2" w:rsidRDefault="00C81DE2" w:rsidP="00C81DE2">
      <w:pPr>
        <w:pStyle w:val="ListParagraph"/>
        <w:numPr>
          <w:ilvl w:val="0"/>
          <w:numId w:val="29"/>
        </w:numPr>
        <w:rPr>
          <w:sz w:val="22"/>
        </w:rPr>
      </w:pPr>
      <w:r w:rsidRPr="00C81DE2">
        <w:rPr>
          <w:sz w:val="22"/>
        </w:rPr>
        <w:t>The average cost of all employee achievement awards (both qualified and nonqualified awards for length of service) made by the employer during a single year does not exceed $400.</w:t>
      </w:r>
    </w:p>
    <w:p w14:paraId="09B42C92" w14:textId="5C43C114" w:rsidR="00677904" w:rsidRPr="00842159" w:rsidRDefault="00677904"/>
    <w:p w14:paraId="2E52F236" w14:textId="77777777" w:rsidR="00E1199B" w:rsidRPr="00842159" w:rsidRDefault="00E1199B"/>
    <w:p w14:paraId="329E53DB" w14:textId="3B5448CC" w:rsidR="00663236" w:rsidRDefault="00663236" w:rsidP="00663236">
      <w:pPr>
        <w:pStyle w:val="Heading1"/>
      </w:pPr>
      <w:r>
        <w:t>Worker’s Compensation Insurance</w:t>
      </w:r>
    </w:p>
    <w:p w14:paraId="7F03D970" w14:textId="5160139E" w:rsidR="00663236" w:rsidRDefault="00663236" w:rsidP="00663236">
      <w:pPr>
        <w:rPr>
          <w:sz w:val="22"/>
        </w:rPr>
      </w:pPr>
      <w:r>
        <w:rPr>
          <w:sz w:val="22"/>
        </w:rPr>
        <w:t>All employees are covered for work related medical expenses incurred as a result of on-the-job illness and/or injury as provided by state law.</w:t>
      </w:r>
    </w:p>
    <w:p w14:paraId="581EEEAE" w14:textId="77777777" w:rsidR="00663236" w:rsidRPr="00663236" w:rsidRDefault="00663236" w:rsidP="003A30AE">
      <w:pPr>
        <w:pStyle w:val="Heading1"/>
        <w:rPr>
          <w:b w:val="0"/>
          <w:i w:val="0"/>
        </w:rPr>
      </w:pPr>
    </w:p>
    <w:p w14:paraId="5AE932A8" w14:textId="77777777" w:rsidR="00663236" w:rsidRPr="00663236" w:rsidRDefault="00663236" w:rsidP="003A30AE">
      <w:pPr>
        <w:pStyle w:val="Heading1"/>
        <w:rPr>
          <w:b w:val="0"/>
          <w:i w:val="0"/>
        </w:rPr>
      </w:pPr>
    </w:p>
    <w:p w14:paraId="0438E057" w14:textId="77777777" w:rsidR="007267DD" w:rsidRDefault="007267DD" w:rsidP="007267DD">
      <w:pPr>
        <w:pStyle w:val="Heading1"/>
      </w:pPr>
      <w:r>
        <w:t>Flexible Spending Accounts (FSA) and Dependent Care Options</w:t>
      </w:r>
    </w:p>
    <w:p w14:paraId="24ADE65A" w14:textId="77777777" w:rsidR="007267DD" w:rsidRDefault="007267DD" w:rsidP="007267DD">
      <w:pPr>
        <w:rPr>
          <w:sz w:val="22"/>
        </w:rPr>
      </w:pPr>
      <w:r>
        <w:rPr>
          <w:sz w:val="22"/>
        </w:rPr>
        <w:t>Potential Authorized Future Benefit – Program not offered at this time.</w:t>
      </w:r>
    </w:p>
    <w:p w14:paraId="304B8A75" w14:textId="77777777" w:rsidR="007267DD" w:rsidRPr="007267DD" w:rsidRDefault="007267DD" w:rsidP="003A30AE">
      <w:pPr>
        <w:pStyle w:val="Heading1"/>
        <w:rPr>
          <w:b w:val="0"/>
          <w:i w:val="0"/>
        </w:rPr>
      </w:pPr>
    </w:p>
    <w:p w14:paraId="1C62A6D8" w14:textId="77777777" w:rsidR="007267DD" w:rsidRPr="007267DD" w:rsidRDefault="007267DD" w:rsidP="003A30AE">
      <w:pPr>
        <w:pStyle w:val="Heading1"/>
        <w:rPr>
          <w:b w:val="0"/>
          <w:i w:val="0"/>
        </w:rPr>
      </w:pPr>
    </w:p>
    <w:p w14:paraId="0763E003" w14:textId="5D0B7A60" w:rsidR="003A30AE" w:rsidRDefault="003A30AE" w:rsidP="003A30AE">
      <w:pPr>
        <w:pStyle w:val="Heading1"/>
      </w:pPr>
      <w:r>
        <w:t>Employee Assistance Program (EAP)</w:t>
      </w:r>
    </w:p>
    <w:p w14:paraId="1D959567" w14:textId="628A5856" w:rsidR="003A30AE" w:rsidRDefault="003A30AE" w:rsidP="003A30AE">
      <w:pPr>
        <w:rPr>
          <w:sz w:val="22"/>
        </w:rPr>
      </w:pPr>
      <w:r>
        <w:rPr>
          <w:sz w:val="22"/>
        </w:rPr>
        <w:t xml:space="preserve">Potential </w:t>
      </w:r>
      <w:r w:rsidR="00075999">
        <w:rPr>
          <w:sz w:val="22"/>
        </w:rPr>
        <w:t xml:space="preserve">Authorized </w:t>
      </w:r>
      <w:r>
        <w:rPr>
          <w:sz w:val="22"/>
        </w:rPr>
        <w:t>Future Benefit – Program not offered at this time</w:t>
      </w:r>
      <w:r w:rsidR="00E34392">
        <w:rPr>
          <w:sz w:val="22"/>
        </w:rPr>
        <w:t>.</w:t>
      </w:r>
    </w:p>
    <w:p w14:paraId="0E9160BF" w14:textId="77777777" w:rsidR="003A30AE" w:rsidRPr="007267DD" w:rsidRDefault="003A30AE" w:rsidP="003A30AE">
      <w:pPr>
        <w:pStyle w:val="BodyText"/>
      </w:pPr>
    </w:p>
    <w:p w14:paraId="54C6C001" w14:textId="77777777" w:rsidR="003A30AE" w:rsidRPr="007267DD" w:rsidRDefault="003A30AE" w:rsidP="003A30AE">
      <w:pPr>
        <w:pStyle w:val="Heading1"/>
        <w:rPr>
          <w:b w:val="0"/>
          <w:i w:val="0"/>
        </w:rPr>
      </w:pPr>
    </w:p>
    <w:p w14:paraId="396FA4CA" w14:textId="3334EF95" w:rsidR="003A30AE" w:rsidRDefault="003A30AE" w:rsidP="003A30AE">
      <w:pPr>
        <w:pStyle w:val="Heading1"/>
      </w:pPr>
      <w:r>
        <w:t>Tuition Reimbursement Program</w:t>
      </w:r>
    </w:p>
    <w:p w14:paraId="0B11B9D2" w14:textId="3186B094" w:rsidR="003A30AE" w:rsidRDefault="003A30AE" w:rsidP="003A30AE">
      <w:pPr>
        <w:rPr>
          <w:sz w:val="22"/>
        </w:rPr>
      </w:pPr>
      <w:r>
        <w:rPr>
          <w:sz w:val="22"/>
        </w:rPr>
        <w:t xml:space="preserve">Potential </w:t>
      </w:r>
      <w:r w:rsidR="00075999">
        <w:rPr>
          <w:sz w:val="22"/>
        </w:rPr>
        <w:t xml:space="preserve">Authorized </w:t>
      </w:r>
      <w:r>
        <w:rPr>
          <w:sz w:val="22"/>
        </w:rPr>
        <w:t>Future Benefit – Program not offered at this time</w:t>
      </w:r>
      <w:r w:rsidR="00E34392">
        <w:rPr>
          <w:sz w:val="22"/>
        </w:rPr>
        <w:t>.</w:t>
      </w:r>
    </w:p>
    <w:p w14:paraId="7A392812" w14:textId="601E8F9D" w:rsidR="003A30AE" w:rsidRDefault="003A30AE" w:rsidP="003A30AE"/>
    <w:p w14:paraId="0F786B2E" w14:textId="3C82DAC9" w:rsidR="00677904" w:rsidRDefault="00677904" w:rsidP="003A30AE"/>
    <w:p w14:paraId="031012F6" w14:textId="77777777" w:rsidR="007267DD" w:rsidRDefault="007267DD" w:rsidP="003A30AE"/>
    <w:p w14:paraId="62FBC538" w14:textId="02ADE399" w:rsidR="00EA38C4" w:rsidRDefault="00EA38C4">
      <w:pPr>
        <w:keepLines/>
        <w:rPr>
          <w:b/>
          <w:sz w:val="22"/>
        </w:rPr>
      </w:pPr>
      <w:r>
        <w:rPr>
          <w:b/>
          <w:sz w:val="24"/>
        </w:rPr>
        <w:t>*</w:t>
      </w:r>
      <w:r w:rsidR="001C30BD">
        <w:rPr>
          <w:b/>
          <w:color w:val="000000"/>
          <w:sz w:val="24"/>
        </w:rPr>
        <w:t>NOTE</w:t>
      </w:r>
      <w:r w:rsidRPr="00C8642A">
        <w:rPr>
          <w:b/>
          <w:color w:val="000000"/>
          <w:sz w:val="24"/>
        </w:rPr>
        <w:t>:</w:t>
      </w:r>
      <w:r w:rsidRPr="00C8642A">
        <w:rPr>
          <w:color w:val="000000"/>
          <w:sz w:val="22"/>
        </w:rPr>
        <w:t xml:space="preserve">  </w:t>
      </w:r>
      <w:r w:rsidR="001C30BD">
        <w:rPr>
          <w:b/>
          <w:color w:val="000000"/>
          <w:sz w:val="22"/>
        </w:rPr>
        <w:t>This</w:t>
      </w:r>
      <w:r>
        <w:rPr>
          <w:b/>
          <w:sz w:val="22"/>
        </w:rPr>
        <w:t xml:space="preserve"> summary </w:t>
      </w:r>
      <w:r w:rsidR="001C30BD">
        <w:rPr>
          <w:b/>
          <w:sz w:val="22"/>
        </w:rPr>
        <w:t xml:space="preserve">is a general description </w:t>
      </w:r>
      <w:r>
        <w:rPr>
          <w:b/>
          <w:sz w:val="22"/>
        </w:rPr>
        <w:t xml:space="preserve">of </w:t>
      </w:r>
      <w:r w:rsidR="00D66195">
        <w:rPr>
          <w:b/>
          <w:sz w:val="22"/>
        </w:rPr>
        <w:t xml:space="preserve">employee </w:t>
      </w:r>
      <w:r>
        <w:rPr>
          <w:b/>
          <w:sz w:val="22"/>
        </w:rPr>
        <w:t xml:space="preserve">benefits </w:t>
      </w:r>
      <w:r w:rsidR="001C30BD">
        <w:rPr>
          <w:b/>
          <w:sz w:val="22"/>
        </w:rPr>
        <w:t xml:space="preserve">offered by </w:t>
      </w:r>
      <w:r w:rsidR="00CC2035">
        <w:rPr>
          <w:b/>
          <w:sz w:val="22"/>
        </w:rPr>
        <w:t>KyMEA</w:t>
      </w:r>
      <w:r w:rsidR="001C30BD">
        <w:rPr>
          <w:b/>
          <w:sz w:val="22"/>
        </w:rPr>
        <w:t xml:space="preserve"> </w:t>
      </w:r>
      <w:r>
        <w:rPr>
          <w:b/>
          <w:sz w:val="22"/>
        </w:rPr>
        <w:t xml:space="preserve">as of </w:t>
      </w:r>
      <w:r w:rsidR="00CC2035">
        <w:rPr>
          <w:b/>
          <w:sz w:val="22"/>
        </w:rPr>
        <w:t>April</w:t>
      </w:r>
      <w:r w:rsidR="00EA5343">
        <w:rPr>
          <w:b/>
          <w:sz w:val="22"/>
        </w:rPr>
        <w:t xml:space="preserve"> 1, </w:t>
      </w:r>
      <w:r w:rsidR="008266ED">
        <w:rPr>
          <w:b/>
          <w:sz w:val="22"/>
        </w:rPr>
        <w:t>20</w:t>
      </w:r>
      <w:r w:rsidR="00265E39">
        <w:rPr>
          <w:b/>
          <w:sz w:val="22"/>
        </w:rPr>
        <w:t>1</w:t>
      </w:r>
      <w:r w:rsidR="00CC2035">
        <w:rPr>
          <w:b/>
          <w:sz w:val="22"/>
        </w:rPr>
        <w:t>8</w:t>
      </w:r>
      <w:r>
        <w:rPr>
          <w:b/>
          <w:sz w:val="22"/>
        </w:rPr>
        <w:t xml:space="preserve">.  </w:t>
      </w:r>
      <w:r w:rsidR="001C30BD">
        <w:rPr>
          <w:b/>
          <w:sz w:val="22"/>
        </w:rPr>
        <w:t xml:space="preserve">This description is expressly subject to </w:t>
      </w:r>
      <w:r>
        <w:rPr>
          <w:b/>
          <w:sz w:val="22"/>
        </w:rPr>
        <w:t xml:space="preserve">the </w:t>
      </w:r>
      <w:r w:rsidR="001C30BD">
        <w:rPr>
          <w:b/>
          <w:sz w:val="22"/>
        </w:rPr>
        <w:t xml:space="preserve">specific terms of each benefit as contained in the applicable benefit contract, plan document or </w:t>
      </w:r>
      <w:r w:rsidR="00CC2035">
        <w:rPr>
          <w:b/>
          <w:sz w:val="22"/>
        </w:rPr>
        <w:t>Kentucky Municipal Energy Agency</w:t>
      </w:r>
      <w:r w:rsidR="001C30BD">
        <w:rPr>
          <w:b/>
          <w:sz w:val="22"/>
        </w:rPr>
        <w:t xml:space="preserve"> board policy.  </w:t>
      </w:r>
      <w:r>
        <w:rPr>
          <w:b/>
          <w:sz w:val="22"/>
        </w:rPr>
        <w:t xml:space="preserve">All </w:t>
      </w:r>
      <w:r w:rsidR="00D66195">
        <w:rPr>
          <w:b/>
          <w:sz w:val="22"/>
        </w:rPr>
        <w:t xml:space="preserve">employee </w:t>
      </w:r>
      <w:r>
        <w:rPr>
          <w:b/>
          <w:sz w:val="22"/>
        </w:rPr>
        <w:t>benefits are subject to change and/or eliminat</w:t>
      </w:r>
      <w:r w:rsidR="001C30BD">
        <w:rPr>
          <w:b/>
          <w:sz w:val="22"/>
        </w:rPr>
        <w:t>ion</w:t>
      </w:r>
      <w:r>
        <w:rPr>
          <w:b/>
          <w:sz w:val="22"/>
        </w:rPr>
        <w:t xml:space="preserve"> at any time by </w:t>
      </w:r>
      <w:r w:rsidR="001C30BD">
        <w:rPr>
          <w:b/>
          <w:sz w:val="22"/>
        </w:rPr>
        <w:t xml:space="preserve">operation </w:t>
      </w:r>
      <w:r>
        <w:rPr>
          <w:b/>
          <w:sz w:val="22"/>
        </w:rPr>
        <w:t xml:space="preserve">of Federal or State laws or regulations, </w:t>
      </w:r>
      <w:r w:rsidR="001C30BD">
        <w:rPr>
          <w:b/>
          <w:sz w:val="22"/>
        </w:rPr>
        <w:t xml:space="preserve">action of the </w:t>
      </w:r>
      <w:r w:rsidR="00CC2035">
        <w:rPr>
          <w:b/>
          <w:sz w:val="22"/>
        </w:rPr>
        <w:t xml:space="preserve">Kentucky Municipal Energy Agency </w:t>
      </w:r>
      <w:r>
        <w:rPr>
          <w:b/>
          <w:sz w:val="22"/>
        </w:rPr>
        <w:t xml:space="preserve">board, or change </w:t>
      </w:r>
      <w:r w:rsidR="001C30BD">
        <w:rPr>
          <w:b/>
          <w:sz w:val="22"/>
        </w:rPr>
        <w:t xml:space="preserve">in the </w:t>
      </w:r>
      <w:r>
        <w:rPr>
          <w:b/>
          <w:sz w:val="22"/>
        </w:rPr>
        <w:t>third part</w:t>
      </w:r>
      <w:r w:rsidR="001C30BD">
        <w:rPr>
          <w:b/>
          <w:sz w:val="22"/>
        </w:rPr>
        <w:t>y</w:t>
      </w:r>
      <w:r>
        <w:rPr>
          <w:b/>
          <w:sz w:val="22"/>
        </w:rPr>
        <w:t xml:space="preserve"> contracted with to provide </w:t>
      </w:r>
      <w:r w:rsidR="001C30BD">
        <w:rPr>
          <w:b/>
          <w:sz w:val="22"/>
        </w:rPr>
        <w:t xml:space="preserve">a particular </w:t>
      </w:r>
      <w:r w:rsidR="00D66195">
        <w:rPr>
          <w:b/>
          <w:sz w:val="22"/>
        </w:rPr>
        <w:t xml:space="preserve">employee </w:t>
      </w:r>
      <w:r>
        <w:rPr>
          <w:b/>
          <w:sz w:val="22"/>
        </w:rPr>
        <w:t xml:space="preserve">benefit </w:t>
      </w:r>
      <w:r w:rsidR="001C30BD">
        <w:rPr>
          <w:b/>
          <w:sz w:val="22"/>
        </w:rPr>
        <w:t>or in the benefit contract offered by a particular provider.</w:t>
      </w:r>
      <w:r>
        <w:rPr>
          <w:b/>
          <w:sz w:val="22"/>
        </w:rPr>
        <w:t xml:space="preserve">  Listing of the above </w:t>
      </w:r>
      <w:r w:rsidR="00D66195">
        <w:rPr>
          <w:b/>
          <w:sz w:val="22"/>
        </w:rPr>
        <w:t xml:space="preserve">employee </w:t>
      </w:r>
      <w:r>
        <w:rPr>
          <w:b/>
          <w:sz w:val="22"/>
        </w:rPr>
        <w:t xml:space="preserve">benefits in no way obligates </w:t>
      </w:r>
      <w:r w:rsidR="00CC2035">
        <w:rPr>
          <w:b/>
          <w:sz w:val="22"/>
        </w:rPr>
        <w:t>Kentucky Municipal Energy Agency</w:t>
      </w:r>
      <w:r>
        <w:rPr>
          <w:b/>
          <w:sz w:val="22"/>
        </w:rPr>
        <w:t xml:space="preserve"> to continue</w:t>
      </w:r>
      <w:r w:rsidR="001C30BD">
        <w:rPr>
          <w:b/>
          <w:sz w:val="22"/>
        </w:rPr>
        <w:t xml:space="preserve"> providing</w:t>
      </w:r>
      <w:r>
        <w:rPr>
          <w:b/>
          <w:sz w:val="22"/>
        </w:rPr>
        <w:t xml:space="preserve">, in whole or part, any </w:t>
      </w:r>
      <w:r w:rsidR="001C30BD">
        <w:rPr>
          <w:b/>
          <w:sz w:val="22"/>
        </w:rPr>
        <w:t xml:space="preserve">particular </w:t>
      </w:r>
      <w:r w:rsidR="00D66195">
        <w:rPr>
          <w:b/>
          <w:sz w:val="22"/>
        </w:rPr>
        <w:t xml:space="preserve">employee </w:t>
      </w:r>
      <w:r>
        <w:rPr>
          <w:b/>
          <w:sz w:val="22"/>
        </w:rPr>
        <w:t>benefit in the future.</w:t>
      </w:r>
    </w:p>
    <w:sectPr w:rsidR="00EA38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4CE3C" w14:textId="77777777" w:rsidR="007E576B" w:rsidRDefault="007E576B">
      <w:r>
        <w:separator/>
      </w:r>
    </w:p>
  </w:endnote>
  <w:endnote w:type="continuationSeparator" w:id="0">
    <w:p w14:paraId="5FB3A5DA" w14:textId="77777777" w:rsidR="007E576B" w:rsidRDefault="007E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A6106" w14:textId="77777777" w:rsidR="00564938" w:rsidRDefault="005649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8BDEA" w14:textId="700C503B" w:rsidR="007C0F59" w:rsidRPr="00F156BB" w:rsidRDefault="009E4635" w:rsidP="00F156BB">
    <w:pPr>
      <w:pStyle w:val="Footer"/>
      <w:jc w:val="center"/>
      <w:rPr>
        <w:color w:val="808080"/>
        <w:sz w:val="18"/>
        <w:szCs w:val="18"/>
      </w:rPr>
    </w:pPr>
    <w:r>
      <w:rPr>
        <w:color w:val="808080"/>
        <w:sz w:val="18"/>
        <w:szCs w:val="18"/>
      </w:rPr>
      <w:t>Kentucky Municipal Energy Agency</w:t>
    </w:r>
    <w:r w:rsidR="007C0F59">
      <w:rPr>
        <w:color w:val="808080"/>
        <w:sz w:val="18"/>
        <w:szCs w:val="18"/>
      </w:rPr>
      <w:t xml:space="preserve">                                                                                                                </w:t>
    </w:r>
    <w:r>
      <w:rPr>
        <w:color w:val="808080"/>
        <w:sz w:val="18"/>
        <w:szCs w:val="18"/>
      </w:rPr>
      <w:t>04</w:t>
    </w:r>
    <w:r w:rsidR="007C0F59">
      <w:rPr>
        <w:color w:val="808080"/>
        <w:sz w:val="18"/>
        <w:szCs w:val="18"/>
      </w:rPr>
      <w:t>/01/20</w:t>
    </w:r>
    <w:r w:rsidR="009E094B">
      <w:rPr>
        <w:color w:val="808080"/>
        <w:sz w:val="18"/>
        <w:szCs w:val="18"/>
      </w:rPr>
      <w:t>1</w:t>
    </w:r>
    <w:r>
      <w:rPr>
        <w:color w:val="808080"/>
        <w:sz w:val="18"/>
        <w:szCs w:val="18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59D48" w14:textId="77777777" w:rsidR="00564938" w:rsidRDefault="00564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4C1EE" w14:textId="77777777" w:rsidR="007E576B" w:rsidRDefault="007E576B">
      <w:r>
        <w:separator/>
      </w:r>
    </w:p>
  </w:footnote>
  <w:footnote w:type="continuationSeparator" w:id="0">
    <w:p w14:paraId="60BEAD30" w14:textId="77777777" w:rsidR="007E576B" w:rsidRDefault="007E5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2B498" w14:textId="7D723CA7" w:rsidR="00564938" w:rsidRDefault="007E576B">
    <w:pPr>
      <w:pStyle w:val="Header"/>
    </w:pPr>
    <w:r>
      <w:rPr>
        <w:noProof/>
      </w:rPr>
      <w:pict w14:anchorId="5BF267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850751" o:spid="_x0000_s2050" type="#_x0000_t136" style="position:absolute;margin-left:0;margin-top:0;width:574.2pt;height:34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- Subject to Board Approv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0A6EC" w14:textId="73694900" w:rsidR="00564938" w:rsidRDefault="007E576B">
    <w:pPr>
      <w:pStyle w:val="Header"/>
    </w:pPr>
    <w:r>
      <w:rPr>
        <w:noProof/>
      </w:rPr>
      <w:pict w14:anchorId="52DC95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850752" o:spid="_x0000_s2051" type="#_x0000_t136" style="position:absolute;margin-left:0;margin-top:0;width:574.2pt;height:34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- Subject to Board Approv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19DAB" w14:textId="5B943A8E" w:rsidR="00564938" w:rsidRDefault="007E576B">
    <w:pPr>
      <w:pStyle w:val="Header"/>
    </w:pPr>
    <w:r>
      <w:rPr>
        <w:noProof/>
      </w:rPr>
      <w:pict w14:anchorId="4FBE88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850750" o:spid="_x0000_s2049" type="#_x0000_t136" style="position:absolute;margin-left:0;margin-top:0;width:574.2pt;height:34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- Subject to Board Approv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0026"/>
    <w:multiLevelType w:val="hybridMultilevel"/>
    <w:tmpl w:val="BF1646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C54C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DA30C6"/>
    <w:multiLevelType w:val="hybridMultilevel"/>
    <w:tmpl w:val="BFC6898A"/>
    <w:lvl w:ilvl="0" w:tplc="F30EE22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71393"/>
    <w:multiLevelType w:val="hybridMultilevel"/>
    <w:tmpl w:val="32346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C0705"/>
    <w:multiLevelType w:val="hybridMultilevel"/>
    <w:tmpl w:val="08C00360"/>
    <w:lvl w:ilvl="0" w:tplc="04408A6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A0F32"/>
    <w:multiLevelType w:val="hybridMultilevel"/>
    <w:tmpl w:val="3110B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A3AF5"/>
    <w:multiLevelType w:val="hybridMultilevel"/>
    <w:tmpl w:val="FEF6D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B426A"/>
    <w:multiLevelType w:val="hybridMultilevel"/>
    <w:tmpl w:val="473E7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77F85"/>
    <w:multiLevelType w:val="hybridMultilevel"/>
    <w:tmpl w:val="A78ACB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11244A"/>
    <w:multiLevelType w:val="hybridMultilevel"/>
    <w:tmpl w:val="D610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D4F7C"/>
    <w:multiLevelType w:val="hybridMultilevel"/>
    <w:tmpl w:val="24EA7236"/>
    <w:lvl w:ilvl="0" w:tplc="BAC6F29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A72E0"/>
    <w:multiLevelType w:val="hybridMultilevel"/>
    <w:tmpl w:val="15CED7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579FD"/>
    <w:multiLevelType w:val="singleLevel"/>
    <w:tmpl w:val="40EC2A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3CAC4F2C"/>
    <w:multiLevelType w:val="hybridMultilevel"/>
    <w:tmpl w:val="025E3D8A"/>
    <w:lvl w:ilvl="0" w:tplc="F30EE224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7F5D30"/>
    <w:multiLevelType w:val="singleLevel"/>
    <w:tmpl w:val="04090015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41B33CE8"/>
    <w:multiLevelType w:val="singleLevel"/>
    <w:tmpl w:val="04090015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16" w15:restartNumberingAfterBreak="0">
    <w:nsid w:val="42F32632"/>
    <w:multiLevelType w:val="hybridMultilevel"/>
    <w:tmpl w:val="F0CEB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563A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5494FA5"/>
    <w:multiLevelType w:val="hybridMultilevel"/>
    <w:tmpl w:val="8B00F4E8"/>
    <w:lvl w:ilvl="0" w:tplc="E8AA59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F1FD4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D7372E9"/>
    <w:multiLevelType w:val="hybridMultilevel"/>
    <w:tmpl w:val="251276E6"/>
    <w:lvl w:ilvl="0" w:tplc="4538C7D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B4583"/>
    <w:multiLevelType w:val="hybridMultilevel"/>
    <w:tmpl w:val="D3D2A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51E88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6CB4BA8"/>
    <w:multiLevelType w:val="singleLevel"/>
    <w:tmpl w:val="7020E4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</w:abstractNum>
  <w:abstractNum w:abstractNumId="24" w15:restartNumberingAfterBreak="0">
    <w:nsid w:val="6CA71E50"/>
    <w:multiLevelType w:val="hybridMultilevel"/>
    <w:tmpl w:val="4A60D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A67F0"/>
    <w:multiLevelType w:val="hybridMultilevel"/>
    <w:tmpl w:val="475E3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56C67"/>
    <w:multiLevelType w:val="hybridMultilevel"/>
    <w:tmpl w:val="15162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62044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9C55B48"/>
    <w:multiLevelType w:val="hybridMultilevel"/>
    <w:tmpl w:val="5FAE0570"/>
    <w:lvl w:ilvl="0" w:tplc="DF0A053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9"/>
  </w:num>
  <w:num w:numId="4">
    <w:abstractNumId w:val="17"/>
  </w:num>
  <w:num w:numId="5">
    <w:abstractNumId w:val="22"/>
  </w:num>
  <w:num w:numId="6">
    <w:abstractNumId w:val="1"/>
  </w:num>
  <w:num w:numId="7">
    <w:abstractNumId w:val="12"/>
  </w:num>
  <w:num w:numId="8">
    <w:abstractNumId w:val="23"/>
  </w:num>
  <w:num w:numId="9">
    <w:abstractNumId w:val="27"/>
  </w:num>
  <w:num w:numId="10">
    <w:abstractNumId w:val="16"/>
  </w:num>
  <w:num w:numId="11">
    <w:abstractNumId w:val="11"/>
  </w:num>
  <w:num w:numId="12">
    <w:abstractNumId w:val="4"/>
  </w:num>
  <w:num w:numId="13">
    <w:abstractNumId w:val="6"/>
  </w:num>
  <w:num w:numId="14">
    <w:abstractNumId w:val="9"/>
  </w:num>
  <w:num w:numId="15">
    <w:abstractNumId w:val="18"/>
  </w:num>
  <w:num w:numId="16">
    <w:abstractNumId w:val="10"/>
  </w:num>
  <w:num w:numId="17">
    <w:abstractNumId w:val="28"/>
  </w:num>
  <w:num w:numId="18">
    <w:abstractNumId w:val="20"/>
  </w:num>
  <w:num w:numId="19">
    <w:abstractNumId w:val="26"/>
  </w:num>
  <w:num w:numId="20">
    <w:abstractNumId w:val="24"/>
  </w:num>
  <w:num w:numId="21">
    <w:abstractNumId w:val="25"/>
  </w:num>
  <w:num w:numId="22">
    <w:abstractNumId w:val="5"/>
  </w:num>
  <w:num w:numId="23">
    <w:abstractNumId w:val="2"/>
  </w:num>
  <w:num w:numId="24">
    <w:abstractNumId w:val="0"/>
  </w:num>
  <w:num w:numId="25">
    <w:abstractNumId w:val="13"/>
  </w:num>
  <w:num w:numId="26">
    <w:abstractNumId w:val="8"/>
  </w:num>
  <w:num w:numId="27">
    <w:abstractNumId w:val="3"/>
  </w:num>
  <w:num w:numId="28">
    <w:abstractNumId w:val="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10F"/>
    <w:rsid w:val="0000006E"/>
    <w:rsid w:val="00010F1E"/>
    <w:rsid w:val="00017612"/>
    <w:rsid w:val="0005798B"/>
    <w:rsid w:val="00075999"/>
    <w:rsid w:val="00080AA9"/>
    <w:rsid w:val="000D6158"/>
    <w:rsid w:val="000D7794"/>
    <w:rsid w:val="000F2604"/>
    <w:rsid w:val="000F5D90"/>
    <w:rsid w:val="001002CF"/>
    <w:rsid w:val="00110456"/>
    <w:rsid w:val="0011451F"/>
    <w:rsid w:val="00120CA7"/>
    <w:rsid w:val="00146A5E"/>
    <w:rsid w:val="001633F0"/>
    <w:rsid w:val="00177630"/>
    <w:rsid w:val="00186B98"/>
    <w:rsid w:val="00190116"/>
    <w:rsid w:val="00190CFD"/>
    <w:rsid w:val="001C30BD"/>
    <w:rsid w:val="001D4203"/>
    <w:rsid w:val="00211381"/>
    <w:rsid w:val="00223FC1"/>
    <w:rsid w:val="0022517C"/>
    <w:rsid w:val="00232404"/>
    <w:rsid w:val="00265E39"/>
    <w:rsid w:val="002957CF"/>
    <w:rsid w:val="002B5C57"/>
    <w:rsid w:val="002B7866"/>
    <w:rsid w:val="002D08A0"/>
    <w:rsid w:val="002F4475"/>
    <w:rsid w:val="00312EEC"/>
    <w:rsid w:val="00330A47"/>
    <w:rsid w:val="00334205"/>
    <w:rsid w:val="0036759C"/>
    <w:rsid w:val="003871D3"/>
    <w:rsid w:val="003A30AE"/>
    <w:rsid w:val="003C3004"/>
    <w:rsid w:val="003E494C"/>
    <w:rsid w:val="003F0D95"/>
    <w:rsid w:val="00405307"/>
    <w:rsid w:val="004152F9"/>
    <w:rsid w:val="00425465"/>
    <w:rsid w:val="00430EE4"/>
    <w:rsid w:val="00487F79"/>
    <w:rsid w:val="004A4EE0"/>
    <w:rsid w:val="004D0EBA"/>
    <w:rsid w:val="004E48D8"/>
    <w:rsid w:val="00504EF8"/>
    <w:rsid w:val="005068CC"/>
    <w:rsid w:val="005210BB"/>
    <w:rsid w:val="00524F9B"/>
    <w:rsid w:val="00564938"/>
    <w:rsid w:val="00571851"/>
    <w:rsid w:val="00597C63"/>
    <w:rsid w:val="005B636C"/>
    <w:rsid w:val="005F4708"/>
    <w:rsid w:val="00600F85"/>
    <w:rsid w:val="0060686A"/>
    <w:rsid w:val="00607D69"/>
    <w:rsid w:val="006165AB"/>
    <w:rsid w:val="00621D92"/>
    <w:rsid w:val="00634D35"/>
    <w:rsid w:val="00663236"/>
    <w:rsid w:val="0066446D"/>
    <w:rsid w:val="00677904"/>
    <w:rsid w:val="006826FD"/>
    <w:rsid w:val="006A5063"/>
    <w:rsid w:val="006A66F0"/>
    <w:rsid w:val="006C20BF"/>
    <w:rsid w:val="006E2F94"/>
    <w:rsid w:val="006E713D"/>
    <w:rsid w:val="00714507"/>
    <w:rsid w:val="007267DD"/>
    <w:rsid w:val="00733C3A"/>
    <w:rsid w:val="0073610F"/>
    <w:rsid w:val="00746752"/>
    <w:rsid w:val="00755CF8"/>
    <w:rsid w:val="00794E9A"/>
    <w:rsid w:val="00795BFE"/>
    <w:rsid w:val="007979D7"/>
    <w:rsid w:val="007B12BD"/>
    <w:rsid w:val="007C0F59"/>
    <w:rsid w:val="007C785D"/>
    <w:rsid w:val="007E4A96"/>
    <w:rsid w:val="007E576B"/>
    <w:rsid w:val="008047C1"/>
    <w:rsid w:val="008266ED"/>
    <w:rsid w:val="00831580"/>
    <w:rsid w:val="00842159"/>
    <w:rsid w:val="00874F41"/>
    <w:rsid w:val="008B48B5"/>
    <w:rsid w:val="008C38EE"/>
    <w:rsid w:val="008D0B1E"/>
    <w:rsid w:val="008F16F9"/>
    <w:rsid w:val="008F1E87"/>
    <w:rsid w:val="009345A0"/>
    <w:rsid w:val="00935075"/>
    <w:rsid w:val="00945941"/>
    <w:rsid w:val="009B1540"/>
    <w:rsid w:val="009B2513"/>
    <w:rsid w:val="009B2816"/>
    <w:rsid w:val="009B2FDA"/>
    <w:rsid w:val="009C0A7C"/>
    <w:rsid w:val="009C5186"/>
    <w:rsid w:val="009D1CD7"/>
    <w:rsid w:val="009E094B"/>
    <w:rsid w:val="009E4635"/>
    <w:rsid w:val="009E7ED8"/>
    <w:rsid w:val="009F3247"/>
    <w:rsid w:val="00A003A7"/>
    <w:rsid w:val="00A4524F"/>
    <w:rsid w:val="00A54A2A"/>
    <w:rsid w:val="00A54BD2"/>
    <w:rsid w:val="00A56A10"/>
    <w:rsid w:val="00A64409"/>
    <w:rsid w:val="00A84C94"/>
    <w:rsid w:val="00AA4018"/>
    <w:rsid w:val="00AB357D"/>
    <w:rsid w:val="00AD021A"/>
    <w:rsid w:val="00AF0AF8"/>
    <w:rsid w:val="00AF5BBF"/>
    <w:rsid w:val="00B02A7A"/>
    <w:rsid w:val="00B04661"/>
    <w:rsid w:val="00B514AA"/>
    <w:rsid w:val="00B63DE6"/>
    <w:rsid w:val="00B671CB"/>
    <w:rsid w:val="00B941E6"/>
    <w:rsid w:val="00BB513A"/>
    <w:rsid w:val="00BC0203"/>
    <w:rsid w:val="00BD567A"/>
    <w:rsid w:val="00BE1D0A"/>
    <w:rsid w:val="00BE4C7A"/>
    <w:rsid w:val="00C05149"/>
    <w:rsid w:val="00C15B21"/>
    <w:rsid w:val="00C453BC"/>
    <w:rsid w:val="00C62184"/>
    <w:rsid w:val="00C63D1D"/>
    <w:rsid w:val="00C765A1"/>
    <w:rsid w:val="00C81DE2"/>
    <w:rsid w:val="00C8642A"/>
    <w:rsid w:val="00CA6E6D"/>
    <w:rsid w:val="00CC2035"/>
    <w:rsid w:val="00CD5C80"/>
    <w:rsid w:val="00D2230A"/>
    <w:rsid w:val="00D27355"/>
    <w:rsid w:val="00D508DE"/>
    <w:rsid w:val="00D54C7F"/>
    <w:rsid w:val="00D652D5"/>
    <w:rsid w:val="00D66195"/>
    <w:rsid w:val="00D76453"/>
    <w:rsid w:val="00D97AA9"/>
    <w:rsid w:val="00DB46F9"/>
    <w:rsid w:val="00DF666E"/>
    <w:rsid w:val="00E1199B"/>
    <w:rsid w:val="00E17200"/>
    <w:rsid w:val="00E34392"/>
    <w:rsid w:val="00E46057"/>
    <w:rsid w:val="00E6001E"/>
    <w:rsid w:val="00E66037"/>
    <w:rsid w:val="00E73E95"/>
    <w:rsid w:val="00E94CE5"/>
    <w:rsid w:val="00E95A06"/>
    <w:rsid w:val="00E961B1"/>
    <w:rsid w:val="00EA38C4"/>
    <w:rsid w:val="00EA4BF7"/>
    <w:rsid w:val="00EA5343"/>
    <w:rsid w:val="00EB2E2E"/>
    <w:rsid w:val="00EF07CB"/>
    <w:rsid w:val="00F0618B"/>
    <w:rsid w:val="00F114B4"/>
    <w:rsid w:val="00F156BB"/>
    <w:rsid w:val="00F2397D"/>
    <w:rsid w:val="00F667DF"/>
    <w:rsid w:val="00F731D2"/>
    <w:rsid w:val="00F80C84"/>
    <w:rsid w:val="00F84264"/>
    <w:rsid w:val="00FA3C9C"/>
    <w:rsid w:val="00FE478B"/>
    <w:rsid w:val="00FE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B87A46C"/>
  <w15:docId w15:val="{DB930EEC-BC1B-48D5-A670-C0846BFD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BodyText">
    <w:name w:val="Body Text"/>
    <w:basedOn w:val="Normal"/>
    <w:rPr>
      <w:sz w:val="22"/>
    </w:rPr>
  </w:style>
  <w:style w:type="paragraph" w:styleId="BalloonText">
    <w:name w:val="Balloon Text"/>
    <w:basedOn w:val="Normal"/>
    <w:semiHidden/>
    <w:rsid w:val="00A003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156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56BB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unhideWhenUsed/>
    <w:rsid w:val="00A56A1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56A10"/>
  </w:style>
  <w:style w:type="character" w:customStyle="1" w:styleId="CommentTextChar">
    <w:name w:val="Comment Text Char"/>
    <w:basedOn w:val="DefaultParagraphFont"/>
    <w:link w:val="CommentText"/>
    <w:semiHidden/>
    <w:rsid w:val="00A56A1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6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6A10"/>
    <w:rPr>
      <w:b/>
      <w:bCs/>
    </w:rPr>
  </w:style>
  <w:style w:type="paragraph" w:styleId="ListParagraph">
    <w:name w:val="List Paragraph"/>
    <w:basedOn w:val="Normal"/>
    <w:uiPriority w:val="34"/>
    <w:qFormat/>
    <w:rsid w:val="00AF0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2E4D1-92C7-4146-B6E8-F566C078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Benefits Review</vt:lpstr>
    </vt:vector>
  </TitlesOfParts>
  <Company>Kentucky Municipal Energy Agency</Company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Benefits Review</dc:title>
  <dc:subject/>
  <dc:creator>Doug Buresh</dc:creator>
  <cp:keywords/>
  <dc:description/>
  <cp:lastModifiedBy>Beth Buresh</cp:lastModifiedBy>
  <cp:revision>2</cp:revision>
  <cp:lastPrinted>2018-03-19T19:58:00Z</cp:lastPrinted>
  <dcterms:created xsi:type="dcterms:W3CDTF">2018-03-20T18:19:00Z</dcterms:created>
  <dcterms:modified xsi:type="dcterms:W3CDTF">2018-03-20T18:19:00Z</dcterms:modified>
</cp:coreProperties>
</file>