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89" w:rsidRPr="0035625C" w:rsidRDefault="004A5089" w:rsidP="004A5089">
      <w:pPr>
        <w:pStyle w:val="Heading1"/>
      </w:pPr>
      <w:bookmarkStart w:id="0" w:name="_GoBack"/>
      <w:r w:rsidRPr="0035625C">
        <w:t>STUDENTS</w:t>
      </w:r>
      <w:r w:rsidRPr="0035625C">
        <w:tab/>
      </w:r>
      <w:bookmarkEnd w:id="0"/>
      <w:r w:rsidRPr="0035625C">
        <w:t>09.12</w:t>
      </w:r>
    </w:p>
    <w:p w:rsidR="004A5089" w:rsidRPr="0035625C" w:rsidRDefault="004A5089" w:rsidP="004A5089">
      <w:pPr>
        <w:pStyle w:val="policytitle"/>
      </w:pPr>
      <w:r w:rsidRPr="0035625C">
        <w:t>Admissions and Attendance</w:t>
      </w:r>
    </w:p>
    <w:p w:rsidR="004A5089" w:rsidRPr="0035625C" w:rsidRDefault="004A5089" w:rsidP="004A5089">
      <w:pPr>
        <w:pStyle w:val="sideheading"/>
        <w:spacing w:after="80"/>
        <w:rPr>
          <w:szCs w:val="24"/>
        </w:rPr>
      </w:pPr>
      <w:r w:rsidRPr="0035625C">
        <w:rPr>
          <w:szCs w:val="24"/>
        </w:rPr>
        <w:t>Residence Defined</w:t>
      </w:r>
    </w:p>
    <w:p w:rsidR="004A5089" w:rsidRPr="0035625C" w:rsidRDefault="004A5089" w:rsidP="004A5089">
      <w:pPr>
        <w:pStyle w:val="policytext"/>
        <w:spacing w:after="80"/>
        <w:rPr>
          <w:szCs w:val="24"/>
        </w:rPr>
      </w:pPr>
      <w:r w:rsidRPr="0035625C">
        <w:rPr>
          <w:szCs w:val="24"/>
        </w:rPr>
        <w:t xml:space="preserve">Pupils whose parent </w:t>
      </w:r>
      <w:r w:rsidRPr="0035625C">
        <w:rPr>
          <w:rStyle w:val="ksbanormal"/>
        </w:rPr>
        <w:t>or guardian resides in the District and has custody of the student</w:t>
      </w:r>
      <w:r w:rsidRPr="0035625C">
        <w:rPr>
          <w:szCs w:val="24"/>
        </w:rPr>
        <w:t>, or pupils who are legal residents of the school District, or as otherwise provided by state or federal law, shall be considered residents and entitled to the privi</w:t>
      </w:r>
      <w:r>
        <w:rPr>
          <w:szCs w:val="24"/>
        </w:rPr>
        <w:t>leges of the District's schools.</w:t>
      </w:r>
    </w:p>
    <w:p w:rsidR="004A5089" w:rsidRPr="0035625C" w:rsidRDefault="004A5089" w:rsidP="004A5089">
      <w:pPr>
        <w:pStyle w:val="policytext"/>
        <w:spacing w:after="80"/>
        <w:rPr>
          <w:szCs w:val="24"/>
          <w:vertAlign w:val="superscript"/>
        </w:rPr>
      </w:pPr>
      <w:r w:rsidRPr="0035625C">
        <w:rPr>
          <w:szCs w:val="24"/>
        </w:rPr>
        <w:t>All other pupils shall be classified as nonresidents for school purposes.</w:t>
      </w:r>
      <w:r w:rsidRPr="0035625C">
        <w:rPr>
          <w:szCs w:val="24"/>
          <w:vertAlign w:val="superscript"/>
        </w:rPr>
        <w:t>1</w:t>
      </w:r>
    </w:p>
    <w:p w:rsidR="004A5089" w:rsidRPr="0035625C" w:rsidRDefault="004A5089" w:rsidP="004A5089">
      <w:pPr>
        <w:pStyle w:val="sideheading"/>
        <w:spacing w:after="80"/>
        <w:rPr>
          <w:szCs w:val="24"/>
        </w:rPr>
      </w:pPr>
      <w:r w:rsidRPr="0035625C">
        <w:rPr>
          <w:szCs w:val="24"/>
        </w:rPr>
        <w:t>Homeless Children and Youth</w:t>
      </w:r>
    </w:p>
    <w:p w:rsidR="004A5089" w:rsidRPr="0035625C" w:rsidRDefault="004A5089" w:rsidP="004A5089">
      <w:pPr>
        <w:pStyle w:val="policytext"/>
        <w:spacing w:after="80"/>
        <w:rPr>
          <w:rStyle w:val="ksbanormal"/>
          <w:szCs w:val="24"/>
        </w:rPr>
      </w:pPr>
      <w:r w:rsidRPr="0035625C">
        <w:rPr>
          <w:rStyle w:val="ksbanormal"/>
          <w:szCs w:val="24"/>
        </w:rPr>
        <w:t>The District shall provide educational and related services to homeless children and youth</w:t>
      </w:r>
      <w:r>
        <w:rPr>
          <w:rStyle w:val="ksbanormal"/>
          <w:szCs w:val="24"/>
        </w:rPr>
        <w:t xml:space="preserve"> </w:t>
      </w:r>
      <w:r w:rsidRPr="00F50662">
        <w:rPr>
          <w:rStyle w:val="ksbanormal"/>
        </w:rPr>
        <w:t>(including preschool-aged homeless children</w:t>
      </w:r>
      <w:r>
        <w:rPr>
          <w:rStyle w:val="ksbanormal"/>
          <w:szCs w:val="24"/>
        </w:rPr>
        <w:t>)</w:t>
      </w:r>
      <w:r w:rsidRPr="0035625C">
        <w:rPr>
          <w:rStyle w:val="ksbanormal"/>
          <w:szCs w:val="24"/>
        </w:rPr>
        <w:t xml:space="preserve"> in a manner that does not segregate or stigmatize students on the basis of their homeless status.</w:t>
      </w:r>
    </w:p>
    <w:p w:rsidR="004A5089" w:rsidRPr="0035625C" w:rsidRDefault="004A5089" w:rsidP="004A5089">
      <w:pPr>
        <w:pStyle w:val="policytext"/>
        <w:spacing w:after="80"/>
        <w:rPr>
          <w:rStyle w:val="ksbanormal"/>
          <w:szCs w:val="24"/>
        </w:rPr>
      </w:pPr>
      <w:r w:rsidRPr="0035625C">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4A5089" w:rsidRPr="0035625C" w:rsidRDefault="004A5089" w:rsidP="004A5089">
      <w:pPr>
        <w:pStyle w:val="List123"/>
        <w:numPr>
          <w:ilvl w:val="0"/>
          <w:numId w:val="2"/>
        </w:numPr>
        <w:spacing w:after="80"/>
        <w:rPr>
          <w:rStyle w:val="ksbanormal"/>
          <w:szCs w:val="24"/>
        </w:rPr>
      </w:pPr>
      <w:r w:rsidRPr="0035625C">
        <w:rPr>
          <w:rStyle w:val="ksbanormal"/>
          <w:szCs w:val="24"/>
        </w:rPr>
        <w:t>Have equal access to all educational programs and services, including transportation, that non-homeless students enjoy;</w:t>
      </w:r>
    </w:p>
    <w:p w:rsidR="004A5089" w:rsidRPr="00F50662" w:rsidRDefault="004A5089" w:rsidP="004A5089">
      <w:pPr>
        <w:pStyle w:val="List123"/>
        <w:numPr>
          <w:ilvl w:val="0"/>
          <w:numId w:val="2"/>
        </w:numPr>
        <w:spacing w:after="80"/>
        <w:textAlignment w:val="auto"/>
        <w:rPr>
          <w:rStyle w:val="ksbanormal"/>
        </w:rPr>
      </w:pPr>
      <w:r w:rsidRPr="00F50662">
        <w:rPr>
          <w:rStyle w:val="ksbanormal"/>
        </w:rPr>
        <w:t>Have access to preschool programs as provided to other children in the District</w:t>
      </w:r>
      <w:r>
        <w:rPr>
          <w:rStyle w:val="ksbanormal"/>
        </w:rPr>
        <w:t>;</w:t>
      </w:r>
    </w:p>
    <w:p w:rsidR="004A5089" w:rsidRDefault="004A5089" w:rsidP="004A5089">
      <w:pPr>
        <w:pStyle w:val="List123"/>
        <w:numPr>
          <w:ilvl w:val="0"/>
          <w:numId w:val="2"/>
        </w:numPr>
        <w:spacing w:after="80"/>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rsidR="004A5089" w:rsidRPr="0035625C" w:rsidRDefault="004A5089" w:rsidP="004A5089">
      <w:pPr>
        <w:pStyle w:val="List123"/>
        <w:numPr>
          <w:ilvl w:val="0"/>
          <w:numId w:val="2"/>
        </w:numPr>
        <w:spacing w:after="80"/>
        <w:rPr>
          <w:rStyle w:val="ksbanormal"/>
          <w:szCs w:val="24"/>
        </w:rPr>
      </w:pPr>
      <w:r w:rsidRPr="0035625C">
        <w:rPr>
          <w:rStyle w:val="ksbanormal"/>
          <w:szCs w:val="24"/>
        </w:rPr>
        <w:t>Attend regular public school with non-homeless students; and</w:t>
      </w:r>
    </w:p>
    <w:p w:rsidR="004A5089" w:rsidRPr="0035625C" w:rsidRDefault="004A5089" w:rsidP="004A5089">
      <w:pPr>
        <w:pStyle w:val="List123"/>
        <w:numPr>
          <w:ilvl w:val="0"/>
          <w:numId w:val="2"/>
        </w:numPr>
        <w:spacing w:after="80"/>
        <w:rPr>
          <w:rStyle w:val="ksbanormal"/>
          <w:szCs w:val="24"/>
        </w:rPr>
      </w:pPr>
      <w:r w:rsidRPr="0035625C">
        <w:rPr>
          <w:rStyle w:val="ksbanormal"/>
          <w:szCs w:val="24"/>
        </w:rPr>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rsidR="004A5089" w:rsidRPr="00F50662" w:rsidRDefault="004A5089" w:rsidP="004A5089">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4A5089" w:rsidRDefault="004A5089" w:rsidP="004A5089">
      <w:pPr>
        <w:pStyle w:val="policytext"/>
        <w:spacing w:after="80"/>
        <w:rPr>
          <w:rStyle w:val="ksbanormal"/>
        </w:rPr>
      </w:pPr>
      <w:r>
        <w:rPr>
          <w:rStyle w:val="ksbanormal"/>
          <w:szCs w:val="24"/>
        </w:rPr>
        <w:t xml:space="preserve">The District shall designate an appropriate staff person to serve as liaison to homeless children and youth. </w:t>
      </w:r>
      <w:r w:rsidRPr="00F50662">
        <w:rPr>
          <w:rStyle w:val="ksbanormal"/>
        </w:rPr>
        <w:t xml:space="preserve">In addition to coordination of McKinney-Vento implementation in </w:t>
      </w:r>
      <w:r>
        <w:rPr>
          <w:rStyle w:val="ksbanormal"/>
        </w:rPr>
        <w:t>the District, the liaison is responsible for:</w:t>
      </w:r>
    </w:p>
    <w:p w:rsidR="004A5089" w:rsidRDefault="004A5089" w:rsidP="004A5089">
      <w:pPr>
        <w:pStyle w:val="policytext"/>
        <w:numPr>
          <w:ilvl w:val="0"/>
          <w:numId w:val="1"/>
        </w:numPr>
        <w:spacing w:after="80"/>
        <w:textAlignment w:val="auto"/>
        <w:rPr>
          <w:rStyle w:val="ksbanormal"/>
          <w:szCs w:val="24"/>
        </w:rPr>
      </w:pPr>
      <w:r>
        <w:rPr>
          <w:rStyle w:val="ksbanormal"/>
        </w:rPr>
        <w:t>“Outreach” to other entities and agencies so that homeless students are identified;</w:t>
      </w:r>
    </w:p>
    <w:p w:rsidR="004A5089" w:rsidRDefault="004A5089" w:rsidP="004A5089">
      <w:pPr>
        <w:pStyle w:val="policytext"/>
        <w:numPr>
          <w:ilvl w:val="0"/>
          <w:numId w:val="1"/>
        </w:numPr>
        <w:spacing w:after="80"/>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rsidR="004A5089" w:rsidRPr="00F50662" w:rsidRDefault="004A5089" w:rsidP="004A5089">
      <w:pPr>
        <w:pStyle w:val="policytext"/>
        <w:numPr>
          <w:ilvl w:val="0"/>
          <w:numId w:val="1"/>
        </w:numPr>
        <w:ind w:left="720" w:hanging="296"/>
        <w:textAlignment w:val="auto"/>
        <w:rPr>
          <w:rStyle w:val="ksbanormal"/>
        </w:rPr>
      </w:pPr>
      <w:r w:rsidRPr="00F50662">
        <w:rPr>
          <w:rStyle w:val="ksbanormal"/>
        </w:rPr>
        <w:t>Seeing that school personnel who provide McKinney-Vento Services receive professional development and other support; and</w:t>
      </w:r>
    </w:p>
    <w:p w:rsidR="004A5089" w:rsidRPr="00F50662" w:rsidRDefault="004A5089" w:rsidP="004A5089">
      <w:pPr>
        <w:pStyle w:val="policytext"/>
        <w:numPr>
          <w:ilvl w:val="0"/>
          <w:numId w:val="1"/>
        </w:numPr>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rsidR="004A5089" w:rsidRDefault="004A5089" w:rsidP="004A5089">
      <w:pPr>
        <w:pStyle w:val="policytext"/>
        <w:rPr>
          <w:rStyle w:val="ksbanormal"/>
        </w:rPr>
      </w:pPr>
      <w:r>
        <w:rPr>
          <w:rStyle w:val="ksbanormal"/>
        </w:rPr>
        <w:t>The District shall inform school personnel, service providers, advocates working with homeless families, parents, guardians and homeless children and youths of the duties of the liaison.</w:t>
      </w:r>
    </w:p>
    <w:p w:rsidR="004A5089" w:rsidRDefault="004A5089" w:rsidP="004A5089">
      <w:pPr>
        <w:pStyle w:val="Heading1"/>
      </w:pPr>
      <w:r>
        <w:rPr>
          <w:szCs w:val="24"/>
        </w:rPr>
        <w:br w:type="page"/>
      </w:r>
      <w:r>
        <w:lastRenderedPageBreak/>
        <w:t>STUDENTS</w:t>
      </w:r>
      <w:r>
        <w:tab/>
        <w:t>09.12</w:t>
      </w:r>
    </w:p>
    <w:p w:rsidR="004A5089" w:rsidRDefault="004A5089" w:rsidP="004A5089">
      <w:pPr>
        <w:widowControl w:val="0"/>
        <w:tabs>
          <w:tab w:val="right" w:pos="9216"/>
        </w:tabs>
        <w:jc w:val="both"/>
        <w:outlineLvl w:val="0"/>
        <w:rPr>
          <w:smallCaps/>
        </w:rPr>
      </w:pPr>
      <w:r>
        <w:rPr>
          <w:smallCaps/>
        </w:rPr>
        <w:tab/>
        <w:t>(Continued)</w:t>
      </w:r>
    </w:p>
    <w:p w:rsidR="004A5089" w:rsidRDefault="004A5089" w:rsidP="004A5089">
      <w:pPr>
        <w:spacing w:before="120" w:after="240"/>
        <w:jc w:val="center"/>
        <w:rPr>
          <w:b/>
          <w:sz w:val="28"/>
          <w:u w:val="words"/>
        </w:rPr>
      </w:pPr>
      <w:r>
        <w:rPr>
          <w:b/>
          <w:sz w:val="28"/>
          <w:u w:val="words"/>
        </w:rPr>
        <w:t>Admissions and Attendance</w:t>
      </w:r>
    </w:p>
    <w:p w:rsidR="004A5089" w:rsidRDefault="004A5089" w:rsidP="004A5089">
      <w:pPr>
        <w:pStyle w:val="sideheading"/>
        <w:spacing w:after="80"/>
        <w:rPr>
          <w:szCs w:val="24"/>
        </w:rPr>
      </w:pPr>
      <w:r>
        <w:rPr>
          <w:szCs w:val="24"/>
        </w:rPr>
        <w:t>Homeless Children and Youth (continued)</w:t>
      </w:r>
    </w:p>
    <w:p w:rsidR="004A5089" w:rsidRPr="00F50662" w:rsidRDefault="004A5089" w:rsidP="004A5089">
      <w:pPr>
        <w:pStyle w:val="policytext"/>
        <w:rPr>
          <w:rStyle w:val="ksbanormal"/>
        </w:rPr>
      </w:pPr>
      <w:r w:rsidRPr="00F50662">
        <w:rPr>
          <w:rStyle w:val="ksbanormal"/>
        </w:rPr>
        <w:t>Disputes over eligibility</w:t>
      </w:r>
      <w:r>
        <w:rPr>
          <w:rStyle w:val="ksbanormal"/>
        </w:rPr>
        <w:t>, school selection, or enrollment</w:t>
      </w:r>
      <w:r w:rsidRPr="00F50662">
        <w:rPr>
          <w:rStyle w:val="ksbanormal"/>
        </w:rPr>
        <w:t xml:space="preserve"> are to be appealed to the Kentucky Department of Education using the Dispute Resolution for Homeless form located at the link below:</w:t>
      </w:r>
    </w:p>
    <w:p w:rsidR="004A5089" w:rsidRPr="00F50662" w:rsidRDefault="004A5089" w:rsidP="004A5089">
      <w:pPr>
        <w:pStyle w:val="policytext"/>
        <w:jc w:val="center"/>
        <w:rPr>
          <w:rStyle w:val="ksbanormal"/>
        </w:rPr>
      </w:pPr>
      <w:r w:rsidRPr="00F50662">
        <w:rPr>
          <w:rStyle w:val="ksbanormal"/>
        </w:rPr>
        <w:t>http://education.ky.gov/federal/progs/txc/Documents/Homeless_Dispute_Resolution_Form.docx</w:t>
      </w:r>
    </w:p>
    <w:p w:rsidR="004A5089" w:rsidRPr="00F50662" w:rsidRDefault="004A5089" w:rsidP="004A5089">
      <w:pPr>
        <w:pStyle w:val="policytext"/>
        <w:rPr>
          <w:rStyle w:val="ksbanormal"/>
        </w:rPr>
      </w:pPr>
      <w:r w:rsidRPr="00F50662">
        <w:rPr>
          <w:rStyle w:val="ksbanormal"/>
        </w:rPr>
        <w:t>The District shall provide services for homeless children and youths with disabilities as required by law.</w:t>
      </w:r>
    </w:p>
    <w:p w:rsidR="004A5089" w:rsidRPr="00602975" w:rsidRDefault="004A5089" w:rsidP="004A5089">
      <w:pPr>
        <w:pStyle w:val="sideheading"/>
        <w:rPr>
          <w:rStyle w:val="ksbanormal"/>
        </w:rPr>
      </w:pPr>
      <w:r w:rsidRPr="00602975">
        <w:rPr>
          <w:rStyle w:val="ksbanormal"/>
        </w:rPr>
        <w:t>Children in Foster Care</w:t>
      </w:r>
    </w:p>
    <w:p w:rsidR="004A5089" w:rsidRDefault="004A5089" w:rsidP="004A5089">
      <w:pPr>
        <w:pStyle w:val="policytext"/>
        <w:rPr>
          <w:rStyle w:val="ksbanormal"/>
        </w:rPr>
      </w:pPr>
      <w:r>
        <w:rPr>
          <w:rStyle w:val="ksbanormal"/>
        </w:rPr>
        <w:t>Students in foster care shall have equal access to all educational programs and services, including transportation, which all other students enjoy.</w:t>
      </w:r>
    </w:p>
    <w:p w:rsidR="004A5089" w:rsidRDefault="004A5089" w:rsidP="004A5089">
      <w:pPr>
        <w:pStyle w:val="policytext"/>
        <w:rPr>
          <w:rStyle w:val="ksbanormal"/>
        </w:rPr>
      </w:pPr>
      <w:r>
        <w:rPr>
          <w:rStyle w:val="ksbanormal"/>
        </w:rPr>
        <w:t>Foster children are to be immediately enrolled in a new school. The District shall contact the student’s prior school for relevant records.</w:t>
      </w:r>
    </w:p>
    <w:p w:rsidR="004A5089" w:rsidRDefault="004A5089" w:rsidP="004A5089">
      <w:pPr>
        <w:pStyle w:val="policytext"/>
        <w:rPr>
          <w:rStyle w:val="ksbanormal"/>
        </w:rPr>
      </w:pPr>
      <w:r>
        <w:rPr>
          <w:rStyle w:val="ksbanormal"/>
        </w:rPr>
        <w:t>The Superintendent shall appoint a Point of Contact (POC) to coordinate activities relating to the District’s provision of services to children placed in foster care, including transportation services, when the District is notified by the Cabinet for Health and Family Services in writing that the Cabinet has designated its foster care POC for the District. The Superintendent may appoint the District POC prior to such notice from the Cabinet.</w:t>
      </w:r>
    </w:p>
    <w:p w:rsidR="004A5089" w:rsidRDefault="004A5089" w:rsidP="004A5089">
      <w:pPr>
        <w:pStyle w:val="policytext"/>
        <w:rPr>
          <w:rStyle w:val="ksbanormal"/>
        </w:rPr>
      </w:pPr>
      <w:r>
        <w:rPr>
          <w:rStyle w:val="ksbanormal"/>
        </w:rPr>
        <w:t>C</w:t>
      </w:r>
      <w:r w:rsidRPr="00F50662">
        <w:rPr>
          <w:rStyle w:val="ksbanormal"/>
        </w:rPr>
        <w:t>hildren in foster care</w:t>
      </w:r>
      <w:r>
        <w:rPr>
          <w:rStyle w:val="ksbanormal"/>
        </w:rPr>
        <w:t>, including preschool aged children if the District offers a preschool program,</w:t>
      </w:r>
      <w:r w:rsidRPr="00F50662">
        <w:rPr>
          <w:rStyle w:val="ksbanormal"/>
        </w:rPr>
        <w:t xml:space="preserve"> </w:t>
      </w:r>
      <w:r>
        <w:rPr>
          <w:rStyle w:val="ksbanormal"/>
        </w:rPr>
        <w:t>shall be eligible to attend</w:t>
      </w:r>
      <w:r w:rsidRPr="00F50662">
        <w:rPr>
          <w:rStyle w:val="ksbanormal"/>
        </w:rPr>
        <w:t xml:space="preserve"> their </w:t>
      </w:r>
      <w:r>
        <w:rPr>
          <w:rStyle w:val="ksbanormal"/>
        </w:rPr>
        <w:t>“</w:t>
      </w:r>
      <w:r w:rsidRPr="00F50662">
        <w:rPr>
          <w:rStyle w:val="ksbanormal"/>
        </w:rPr>
        <w:t>school of origin</w:t>
      </w:r>
      <w:r>
        <w:rPr>
          <w:rStyle w:val="ksbanormal"/>
        </w:rPr>
        <w:t xml:space="preserve">” unless a determination </w:t>
      </w:r>
      <w:r w:rsidRPr="00F50662">
        <w:rPr>
          <w:rStyle w:val="ksbanormal"/>
        </w:rPr>
        <w:t>is</w:t>
      </w:r>
      <w:r>
        <w:rPr>
          <w:rStyle w:val="ksbanormal"/>
        </w:rPr>
        <w:t xml:space="preserve"> made that it is not in</w:t>
      </w:r>
      <w:r w:rsidRPr="00F50662">
        <w:rPr>
          <w:rStyle w:val="ksbanormal"/>
        </w:rPr>
        <w:t xml:space="preserve"> </w:t>
      </w:r>
      <w:r>
        <w:rPr>
          <w:rStyle w:val="ksbanormal"/>
        </w:rPr>
        <w:t>the child’s</w:t>
      </w:r>
      <w:r w:rsidRPr="00F50662">
        <w:rPr>
          <w:rStyle w:val="ksbanormal"/>
        </w:rPr>
        <w:t xml:space="preserve"> best interest. </w:t>
      </w:r>
      <w:r>
        <w:rPr>
          <w:rStyle w:val="ksbanormal"/>
        </w:rPr>
        <w:t>When possible, such determination will be made in collaboration with the child welfare agency. Dispute resolutions shall be handled by all agencies involved in the determination of the foster child’s placement.</w:t>
      </w:r>
    </w:p>
    <w:p w:rsidR="004A5089" w:rsidRPr="00F50662" w:rsidRDefault="004A5089" w:rsidP="004A5089">
      <w:pPr>
        <w:pStyle w:val="policytext"/>
        <w:rPr>
          <w:rStyle w:val="ksbanormal"/>
        </w:rPr>
      </w:pPr>
      <w:r>
        <w:rPr>
          <w:rStyle w:val="ksbanormal"/>
        </w:rPr>
        <w:t>When possible, a child exiting the foster care program during the school year shall be allowed to complete the school year in the school of origin.</w:t>
      </w:r>
    </w:p>
    <w:p w:rsidR="004A5089" w:rsidRPr="0035625C" w:rsidRDefault="004A5089" w:rsidP="004A5089">
      <w:pPr>
        <w:pStyle w:val="sideheading"/>
        <w:spacing w:after="80"/>
        <w:rPr>
          <w:rStyle w:val="ksbanormal"/>
        </w:rPr>
      </w:pPr>
      <w:r w:rsidRPr="0035625C">
        <w:rPr>
          <w:rStyle w:val="ksbanormal"/>
        </w:rPr>
        <w:t>Immigrants</w:t>
      </w:r>
    </w:p>
    <w:p w:rsidR="004A5089" w:rsidRPr="00A419FE" w:rsidRDefault="004A5089" w:rsidP="004A5089">
      <w:pPr>
        <w:pStyle w:val="policytext"/>
        <w:spacing w:after="80"/>
        <w:rPr>
          <w:rStyle w:val="ksbanormal"/>
        </w:rPr>
      </w:pPr>
      <w:r w:rsidRPr="00A419FE">
        <w:rPr>
          <w:rStyle w:val="ksbanormal"/>
        </w:rPr>
        <w:t>No student shall be denied enrollment based on his/her immigration status, and documentation of immigration status shall not be required as a condition of enrollment.</w:t>
      </w:r>
    </w:p>
    <w:p w:rsidR="004A5089" w:rsidRPr="0035625C" w:rsidRDefault="004A5089" w:rsidP="004A5089">
      <w:pPr>
        <w:pStyle w:val="sideheading"/>
        <w:spacing w:after="80"/>
        <w:rPr>
          <w:szCs w:val="24"/>
        </w:rPr>
      </w:pPr>
      <w:r w:rsidRPr="0035625C">
        <w:rPr>
          <w:szCs w:val="24"/>
        </w:rPr>
        <w:t>Nonresidents</w:t>
      </w:r>
    </w:p>
    <w:p w:rsidR="004A5089" w:rsidRPr="0035625C" w:rsidRDefault="004A5089" w:rsidP="004A5089">
      <w:pPr>
        <w:pStyle w:val="policytext"/>
        <w:spacing w:after="80"/>
        <w:rPr>
          <w:rStyle w:val="ksbanormal"/>
          <w:szCs w:val="24"/>
        </w:rPr>
      </w:pPr>
      <w:r w:rsidRPr="0035625C">
        <w:rPr>
          <w:rStyle w:val="ksbanormal"/>
          <w:szCs w:val="24"/>
        </w:rPr>
        <w:t>Nonresident pupils may be admitted to the District's schools in accordance with Board policy and upon approval of the Superintendent.</w:t>
      </w:r>
      <w:r w:rsidRPr="0035625C">
        <w:rPr>
          <w:rStyle w:val="ksbanormal"/>
          <w:szCs w:val="24"/>
          <w:vertAlign w:val="superscript"/>
        </w:rPr>
        <w:t>3</w:t>
      </w:r>
    </w:p>
    <w:p w:rsidR="004A5089" w:rsidRPr="00FB6535" w:rsidRDefault="004A5089" w:rsidP="004A5089">
      <w:pPr>
        <w:pStyle w:val="policytext"/>
        <w:spacing w:after="80"/>
        <w:rPr>
          <w:rStyle w:val="ksbanormal"/>
          <w:b/>
        </w:rPr>
      </w:pPr>
      <w:r w:rsidRPr="00913B8E">
        <w:rPr>
          <w:rStyle w:val="ksbanormal"/>
        </w:rPr>
        <w:t>Written nonresident pupil contract information shall be kept on file at both the attending and resident districts.</w:t>
      </w:r>
    </w:p>
    <w:p w:rsidR="004A5089" w:rsidRDefault="004A5089" w:rsidP="004A5089">
      <w:pPr>
        <w:pStyle w:val="policytext"/>
        <w:spacing w:after="80"/>
        <w:rPr>
          <w:rStyle w:val="ksbanormal"/>
        </w:rPr>
      </w:pPr>
      <w:r>
        <w:rPr>
          <w:rStyle w:val="ksbanormal"/>
        </w:rPr>
        <w:t>Nonresident students designated as homeless or foster children may be required to be enrolled consistent with the “child’s best interest” or “school of origin” requirements under the Every Student Succeeds Act (ESSA) and the McKinney-Vento Act as amended by ESSA.</w:t>
      </w:r>
    </w:p>
    <w:p w:rsidR="004A5089" w:rsidRPr="0035625C" w:rsidRDefault="004A5089" w:rsidP="004A5089">
      <w:pPr>
        <w:pStyle w:val="sideheading"/>
        <w:spacing w:after="80"/>
        <w:rPr>
          <w:szCs w:val="24"/>
        </w:rPr>
      </w:pPr>
      <w:r w:rsidRPr="0035625C">
        <w:rPr>
          <w:szCs w:val="24"/>
        </w:rPr>
        <w:t>Transfer of ADA</w:t>
      </w:r>
    </w:p>
    <w:p w:rsidR="004A5089" w:rsidRDefault="004A5089" w:rsidP="004A5089">
      <w:pPr>
        <w:pStyle w:val="policytext"/>
        <w:spacing w:after="80"/>
        <w:rPr>
          <w:rStyle w:val="ksbanormal"/>
          <w:szCs w:val="24"/>
          <w:vertAlign w:val="superscript"/>
        </w:rPr>
      </w:pPr>
      <w:r w:rsidRPr="0035625C">
        <w:rPr>
          <w:rStyle w:val="ksbanormal"/>
          <w:szCs w:val="24"/>
        </w:rPr>
        <w:t>Nonresident pupils may be admitted to the District schools upon payment of tuition and/or transfer of the pupil's average daily attendance as defined under Kentucky's public school fund.</w:t>
      </w:r>
      <w:r w:rsidRPr="0035625C">
        <w:rPr>
          <w:rStyle w:val="ksbanormal"/>
          <w:szCs w:val="24"/>
          <w:vertAlign w:val="superscript"/>
        </w:rPr>
        <w:t>4&amp;5</w:t>
      </w:r>
    </w:p>
    <w:p w:rsidR="004A5089" w:rsidRDefault="004A5089" w:rsidP="004A5089">
      <w:pPr>
        <w:pStyle w:val="Heading1"/>
      </w:pPr>
      <w:r>
        <w:rPr>
          <w:rStyle w:val="ksbanormal"/>
        </w:rPr>
        <w:br w:type="page"/>
      </w:r>
      <w:r>
        <w:lastRenderedPageBreak/>
        <w:t>STUDENTS</w:t>
      </w:r>
      <w:r>
        <w:tab/>
        <w:t>09.12</w:t>
      </w:r>
    </w:p>
    <w:p w:rsidR="004A5089" w:rsidRDefault="004A5089" w:rsidP="004A5089">
      <w:pPr>
        <w:widowControl w:val="0"/>
        <w:tabs>
          <w:tab w:val="right" w:pos="9216"/>
        </w:tabs>
        <w:jc w:val="both"/>
        <w:outlineLvl w:val="0"/>
        <w:rPr>
          <w:smallCaps/>
        </w:rPr>
      </w:pPr>
      <w:r>
        <w:rPr>
          <w:smallCaps/>
        </w:rPr>
        <w:tab/>
        <w:t>(Continued)</w:t>
      </w:r>
    </w:p>
    <w:p w:rsidR="004A5089" w:rsidRDefault="004A5089" w:rsidP="004A5089">
      <w:pPr>
        <w:spacing w:before="120" w:after="240"/>
        <w:jc w:val="center"/>
        <w:rPr>
          <w:b/>
          <w:sz w:val="28"/>
          <w:u w:val="words"/>
        </w:rPr>
      </w:pPr>
      <w:r>
        <w:rPr>
          <w:b/>
          <w:sz w:val="28"/>
          <w:u w:val="words"/>
        </w:rPr>
        <w:t>Admissions and Attendance</w:t>
      </w:r>
    </w:p>
    <w:p w:rsidR="004A5089" w:rsidRPr="0035625C" w:rsidRDefault="004A5089" w:rsidP="004A5089">
      <w:pPr>
        <w:pStyle w:val="sideheading"/>
        <w:spacing w:after="80"/>
        <w:rPr>
          <w:szCs w:val="24"/>
        </w:rPr>
      </w:pPr>
      <w:r w:rsidRPr="0035625C">
        <w:rPr>
          <w:szCs w:val="24"/>
        </w:rPr>
        <w:t>Non-Immigrant Foreign Students</w:t>
      </w:r>
    </w:p>
    <w:p w:rsidR="004A5089" w:rsidRPr="0035625C" w:rsidRDefault="004A5089" w:rsidP="004A5089">
      <w:pPr>
        <w:pStyle w:val="policytext"/>
        <w:spacing w:after="80"/>
        <w:rPr>
          <w:rStyle w:val="ksbanormal"/>
          <w:szCs w:val="24"/>
        </w:rPr>
      </w:pPr>
      <w:r w:rsidRPr="0035625C">
        <w:rPr>
          <w:rStyle w:val="ksbanormal"/>
          <w:szCs w:val="24"/>
        </w:rPr>
        <w:t>Non-immigrant foreign students qualifying for</w:t>
      </w:r>
      <w:r w:rsidR="00920A52">
        <w:rPr>
          <w:rStyle w:val="ksbanormal"/>
          <w:szCs w:val="24"/>
        </w:rPr>
        <w:t xml:space="preserve"> </w:t>
      </w:r>
      <w:r w:rsidR="00920A52">
        <w:rPr>
          <w:rStyle w:val="ksbanormal"/>
          <w:color w:val="548DD4" w:themeColor="text2" w:themeTint="99"/>
          <w:szCs w:val="24"/>
        </w:rPr>
        <w:t>J-1 or</w:t>
      </w:r>
      <w:r w:rsidRPr="0035625C">
        <w:rPr>
          <w:rStyle w:val="ksbanormal"/>
          <w:szCs w:val="24"/>
        </w:rPr>
        <w:t xml:space="preserve"> F-1 imm</w:t>
      </w:r>
      <w:r w:rsidR="00920A52">
        <w:rPr>
          <w:rStyle w:val="ksbanormal"/>
          <w:szCs w:val="24"/>
        </w:rPr>
        <w:t>igration status or who obtain a</w:t>
      </w:r>
      <w:r w:rsidRPr="0035625C">
        <w:rPr>
          <w:rStyle w:val="ksbanormal"/>
          <w:szCs w:val="24"/>
        </w:rPr>
        <w:t xml:space="preserve"> </w:t>
      </w:r>
      <w:r w:rsidR="00920A52">
        <w:rPr>
          <w:rStyle w:val="ksbanormal"/>
          <w:color w:val="8DB3E2" w:themeColor="text2" w:themeTint="66"/>
          <w:szCs w:val="24"/>
        </w:rPr>
        <w:t xml:space="preserve">J-1or </w:t>
      </w:r>
      <w:r w:rsidRPr="0035625C">
        <w:rPr>
          <w:rStyle w:val="ksbanormal"/>
          <w:szCs w:val="24"/>
        </w:rPr>
        <w:t>F-1 student visa may be admitted to the District based on the following guidelines:</w:t>
      </w:r>
    </w:p>
    <w:p w:rsidR="004A5089" w:rsidRDefault="004A5089" w:rsidP="004A5089">
      <w:pPr>
        <w:pStyle w:val="List123"/>
        <w:numPr>
          <w:ilvl w:val="0"/>
          <w:numId w:val="3"/>
        </w:numPr>
        <w:spacing w:after="80"/>
        <w:rPr>
          <w:rStyle w:val="ksbanormal"/>
          <w:szCs w:val="24"/>
        </w:rPr>
      </w:pPr>
      <w:r w:rsidRPr="0035625C">
        <w:rPr>
          <w:rStyle w:val="ksbanormal"/>
          <w:szCs w:val="24"/>
        </w:rPr>
        <w:t>These students shall not be permitted to attend any publicly funded adult education program.</w:t>
      </w:r>
    </w:p>
    <w:p w:rsidR="004A5089" w:rsidRPr="003B7EB7" w:rsidRDefault="004A5089" w:rsidP="004A5089">
      <w:pPr>
        <w:pStyle w:val="List123"/>
        <w:numPr>
          <w:ilvl w:val="0"/>
          <w:numId w:val="3"/>
        </w:numPr>
        <w:spacing w:after="80"/>
        <w:rPr>
          <w:rStyle w:val="ksbanormal"/>
          <w:szCs w:val="24"/>
        </w:rPr>
      </w:pPr>
      <w:r w:rsidRPr="0035625C">
        <w:rPr>
          <w:rStyle w:val="ksbanormal"/>
          <w:szCs w:val="24"/>
        </w:rPr>
        <w:t>These students may be permitted to attend in grades nine through twelve (9-12), but not at earlier grade levels.</w:t>
      </w:r>
    </w:p>
    <w:p w:rsidR="004A5089" w:rsidRPr="00C11BA5" w:rsidRDefault="004A5089" w:rsidP="004A5089">
      <w:pPr>
        <w:pStyle w:val="List123"/>
        <w:numPr>
          <w:ilvl w:val="0"/>
          <w:numId w:val="3"/>
        </w:numPr>
        <w:spacing w:after="80"/>
        <w:rPr>
          <w:rStyle w:val="ksbanormal"/>
          <w:szCs w:val="24"/>
        </w:rPr>
      </w:pPr>
      <w:r w:rsidRPr="0035625C">
        <w:rPr>
          <w:rStyle w:val="ksbanormal"/>
          <w:szCs w:val="24"/>
        </w:rPr>
        <w:t>As required by law, these students shall pay a tuition fee equal to the full, unsubsidized per capita cost to the District for providing education to the student for the period of attendance.</w:t>
      </w:r>
    </w:p>
    <w:p w:rsidR="004A5089" w:rsidRPr="0035625C" w:rsidRDefault="004A5089" w:rsidP="004A5089">
      <w:pPr>
        <w:pStyle w:val="List123"/>
        <w:numPr>
          <w:ilvl w:val="0"/>
          <w:numId w:val="3"/>
        </w:numPr>
        <w:spacing w:after="80"/>
        <w:rPr>
          <w:rStyle w:val="ksbanormal"/>
          <w:szCs w:val="24"/>
        </w:rPr>
      </w:pPr>
      <w:r w:rsidRPr="0035625C">
        <w:rPr>
          <w:rStyle w:val="ksbanormal"/>
          <w:szCs w:val="24"/>
        </w:rPr>
        <w:t>The period of attendance shall not exceed twelve (12) months.</w:t>
      </w:r>
    </w:p>
    <w:p w:rsidR="004A5089" w:rsidRPr="0035625C" w:rsidRDefault="004A5089" w:rsidP="004A5089">
      <w:pPr>
        <w:pStyle w:val="policytext"/>
        <w:spacing w:after="80"/>
        <w:rPr>
          <w:rStyle w:val="ksbanormal"/>
        </w:rPr>
      </w:pPr>
      <w:r w:rsidRPr="0035625C">
        <w:rPr>
          <w:rStyle w:val="ksbanormal"/>
        </w:rPr>
        <w:t>These requirements do not apply to immigrant students residing in the District or foreign students in any other immigration status, including exchange students.</w:t>
      </w:r>
    </w:p>
    <w:p w:rsidR="004A5089" w:rsidRPr="0035625C" w:rsidRDefault="004A5089" w:rsidP="004A5089">
      <w:pPr>
        <w:pStyle w:val="sideheading"/>
        <w:spacing w:after="80"/>
        <w:rPr>
          <w:szCs w:val="24"/>
        </w:rPr>
      </w:pPr>
      <w:r w:rsidRPr="0035625C">
        <w:rPr>
          <w:szCs w:val="24"/>
        </w:rPr>
        <w:t>Expelled/Convicted Students</w:t>
      </w:r>
    </w:p>
    <w:p w:rsidR="004A5089" w:rsidRPr="0035625C" w:rsidRDefault="004A5089" w:rsidP="004A5089">
      <w:pPr>
        <w:pStyle w:val="policytext"/>
        <w:spacing w:after="80"/>
        <w:rPr>
          <w:szCs w:val="24"/>
        </w:rPr>
      </w:pPr>
      <w:r w:rsidRPr="0035625C">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4A5089" w:rsidRPr="0035625C" w:rsidRDefault="004A5089" w:rsidP="004A5089">
      <w:pPr>
        <w:pStyle w:val="policytext"/>
        <w:numPr>
          <w:ilvl w:val="0"/>
          <w:numId w:val="4"/>
        </w:numPr>
        <w:spacing w:after="80"/>
        <w:rPr>
          <w:szCs w:val="24"/>
        </w:rPr>
      </w:pPr>
      <w:r w:rsidRPr="0035625C">
        <w:rPr>
          <w:szCs w:val="24"/>
        </w:rPr>
        <w:t>If a student has been expelled from school; or</w:t>
      </w:r>
    </w:p>
    <w:p w:rsidR="004A5089" w:rsidRPr="0035625C" w:rsidRDefault="004A5089" w:rsidP="004A5089">
      <w:pPr>
        <w:pStyle w:val="policytext"/>
        <w:numPr>
          <w:ilvl w:val="0"/>
          <w:numId w:val="4"/>
        </w:numPr>
        <w:spacing w:after="80"/>
        <w:ind w:left="810"/>
        <w:rPr>
          <w:szCs w:val="24"/>
        </w:rPr>
      </w:pPr>
      <w:r w:rsidRPr="0035625C">
        <w:rPr>
          <w:szCs w:val="24"/>
        </w:rPr>
        <w:t>If a student has been adjudicated guilty/convicted of, homicide, assault, or an offense in violation of state law or school regulations relating to weapons, alcohol, or drugs.</w:t>
      </w:r>
    </w:p>
    <w:p w:rsidR="004A5089" w:rsidRPr="0035625C" w:rsidRDefault="004A5089" w:rsidP="004A5089">
      <w:pPr>
        <w:pStyle w:val="policytext"/>
        <w:spacing w:after="80"/>
        <w:rPr>
          <w:szCs w:val="24"/>
        </w:rPr>
      </w:pPr>
      <w:r w:rsidRPr="0035625C">
        <w:rPr>
          <w:szCs w:val="24"/>
        </w:rPr>
        <w:t>Assault shall mean any physical assault, including sexual assault.</w:t>
      </w:r>
    </w:p>
    <w:p w:rsidR="004A5089" w:rsidRPr="0035625C" w:rsidRDefault="004A5089" w:rsidP="004A5089">
      <w:pPr>
        <w:pStyle w:val="policytext"/>
        <w:spacing w:after="80"/>
        <w:rPr>
          <w:szCs w:val="24"/>
          <w:vertAlign w:val="superscript"/>
        </w:rPr>
      </w:pPr>
      <w:r w:rsidRPr="0035625C">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szCs w:val="24"/>
          <w:vertAlign w:val="superscript"/>
        </w:rPr>
        <w:t>6</w:t>
      </w:r>
    </w:p>
    <w:p w:rsidR="004A5089" w:rsidRDefault="004A5089" w:rsidP="004A5089">
      <w:pPr>
        <w:pStyle w:val="policytext"/>
        <w:spacing w:after="80"/>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4A5089" w:rsidRDefault="004A5089" w:rsidP="004A5089">
      <w:pPr>
        <w:pStyle w:val="Heading1"/>
      </w:pPr>
      <w:r>
        <w:rPr>
          <w:szCs w:val="24"/>
        </w:rPr>
        <w:br w:type="page"/>
      </w:r>
      <w:r>
        <w:lastRenderedPageBreak/>
        <w:t>STUDENTS</w:t>
      </w:r>
      <w:r>
        <w:tab/>
        <w:t>09.12</w:t>
      </w:r>
    </w:p>
    <w:p w:rsidR="004A5089" w:rsidRDefault="004A5089" w:rsidP="004A5089">
      <w:pPr>
        <w:widowControl w:val="0"/>
        <w:tabs>
          <w:tab w:val="right" w:pos="9216"/>
        </w:tabs>
        <w:jc w:val="both"/>
        <w:outlineLvl w:val="0"/>
        <w:rPr>
          <w:smallCaps/>
        </w:rPr>
      </w:pPr>
      <w:r>
        <w:rPr>
          <w:smallCaps/>
        </w:rPr>
        <w:tab/>
        <w:t>(Continued)</w:t>
      </w:r>
    </w:p>
    <w:p w:rsidR="004A5089" w:rsidRDefault="004A5089" w:rsidP="004A5089">
      <w:pPr>
        <w:spacing w:before="120" w:after="240"/>
        <w:jc w:val="center"/>
        <w:rPr>
          <w:b/>
          <w:sz w:val="28"/>
          <w:u w:val="words"/>
        </w:rPr>
      </w:pPr>
      <w:r>
        <w:rPr>
          <w:b/>
          <w:sz w:val="28"/>
          <w:u w:val="words"/>
        </w:rPr>
        <w:t>Admissions and Attendance</w:t>
      </w:r>
    </w:p>
    <w:p w:rsidR="004A5089" w:rsidRPr="0035625C" w:rsidRDefault="004A5089" w:rsidP="004A5089">
      <w:pPr>
        <w:pStyle w:val="sideheading"/>
        <w:rPr>
          <w:szCs w:val="24"/>
        </w:rPr>
      </w:pPr>
      <w:r w:rsidRPr="0035625C">
        <w:rPr>
          <w:szCs w:val="24"/>
        </w:rPr>
        <w:t>References:</w:t>
      </w:r>
    </w:p>
    <w:p w:rsidR="004A5089" w:rsidRPr="0035625C" w:rsidRDefault="004A5089" w:rsidP="004A5089">
      <w:pPr>
        <w:pStyle w:val="Reference"/>
        <w:rPr>
          <w:szCs w:val="24"/>
        </w:rPr>
      </w:pPr>
      <w:r w:rsidRPr="0035625C">
        <w:rPr>
          <w:szCs w:val="24"/>
          <w:vertAlign w:val="superscript"/>
        </w:rPr>
        <w:t>1</w:t>
      </w:r>
      <w:hyperlink r:id="rId7" w:history="1">
        <w:r w:rsidR="00913B8E">
          <w:rPr>
            <w:rStyle w:val="Hyperlink"/>
          </w:rPr>
          <w:t>KRS 159.010</w:t>
        </w:r>
      </w:hyperlink>
      <w:r w:rsidRPr="0035625C">
        <w:rPr>
          <w:rStyle w:val="ksbanormal"/>
        </w:rPr>
        <w:t>;</w:t>
      </w:r>
      <w:r w:rsidRPr="0035625C">
        <w:rPr>
          <w:szCs w:val="24"/>
        </w:rPr>
        <w:t xml:space="preserve"> </w:t>
      </w:r>
      <w:hyperlink r:id="rId8" w:history="1">
        <w:r w:rsidR="00913B8E">
          <w:rPr>
            <w:rStyle w:val="Hyperlink"/>
            <w:szCs w:val="24"/>
          </w:rPr>
          <w:t>OAG 78</w:t>
        </w:r>
        <w:r w:rsidR="00913B8E">
          <w:rPr>
            <w:rStyle w:val="Hyperlink"/>
            <w:szCs w:val="24"/>
          </w:rPr>
          <w:noBreakHyphen/>
          <w:t>64</w:t>
        </w:r>
      </w:hyperlink>
    </w:p>
    <w:p w:rsidR="004A5089" w:rsidRPr="0035625C" w:rsidRDefault="004A5089" w:rsidP="004A5089">
      <w:pPr>
        <w:pStyle w:val="Reference"/>
        <w:rPr>
          <w:szCs w:val="24"/>
        </w:rPr>
      </w:pPr>
      <w:r w:rsidRPr="0035625C">
        <w:rPr>
          <w:szCs w:val="24"/>
          <w:vertAlign w:val="superscript"/>
        </w:rPr>
        <w:t>2</w:t>
      </w:r>
      <w:r w:rsidRPr="0035625C">
        <w:rPr>
          <w:szCs w:val="24"/>
        </w:rPr>
        <w:t xml:space="preserve">42 U.S.C. </w:t>
      </w:r>
      <w:r w:rsidRPr="00A829C3">
        <w:t>11431 et seq.</w:t>
      </w:r>
      <w:r w:rsidRPr="0035625C">
        <w:rPr>
          <w:szCs w:val="24"/>
        </w:rPr>
        <w:t xml:space="preserve"> (McKinney-</w:t>
      </w:r>
      <w:r w:rsidRPr="00A829C3">
        <w:t>Vento</w:t>
      </w:r>
      <w:r w:rsidRPr="0035625C">
        <w:rPr>
          <w:szCs w:val="24"/>
        </w:rPr>
        <w:t xml:space="preserve"> Act)</w:t>
      </w:r>
    </w:p>
    <w:p w:rsidR="004A5089" w:rsidRPr="0035625C" w:rsidRDefault="004A5089" w:rsidP="004A5089">
      <w:pPr>
        <w:pStyle w:val="Reference"/>
        <w:rPr>
          <w:szCs w:val="24"/>
        </w:rPr>
      </w:pPr>
      <w:r w:rsidRPr="0035625C">
        <w:rPr>
          <w:szCs w:val="24"/>
          <w:vertAlign w:val="superscript"/>
        </w:rPr>
        <w:t>3</w:t>
      </w:r>
      <w:hyperlink r:id="rId9" w:history="1">
        <w:r w:rsidR="00913B8E">
          <w:rPr>
            <w:rStyle w:val="Hyperlink"/>
            <w:szCs w:val="24"/>
          </w:rPr>
          <w:t>KRS 158.120</w:t>
        </w:r>
      </w:hyperlink>
      <w:r w:rsidRPr="0035625C">
        <w:rPr>
          <w:szCs w:val="24"/>
        </w:rPr>
        <w:t xml:space="preserve">; </w:t>
      </w:r>
      <w:hyperlink r:id="rId10" w:history="1">
        <w:r w:rsidR="00913B8E">
          <w:rPr>
            <w:rStyle w:val="Hyperlink"/>
            <w:szCs w:val="24"/>
          </w:rPr>
          <w:t>OAG 80</w:t>
        </w:r>
        <w:r w:rsidR="00913B8E">
          <w:rPr>
            <w:rStyle w:val="Hyperlink"/>
            <w:szCs w:val="24"/>
          </w:rPr>
          <w:noBreakHyphen/>
          <w:t>47</w:t>
        </w:r>
      </w:hyperlink>
      <w:r w:rsidRPr="0035625C">
        <w:rPr>
          <w:szCs w:val="24"/>
        </w:rPr>
        <w:t xml:space="preserve">; </w:t>
      </w:r>
      <w:hyperlink r:id="rId11" w:history="1">
        <w:r w:rsidR="00913B8E">
          <w:rPr>
            <w:rStyle w:val="Hyperlink"/>
            <w:szCs w:val="24"/>
          </w:rPr>
          <w:t>OAG 79</w:t>
        </w:r>
        <w:r w:rsidR="00913B8E">
          <w:rPr>
            <w:rStyle w:val="Hyperlink"/>
            <w:szCs w:val="24"/>
          </w:rPr>
          <w:noBreakHyphen/>
          <w:t>327</w:t>
        </w:r>
      </w:hyperlink>
      <w:r w:rsidRPr="0035625C">
        <w:rPr>
          <w:szCs w:val="24"/>
        </w:rPr>
        <w:t xml:space="preserve">; </w:t>
      </w:r>
      <w:hyperlink r:id="rId12" w:history="1">
        <w:r w:rsidR="00913B8E">
          <w:rPr>
            <w:rStyle w:val="Hyperlink"/>
            <w:szCs w:val="24"/>
          </w:rPr>
          <w:t>OAG 75</w:t>
        </w:r>
        <w:r w:rsidR="00913B8E">
          <w:rPr>
            <w:rStyle w:val="Hyperlink"/>
            <w:szCs w:val="24"/>
          </w:rPr>
          <w:noBreakHyphen/>
          <w:t>602</w:t>
        </w:r>
      </w:hyperlink>
    </w:p>
    <w:p w:rsidR="004A5089" w:rsidRPr="0035625C" w:rsidRDefault="004A5089" w:rsidP="004A5089">
      <w:pPr>
        <w:pStyle w:val="Reference"/>
        <w:rPr>
          <w:szCs w:val="24"/>
        </w:rPr>
      </w:pPr>
      <w:r w:rsidRPr="0035625C">
        <w:rPr>
          <w:szCs w:val="24"/>
          <w:vertAlign w:val="superscript"/>
        </w:rPr>
        <w:t>4</w:t>
      </w:r>
      <w:hyperlink r:id="rId13" w:history="1">
        <w:r w:rsidR="00913B8E">
          <w:rPr>
            <w:rStyle w:val="Hyperlink"/>
            <w:szCs w:val="24"/>
          </w:rPr>
          <w:t>KRS 157.320</w:t>
        </w:r>
      </w:hyperlink>
    </w:p>
    <w:p w:rsidR="004A5089" w:rsidRPr="0035625C" w:rsidRDefault="004A5089" w:rsidP="004A5089">
      <w:pPr>
        <w:pStyle w:val="Reference"/>
        <w:rPr>
          <w:szCs w:val="24"/>
        </w:rPr>
      </w:pPr>
      <w:r w:rsidRPr="0035625C">
        <w:rPr>
          <w:szCs w:val="24"/>
          <w:vertAlign w:val="superscript"/>
        </w:rPr>
        <w:t>5</w:t>
      </w:r>
      <w:hyperlink r:id="rId14" w:history="1">
        <w:r w:rsidR="00913B8E">
          <w:rPr>
            <w:rStyle w:val="Hyperlink"/>
            <w:szCs w:val="24"/>
          </w:rPr>
          <w:t>702 KAR 007:125</w:t>
        </w:r>
      </w:hyperlink>
    </w:p>
    <w:p w:rsidR="004A5089" w:rsidRPr="0035625C" w:rsidRDefault="004A5089" w:rsidP="004A5089">
      <w:pPr>
        <w:pStyle w:val="Reference"/>
        <w:rPr>
          <w:szCs w:val="24"/>
        </w:rPr>
      </w:pPr>
      <w:r w:rsidRPr="0035625C">
        <w:rPr>
          <w:szCs w:val="24"/>
          <w:vertAlign w:val="superscript"/>
        </w:rPr>
        <w:t>6</w:t>
      </w:r>
      <w:hyperlink r:id="rId15" w:history="1">
        <w:r w:rsidR="00913B8E">
          <w:rPr>
            <w:rStyle w:val="Hyperlink"/>
            <w:szCs w:val="24"/>
          </w:rPr>
          <w:t>KRS 158.155</w:t>
        </w:r>
      </w:hyperlink>
      <w:r w:rsidRPr="0035625C">
        <w:rPr>
          <w:szCs w:val="24"/>
        </w:rPr>
        <w:t xml:space="preserve">; </w:t>
      </w:r>
      <w:hyperlink r:id="rId16" w:history="1">
        <w:r w:rsidR="00913B8E">
          <w:rPr>
            <w:rStyle w:val="Hyperlink"/>
            <w:szCs w:val="24"/>
          </w:rPr>
          <w:t>KRS 157.330</w:t>
        </w:r>
      </w:hyperlink>
      <w:r>
        <w:rPr>
          <w:szCs w:val="24"/>
        </w:rPr>
        <w:t>;</w:t>
      </w:r>
      <w:r w:rsidRPr="0035625C">
        <w:t xml:space="preserve"> </w:t>
      </w:r>
      <w:hyperlink r:id="rId17" w:history="1">
        <w:r w:rsidR="00913B8E">
          <w:rPr>
            <w:rStyle w:val="Hyperlink"/>
          </w:rPr>
          <w:t>KRS 158.150</w:t>
        </w:r>
      </w:hyperlink>
    </w:p>
    <w:p w:rsidR="004A5089" w:rsidRPr="005C33A0" w:rsidRDefault="004A5089" w:rsidP="004A5089">
      <w:pPr>
        <w:pStyle w:val="Reference"/>
        <w:rPr>
          <w:rStyle w:val="ksbanormal"/>
        </w:rPr>
      </w:pPr>
      <w:r w:rsidRPr="005C33A0">
        <w:rPr>
          <w:rStyle w:val="ksbanormal"/>
        </w:rPr>
        <w:t xml:space="preserve"> </w:t>
      </w:r>
      <w:hyperlink r:id="rId18" w:history="1">
        <w:r w:rsidR="00913B8E">
          <w:rPr>
            <w:rStyle w:val="Hyperlink"/>
          </w:rPr>
          <w:t>KRS 157.360</w:t>
        </w:r>
      </w:hyperlink>
      <w:r w:rsidRPr="005C33A0">
        <w:rPr>
          <w:rStyle w:val="ksbanormal"/>
        </w:rPr>
        <w:t xml:space="preserve">; </w:t>
      </w:r>
      <w:hyperlink r:id="rId19" w:history="1">
        <w:r w:rsidR="00913B8E">
          <w:rPr>
            <w:rStyle w:val="Hyperlink"/>
          </w:rPr>
          <w:t>KRS 158.100</w:t>
        </w:r>
      </w:hyperlink>
    </w:p>
    <w:p w:rsidR="004A5089" w:rsidRPr="0035625C" w:rsidRDefault="004A5089" w:rsidP="004A5089">
      <w:pPr>
        <w:pStyle w:val="Reference"/>
        <w:rPr>
          <w:szCs w:val="24"/>
        </w:rPr>
      </w:pPr>
      <w:r>
        <w:rPr>
          <w:szCs w:val="24"/>
        </w:rPr>
        <w:t xml:space="preserve"> </w:t>
      </w:r>
      <w:hyperlink r:id="rId20" w:history="1">
        <w:r w:rsidR="00913B8E">
          <w:rPr>
            <w:rStyle w:val="Hyperlink"/>
            <w:szCs w:val="24"/>
          </w:rPr>
          <w:t>704 KAR 007:090</w:t>
        </w:r>
      </w:hyperlink>
      <w:r w:rsidRPr="0035625C">
        <w:rPr>
          <w:szCs w:val="24"/>
        </w:rPr>
        <w:t xml:space="preserve">; </w:t>
      </w:r>
      <w:hyperlink r:id="rId21" w:history="1">
        <w:r w:rsidR="00913B8E">
          <w:rPr>
            <w:rStyle w:val="Hyperlink"/>
            <w:szCs w:val="24"/>
          </w:rPr>
          <w:t>OAG 91-171</w:t>
        </w:r>
      </w:hyperlink>
    </w:p>
    <w:p w:rsidR="004A5089" w:rsidRDefault="004A5089" w:rsidP="004A5089">
      <w:pPr>
        <w:pStyle w:val="Reference"/>
        <w:rPr>
          <w:rStyle w:val="ksbanormal"/>
          <w:szCs w:val="24"/>
        </w:rPr>
      </w:pPr>
      <w:r>
        <w:rPr>
          <w:rStyle w:val="ksbanormal"/>
        </w:rPr>
        <w:t xml:space="preserve"> P. L. 104-208</w:t>
      </w:r>
      <w:r>
        <w:rPr>
          <w:rStyle w:val="ksbanormal"/>
          <w:szCs w:val="24"/>
        </w:rPr>
        <w:t xml:space="preserve"> </w:t>
      </w:r>
    </w:p>
    <w:p w:rsidR="004A5089" w:rsidRPr="00F50662" w:rsidRDefault="004A5089" w:rsidP="004A5089">
      <w:pPr>
        <w:pStyle w:val="Reference"/>
        <w:rPr>
          <w:rStyle w:val="ksbanormal"/>
          <w:b/>
        </w:rPr>
      </w:pPr>
      <w:r>
        <w:rPr>
          <w:rStyle w:val="ksbanormal"/>
        </w:rPr>
        <w:t xml:space="preserve"> P. L. 114-95 (Every Student Succeeds Act of 2015), 20 U.S.C. § 6301 et seq.</w:t>
      </w:r>
    </w:p>
    <w:p w:rsidR="004A5089" w:rsidRPr="0035625C" w:rsidRDefault="004A5089" w:rsidP="004A5089">
      <w:pPr>
        <w:pStyle w:val="Reference"/>
        <w:rPr>
          <w:szCs w:val="24"/>
        </w:rPr>
      </w:pPr>
      <w:r w:rsidRPr="0035625C">
        <w:rPr>
          <w:szCs w:val="24"/>
        </w:rPr>
        <w:t xml:space="preserve"> 8 U.S.C. Sections 1101 and 1184: 8 C.F.R. Section 214</w:t>
      </w:r>
    </w:p>
    <w:p w:rsidR="004A5089" w:rsidRPr="00C11BA5" w:rsidRDefault="004A5089" w:rsidP="004A5089">
      <w:pPr>
        <w:pStyle w:val="Reference"/>
        <w:rPr>
          <w:szCs w:val="24"/>
        </w:rPr>
      </w:pPr>
      <w:r w:rsidRPr="0035625C">
        <w:rPr>
          <w:i/>
          <w:szCs w:val="24"/>
        </w:rPr>
        <w:t xml:space="preserve"> Plyler </w:t>
      </w:r>
      <w:r w:rsidRPr="0035625C">
        <w:rPr>
          <w:szCs w:val="24"/>
        </w:rPr>
        <w:t xml:space="preserve">v. </w:t>
      </w:r>
      <w:r w:rsidRPr="0035625C">
        <w:rPr>
          <w:i/>
          <w:szCs w:val="24"/>
        </w:rPr>
        <w:t xml:space="preserve">Doe, </w:t>
      </w:r>
      <w:r w:rsidRPr="0035625C">
        <w:rPr>
          <w:szCs w:val="24"/>
        </w:rPr>
        <w:t>457 U.S. 202 (1982)</w:t>
      </w:r>
      <w:r>
        <w:rPr>
          <w:szCs w:val="24"/>
        </w:rPr>
        <w:t>;</w:t>
      </w:r>
      <w:r w:rsidRPr="00A829C3">
        <w:t xml:space="preserve"> Equal Educational Opportunities Act of 1974 (EEOA)</w:t>
      </w:r>
    </w:p>
    <w:p w:rsidR="004A5089" w:rsidRDefault="004A5089" w:rsidP="004A5089">
      <w:pPr>
        <w:pStyle w:val="relatedsideheading"/>
        <w:rPr>
          <w:szCs w:val="24"/>
        </w:rPr>
      </w:pPr>
      <w:r>
        <w:rPr>
          <w:szCs w:val="24"/>
        </w:rPr>
        <w:t>Related Policies:</w:t>
      </w:r>
    </w:p>
    <w:p w:rsidR="004A5089" w:rsidRPr="00F50662" w:rsidRDefault="004A5089" w:rsidP="004A5089">
      <w:pPr>
        <w:pStyle w:val="Reference"/>
        <w:rPr>
          <w:rStyle w:val="ksbanormal"/>
        </w:rPr>
      </w:pPr>
      <w:r w:rsidRPr="00F50662">
        <w:rPr>
          <w:rStyle w:val="ksbanormal"/>
        </w:rPr>
        <w:t>06.32; 08.1114</w:t>
      </w:r>
    </w:p>
    <w:p w:rsidR="004A5089" w:rsidRDefault="004A5089" w:rsidP="004A5089">
      <w:pPr>
        <w:pStyle w:val="Reference"/>
        <w:rPr>
          <w:szCs w:val="24"/>
        </w:rPr>
      </w:pPr>
      <w:r>
        <w:rPr>
          <w:szCs w:val="24"/>
        </w:rPr>
        <w:t xml:space="preserve">09.11; </w:t>
      </w:r>
      <w:r w:rsidRPr="00F50662">
        <w:rPr>
          <w:rStyle w:val="ksbanormal"/>
        </w:rPr>
        <w:t>09.121;</w:t>
      </w:r>
      <w:r>
        <w:rPr>
          <w:szCs w:val="24"/>
        </w:rPr>
        <w:t xml:space="preserve"> </w:t>
      </w:r>
      <w:r>
        <w:rPr>
          <w:rStyle w:val="ksbanormal"/>
        </w:rPr>
        <w:t>09.1223;</w:t>
      </w:r>
      <w:r>
        <w:rPr>
          <w:b/>
        </w:rPr>
        <w:t xml:space="preserve"> </w:t>
      </w:r>
      <w:r>
        <w:rPr>
          <w:szCs w:val="24"/>
        </w:rPr>
        <w:t>09.123; 09.124; 09.125</w:t>
      </w:r>
    </w:p>
    <w:p w:rsidR="004A5089" w:rsidRDefault="004A5089" w:rsidP="004A5089">
      <w:pPr>
        <w:pStyle w:val="Reference"/>
        <w:rPr>
          <w:rStyle w:val="ksbanormal"/>
        </w:rPr>
      </w:pPr>
      <w:r>
        <w:rPr>
          <w:rStyle w:val="ksbanormal"/>
        </w:rPr>
        <w:t>09.126 (re requirements/exceptions for students from military families)</w:t>
      </w:r>
    </w:p>
    <w:p w:rsidR="004A5089" w:rsidRPr="00E42AFD" w:rsidRDefault="004A5089" w:rsidP="004A5089">
      <w:pPr>
        <w:pStyle w:val="Reference"/>
        <w:rPr>
          <w:rStyle w:val="ksbanormal"/>
        </w:rPr>
      </w:pPr>
      <w:r w:rsidRPr="00E42AFD">
        <w:rPr>
          <w:rStyle w:val="ksbanormal"/>
        </w:rPr>
        <w:t xml:space="preserve">09.14; </w:t>
      </w:r>
      <w:r w:rsidRPr="00F50662">
        <w:t>09.211</w:t>
      </w:r>
    </w:p>
    <w:p w:rsidR="004A5089" w:rsidRDefault="00913B8E" w:rsidP="004A5089">
      <w:pPr>
        <w:pStyle w:val="policytextright"/>
      </w:pPr>
      <w:r>
        <w:t>Adopted/Amended: 8/15/2017</w:t>
      </w:r>
    </w:p>
    <w:p w:rsidR="00F776E7" w:rsidRDefault="00913B8E" w:rsidP="004C6FA0">
      <w:pPr>
        <w:pStyle w:val="policytextright"/>
      </w:pPr>
      <w:r>
        <w:t>Order #:         IVI</w:t>
      </w:r>
    </w:p>
    <w:sectPr w:rsidR="00F776E7" w:rsidSect="007F61AD">
      <w:footerReference w:type="default" r:id="rId22"/>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14" w:rsidRDefault="004E0014" w:rsidP="004A5089">
      <w:r>
        <w:separator/>
      </w:r>
    </w:p>
  </w:endnote>
  <w:endnote w:type="continuationSeparator" w:id="0">
    <w:p w:rsidR="004E0014" w:rsidRDefault="004E0014" w:rsidP="004A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89" w:rsidRPr="004A5089" w:rsidRDefault="004A5089" w:rsidP="004A50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06D8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06D8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14" w:rsidRDefault="004E0014" w:rsidP="004A5089">
      <w:r>
        <w:separator/>
      </w:r>
    </w:p>
  </w:footnote>
  <w:footnote w:type="continuationSeparator" w:id="0">
    <w:p w:rsidR="004E0014" w:rsidRDefault="004E0014" w:rsidP="004A5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014C"/>
    <w:multiLevelType w:val="singleLevel"/>
    <w:tmpl w:val="B0CE3BF8"/>
    <w:lvl w:ilvl="0">
      <w:start w:val="1"/>
      <w:numFmt w:val="decimal"/>
      <w:lvlText w:val="%1."/>
      <w:legacy w:legacy="1" w:legacySpace="0" w:legacyIndent="360"/>
      <w:lvlJc w:val="left"/>
      <w:pPr>
        <w:ind w:left="936" w:hanging="360"/>
      </w:pPr>
    </w:lvl>
  </w:abstractNum>
  <w:abstractNum w:abstractNumId="1" w15:restartNumberingAfterBreak="0">
    <w:nsid w:val="2DC51476"/>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BB09AE"/>
    <w:multiLevelType w:val="hybridMultilevel"/>
    <w:tmpl w:val="990830AC"/>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3" w15:restartNumberingAfterBreak="0">
    <w:nsid w:val="411A3568"/>
    <w:multiLevelType w:val="singleLevel"/>
    <w:tmpl w:val="D69CD3EA"/>
    <w:lvl w:ilvl="0">
      <w:start w:val="1"/>
      <w:numFmt w:val="decimal"/>
      <w:lvlText w:val="%1."/>
      <w:legacy w:legacy="1" w:legacySpace="0" w:legacyIndent="360"/>
      <w:lvlJc w:val="left"/>
      <w:pPr>
        <w:ind w:left="936"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89"/>
    <w:rsid w:val="001923BD"/>
    <w:rsid w:val="001A33F8"/>
    <w:rsid w:val="00206D84"/>
    <w:rsid w:val="0035105A"/>
    <w:rsid w:val="004448C7"/>
    <w:rsid w:val="004A5089"/>
    <w:rsid w:val="004A6E6A"/>
    <w:rsid w:val="004C6FA0"/>
    <w:rsid w:val="004E0014"/>
    <w:rsid w:val="00550D69"/>
    <w:rsid w:val="005A55CD"/>
    <w:rsid w:val="005C6373"/>
    <w:rsid w:val="00625509"/>
    <w:rsid w:val="006F3C8A"/>
    <w:rsid w:val="006F655E"/>
    <w:rsid w:val="007F61AD"/>
    <w:rsid w:val="00913B8E"/>
    <w:rsid w:val="00920A52"/>
    <w:rsid w:val="0094225B"/>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51CDB-E3C7-4473-99BA-0A54643B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4A5089"/>
    <w:pPr>
      <w:tabs>
        <w:tab w:val="center" w:pos="4680"/>
        <w:tab w:val="right" w:pos="9360"/>
      </w:tabs>
    </w:pPr>
  </w:style>
  <w:style w:type="character" w:customStyle="1" w:styleId="HeaderChar">
    <w:name w:val="Header Char"/>
    <w:basedOn w:val="DefaultParagraphFont"/>
    <w:link w:val="Header"/>
    <w:uiPriority w:val="99"/>
    <w:rsid w:val="004A5089"/>
    <w:rPr>
      <w:rFonts w:ascii="Times New Roman" w:hAnsi="Times New Roman" w:cs="Times New Roman"/>
      <w:sz w:val="24"/>
      <w:szCs w:val="20"/>
    </w:rPr>
  </w:style>
  <w:style w:type="paragraph" w:styleId="Footer">
    <w:name w:val="footer"/>
    <w:basedOn w:val="Normal"/>
    <w:link w:val="FooterChar"/>
    <w:uiPriority w:val="99"/>
    <w:unhideWhenUsed/>
    <w:rsid w:val="004A5089"/>
    <w:pPr>
      <w:tabs>
        <w:tab w:val="center" w:pos="4680"/>
        <w:tab w:val="right" w:pos="9360"/>
      </w:tabs>
    </w:pPr>
  </w:style>
  <w:style w:type="character" w:customStyle="1" w:styleId="FooterChar">
    <w:name w:val="Footer Char"/>
    <w:basedOn w:val="DefaultParagraphFont"/>
    <w:link w:val="Footer"/>
    <w:uiPriority w:val="99"/>
    <w:rsid w:val="004A5089"/>
    <w:rPr>
      <w:rFonts w:ascii="Times New Roman" w:hAnsi="Times New Roman" w:cs="Times New Roman"/>
      <w:sz w:val="24"/>
      <w:szCs w:val="20"/>
    </w:rPr>
  </w:style>
  <w:style w:type="character" w:styleId="PageNumber">
    <w:name w:val="page number"/>
    <w:basedOn w:val="DefaultParagraphFont"/>
    <w:uiPriority w:val="99"/>
    <w:semiHidden/>
    <w:unhideWhenUsed/>
    <w:rsid w:val="004A5089"/>
  </w:style>
  <w:style w:type="character" w:customStyle="1" w:styleId="policytextChar">
    <w:name w:val="policytext Char"/>
    <w:link w:val="policytext"/>
    <w:rsid w:val="004A5089"/>
    <w:rPr>
      <w:rFonts w:ascii="Times New Roman" w:hAnsi="Times New Roman" w:cs="Times New Roman"/>
      <w:sz w:val="24"/>
      <w:szCs w:val="20"/>
    </w:rPr>
  </w:style>
  <w:style w:type="character" w:customStyle="1" w:styleId="ReferenceChar">
    <w:name w:val="Reference Char"/>
    <w:link w:val="Reference"/>
    <w:rsid w:val="004A5089"/>
    <w:rPr>
      <w:rFonts w:ascii="Times New Roman" w:hAnsi="Times New Roman" w:cs="Times New Roman"/>
      <w:sz w:val="24"/>
      <w:szCs w:val="20"/>
    </w:rPr>
  </w:style>
  <w:style w:type="character" w:customStyle="1" w:styleId="sideheadingChar">
    <w:name w:val="sideheading Char"/>
    <w:link w:val="sideheading"/>
    <w:rsid w:val="004A5089"/>
    <w:rPr>
      <w:rFonts w:ascii="Times New Roman" w:hAnsi="Times New Roman" w:cs="Times New Roman"/>
      <w:b/>
      <w:smallCaps/>
      <w:sz w:val="24"/>
      <w:szCs w:val="20"/>
    </w:rPr>
  </w:style>
  <w:style w:type="character" w:customStyle="1" w:styleId="relatedsideheadingChar">
    <w:name w:val="related sideheading Char"/>
    <w:link w:val="relatedsideheading"/>
    <w:rsid w:val="004A5089"/>
    <w:rPr>
      <w:rFonts w:ascii="Times New Roman" w:hAnsi="Times New Roman" w:cs="Times New Roman"/>
      <w:b/>
      <w:smallCaps/>
      <w:sz w:val="24"/>
      <w:szCs w:val="20"/>
    </w:rPr>
  </w:style>
  <w:style w:type="character" w:customStyle="1" w:styleId="List123Char">
    <w:name w:val="List123 Char"/>
    <w:link w:val="List123"/>
    <w:rsid w:val="004A5089"/>
    <w:rPr>
      <w:rFonts w:ascii="Times New Roman" w:hAnsi="Times New Roman" w:cs="Times New Roman"/>
      <w:sz w:val="24"/>
      <w:szCs w:val="20"/>
    </w:rPr>
  </w:style>
  <w:style w:type="character" w:customStyle="1" w:styleId="policytitleChar">
    <w:name w:val="policytitle Char"/>
    <w:link w:val="policytitle"/>
    <w:rsid w:val="004A5089"/>
    <w:rPr>
      <w:rFonts w:ascii="Times New Roman" w:hAnsi="Times New Roman" w:cs="Times New Roman"/>
      <w:b/>
      <w:sz w:val="28"/>
      <w:szCs w:val="20"/>
      <w:u w:val="words"/>
    </w:rPr>
  </w:style>
  <w:style w:type="character" w:styleId="Hyperlink">
    <w:name w:val="Hyperlink"/>
    <w:basedOn w:val="DefaultParagraphFont"/>
    <w:uiPriority w:val="99"/>
    <w:unhideWhenUsed/>
    <w:rsid w:val="00913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civil/opinions/OAG7864.htm&amp;requesttype=oag" TargetMode="External"/><Relationship Id="rId13" Type="http://schemas.openxmlformats.org/officeDocument/2006/relationships/hyperlink" Target="http://policy.ksba.org//DocumentManager.aspx?requestarticle=/KRS/157-00/320.pdf&amp;requesttype=krs" TargetMode="External"/><Relationship Id="rId18" Type="http://schemas.openxmlformats.org/officeDocument/2006/relationships/hyperlink" Target="http://policy.ksba.org//DocumentManager.aspx?requestarticle=/KRS/157-00/360.pdf&amp;requesttype=krs" TargetMode="External"/><Relationship Id="rId3" Type="http://schemas.openxmlformats.org/officeDocument/2006/relationships/settings" Target="settings.xml"/><Relationship Id="rId21" Type="http://schemas.openxmlformats.org/officeDocument/2006/relationships/hyperlink" Target="http://policy.ksba.org//documentmanager.aspx?requestarticle=/civil/opinions/OAG91171.htm&amp;requesttype=oag" TargetMode="External"/><Relationship Id="rId7" Type="http://schemas.openxmlformats.org/officeDocument/2006/relationships/hyperlink" Target="http://policy.ksba.org//DocumentManager.aspx?requestarticle=/KRS/159-00/010.pdf&amp;requesttype=krs" TargetMode="External"/><Relationship Id="rId12" Type="http://schemas.openxmlformats.org/officeDocument/2006/relationships/hyperlink" Target="http://policy.ksba.org//documentmanager.aspx?requestarticle=/civil/opinions/OAG75602.htm&amp;requesttype=oag" TargetMode="External"/><Relationship Id="rId17" Type="http://schemas.openxmlformats.org/officeDocument/2006/relationships/hyperlink" Target="http://policy.ksba.org//DocumentManager.aspx?requestarticle=/KRS/158-00/150.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57-00/330.pdf&amp;requesttype=krs" TargetMode="External"/><Relationship Id="rId20" Type="http://schemas.openxmlformats.org/officeDocument/2006/relationships/hyperlink" Target="http://policy.ksba.org//documentmanager.aspx?requestarticle=/kar/704/007/09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civil/opinions/OAG79327.htm&amp;requesttype=oa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ksba.org//DocumentManager.aspx?requestarticle=/KRS/158-00/155.pdf&amp;requesttype=krs" TargetMode="External"/><Relationship Id="rId23" Type="http://schemas.openxmlformats.org/officeDocument/2006/relationships/fontTable" Target="fontTable.xml"/><Relationship Id="rId10" Type="http://schemas.openxmlformats.org/officeDocument/2006/relationships/hyperlink" Target="http://policy.ksba.org//documentmanager.aspx?requestarticle=/civil/opinions/OAG8047.htm&amp;requesttype=oag" TargetMode="External"/><Relationship Id="rId19" Type="http://schemas.openxmlformats.org/officeDocument/2006/relationships/hyperlink" Target="http://policy.ksba.org//DocumentManager.aspx?requestarticle=/KRS/158-00/10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120.pdf&amp;requesttype=krs" TargetMode="External"/><Relationship Id="rId14" Type="http://schemas.openxmlformats.org/officeDocument/2006/relationships/hyperlink" Target="http://policy.ksba.org//documentmanager.aspx?requestarticle=/kar/702/007/125.htm&amp;requesttype=kar"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0</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McKay, Carla</cp:lastModifiedBy>
  <cp:revision>2</cp:revision>
  <dcterms:created xsi:type="dcterms:W3CDTF">2018-02-15T18:24:00Z</dcterms:created>
  <dcterms:modified xsi:type="dcterms:W3CDTF">2018-02-15T18:24:00Z</dcterms:modified>
</cp:coreProperties>
</file>