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B783" w14:textId="77777777" w:rsidR="00E75E98" w:rsidRDefault="00E75E98" w:rsidP="004A27D0">
      <w:pPr>
        <w:spacing w:after="0" w:line="240" w:lineRule="auto"/>
        <w:rPr>
          <w:u w:val="single"/>
        </w:rPr>
      </w:pPr>
    </w:p>
    <w:p w14:paraId="72F14C14" w14:textId="1D1EC023" w:rsidR="00910906" w:rsidRPr="004A27D0" w:rsidRDefault="00910906" w:rsidP="004A27D0">
      <w:pPr>
        <w:pStyle w:val="ListParagraph"/>
        <w:numPr>
          <w:ilvl w:val="0"/>
          <w:numId w:val="1"/>
        </w:numPr>
        <w:spacing w:after="0" w:line="240" w:lineRule="auto"/>
        <w:rPr>
          <w:u w:val="single"/>
        </w:rPr>
      </w:pPr>
      <w:r w:rsidRPr="004A27D0">
        <w:rPr>
          <w:u w:val="single"/>
        </w:rPr>
        <w:t>Availability</w:t>
      </w:r>
    </w:p>
    <w:p w14:paraId="2E0095B3" w14:textId="77777777" w:rsidR="002F4F4A" w:rsidRDefault="002F4F4A" w:rsidP="002F4F4A">
      <w:pPr>
        <w:spacing w:after="0" w:line="240" w:lineRule="auto"/>
      </w:pPr>
    </w:p>
    <w:p w14:paraId="677BC65F" w14:textId="6EBF4672" w:rsidR="00910906" w:rsidRDefault="00910906" w:rsidP="00503C16">
      <w:pPr>
        <w:spacing w:after="0" w:line="240" w:lineRule="auto"/>
        <w:ind w:left="360"/>
      </w:pPr>
      <w:r>
        <w:t xml:space="preserve">This rate schedule for wholesale power is available to Members purchasing power and energy from the Agency under the terms of the All Requirements Power Sales Contract (“Contract”). </w:t>
      </w:r>
    </w:p>
    <w:p w14:paraId="25813FB0" w14:textId="77777777" w:rsidR="000E7E18" w:rsidRDefault="000E7E18" w:rsidP="002F4F4A">
      <w:pPr>
        <w:spacing w:after="0" w:line="240" w:lineRule="auto"/>
      </w:pPr>
    </w:p>
    <w:p w14:paraId="60985CA8" w14:textId="77777777" w:rsidR="00910906" w:rsidRPr="002F4F4A" w:rsidRDefault="00910906" w:rsidP="004A27D0">
      <w:pPr>
        <w:pStyle w:val="ListParagraph"/>
        <w:numPr>
          <w:ilvl w:val="0"/>
          <w:numId w:val="1"/>
        </w:numPr>
        <w:spacing w:after="0" w:line="240" w:lineRule="auto"/>
        <w:rPr>
          <w:u w:val="single"/>
        </w:rPr>
      </w:pPr>
      <w:r w:rsidRPr="002F4F4A">
        <w:rPr>
          <w:u w:val="single"/>
        </w:rPr>
        <w:t>Applicability</w:t>
      </w:r>
    </w:p>
    <w:p w14:paraId="5027920A" w14:textId="77777777" w:rsidR="002F4F4A" w:rsidRDefault="002F4F4A" w:rsidP="002F4F4A">
      <w:pPr>
        <w:spacing w:after="0" w:line="240" w:lineRule="auto"/>
      </w:pPr>
    </w:p>
    <w:p w14:paraId="191A70E3" w14:textId="519F3C8F" w:rsidR="00910906" w:rsidRDefault="00910906" w:rsidP="00503C16">
      <w:pPr>
        <w:spacing w:after="0" w:line="240" w:lineRule="auto"/>
        <w:ind w:left="360"/>
      </w:pPr>
      <w:r>
        <w:t xml:space="preserve">Wholesale </w:t>
      </w:r>
      <w:r w:rsidR="00B80FA5">
        <w:t xml:space="preserve">power </w:t>
      </w:r>
      <w:r>
        <w:t xml:space="preserve">service </w:t>
      </w:r>
      <w:r w:rsidR="00B80FA5">
        <w:t xml:space="preserve">for Members participating in the All Requirements Project for </w:t>
      </w:r>
      <w:r>
        <w:t>distribution and sale</w:t>
      </w:r>
      <w:r w:rsidR="00B80FA5">
        <w:t xml:space="preserve"> to retail customers</w:t>
      </w:r>
      <w:r>
        <w:t xml:space="preserve">.  This </w:t>
      </w:r>
      <w:r w:rsidR="00B80FA5">
        <w:t xml:space="preserve">rate schedule </w:t>
      </w:r>
      <w:r>
        <w:t xml:space="preserve">is applicable only to those </w:t>
      </w:r>
      <w:r w:rsidR="00B80FA5">
        <w:t>M</w:t>
      </w:r>
      <w:r>
        <w:t>ember</w:t>
      </w:r>
      <w:r w:rsidR="00B80FA5">
        <w:t>s</w:t>
      </w:r>
      <w:r>
        <w:t xml:space="preserve"> who </w:t>
      </w:r>
      <w:r w:rsidR="00BD4ADA">
        <w:t>are or in the future become signatories to the Contract</w:t>
      </w:r>
      <w:r>
        <w:t>.</w:t>
      </w:r>
    </w:p>
    <w:p w14:paraId="2669737B" w14:textId="77777777" w:rsidR="002F4F4A" w:rsidRDefault="002F4F4A" w:rsidP="002F4F4A">
      <w:pPr>
        <w:spacing w:after="0" w:line="240" w:lineRule="auto"/>
      </w:pPr>
    </w:p>
    <w:p w14:paraId="3680064F" w14:textId="77777777" w:rsidR="00B80FA5" w:rsidRPr="002F4F4A" w:rsidRDefault="00B80FA5" w:rsidP="004A27D0">
      <w:pPr>
        <w:pStyle w:val="ListParagraph"/>
        <w:numPr>
          <w:ilvl w:val="0"/>
          <w:numId w:val="1"/>
        </w:numPr>
        <w:spacing w:after="0" w:line="240" w:lineRule="auto"/>
        <w:rPr>
          <w:u w:val="single"/>
        </w:rPr>
      </w:pPr>
      <w:r w:rsidRPr="002F4F4A">
        <w:rPr>
          <w:u w:val="single"/>
        </w:rPr>
        <w:t>Character of Service</w:t>
      </w:r>
    </w:p>
    <w:p w14:paraId="687EC942" w14:textId="77777777" w:rsidR="002F4F4A" w:rsidRDefault="002F4F4A" w:rsidP="002F4F4A">
      <w:pPr>
        <w:spacing w:after="0" w:line="240" w:lineRule="auto"/>
      </w:pPr>
    </w:p>
    <w:p w14:paraId="62FBCA88" w14:textId="3BEFC810" w:rsidR="00B80FA5" w:rsidRDefault="008540E9" w:rsidP="00503C16">
      <w:pPr>
        <w:spacing w:after="0" w:line="240" w:lineRule="auto"/>
        <w:ind w:left="360"/>
      </w:pPr>
      <w:r>
        <w:rPr>
          <w:noProof/>
        </w:rPr>
        <mc:AlternateContent>
          <mc:Choice Requires="wps">
            <w:drawing>
              <wp:anchor distT="45720" distB="45720" distL="114300" distR="114300" simplePos="0" relativeHeight="251660800" behindDoc="0" locked="0" layoutInCell="1" allowOverlap="1" wp14:anchorId="20CBBC27" wp14:editId="068D5E28">
                <wp:simplePos x="0" y="0"/>
                <wp:positionH relativeFrom="column">
                  <wp:posOffset>3990975</wp:posOffset>
                </wp:positionH>
                <wp:positionV relativeFrom="paragraph">
                  <wp:posOffset>267335</wp:posOffset>
                </wp:positionV>
                <wp:extent cx="2562225" cy="10858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85850"/>
                        </a:xfrm>
                        <a:prstGeom prst="rect">
                          <a:avLst/>
                        </a:prstGeom>
                        <a:solidFill>
                          <a:schemeClr val="bg1">
                            <a:lumMod val="85000"/>
                          </a:schemeClr>
                        </a:solidFill>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143C80B6" w14:textId="2E218B4D" w:rsidR="006542CE" w:rsidRPr="008540E9" w:rsidRDefault="008540E9">
                            <w:pPr>
                              <w:rPr>
                                <w:i/>
                                <w:color w:val="C00000"/>
                                <w:sz w:val="20"/>
                                <w14:textOutline w14:w="9525" w14:cap="rnd" w14:cmpd="sng" w14:algn="ctr">
                                  <w14:noFill/>
                                  <w14:prstDash w14:val="solid"/>
                                  <w14:bevel/>
                                </w14:textOutline>
                              </w:rPr>
                            </w:pPr>
                            <w:r w:rsidRPr="008540E9">
                              <w:rPr>
                                <w:i/>
                                <w:color w:val="C00000"/>
                                <w:sz w:val="20"/>
                                <w14:textOutline w14:w="9525" w14:cap="rnd" w14:cmpd="sng" w14:algn="ctr">
                                  <w14:noFill/>
                                  <w14:prstDash w14:val="solid"/>
                                  <w14:bevel/>
                                </w14:textOutline>
                              </w:rPr>
                              <w:t xml:space="preserve">Demand and Energy charges </w:t>
                            </w:r>
                            <w:r w:rsidR="006542CE" w:rsidRPr="008540E9">
                              <w:rPr>
                                <w:i/>
                                <w:color w:val="C00000"/>
                                <w:sz w:val="20"/>
                                <w14:textOutline w14:w="9525" w14:cap="rnd" w14:cmpd="sng" w14:algn="ctr">
                                  <w14:noFill/>
                                  <w14:prstDash w14:val="solid"/>
                                  <w14:bevel/>
                                </w14:textOutline>
                              </w:rPr>
                              <w:t xml:space="preserve">shown below are </w:t>
                            </w:r>
                            <w:r w:rsidR="004743D9" w:rsidRPr="008540E9">
                              <w:rPr>
                                <w:i/>
                                <w:color w:val="C00000"/>
                                <w:sz w:val="20"/>
                                <w14:textOutline w14:w="9525" w14:cap="rnd" w14:cmpd="sng" w14:algn="ctr">
                                  <w14:noFill/>
                                  <w14:prstDash w14:val="solid"/>
                                  <w14:bevel/>
                                </w14:textOutline>
                              </w:rPr>
                              <w:t xml:space="preserve">based on preliminary AR Project </w:t>
                            </w:r>
                            <w:r w:rsidRPr="008540E9">
                              <w:rPr>
                                <w:i/>
                                <w:color w:val="C00000"/>
                                <w:sz w:val="20"/>
                                <w14:textOutline w14:w="9525" w14:cap="rnd" w14:cmpd="sng" w14:algn="ctr">
                                  <w14:noFill/>
                                  <w14:prstDash w14:val="solid"/>
                                  <w14:bevel/>
                                </w14:textOutline>
                              </w:rPr>
                              <w:t>2020 Revenue Requirements</w:t>
                            </w:r>
                            <w:r w:rsidR="004743D9" w:rsidRPr="008540E9">
                              <w:rPr>
                                <w:i/>
                                <w:color w:val="C00000"/>
                                <w:sz w:val="20"/>
                                <w14:textOutline w14:w="9525" w14:cap="rnd" w14:cmpd="sng" w14:algn="ctr">
                                  <w14:noFill/>
                                  <w14:prstDash w14:val="solid"/>
                                  <w14:bevel/>
                                </w14:textOutline>
                              </w:rPr>
                              <w:t xml:space="preserve"> and are </w:t>
                            </w:r>
                            <w:r w:rsidR="006542CE" w:rsidRPr="008540E9">
                              <w:rPr>
                                <w:i/>
                                <w:color w:val="C00000"/>
                                <w:sz w:val="20"/>
                                <w14:textOutline w14:w="9525" w14:cap="rnd" w14:cmpd="sng" w14:algn="ctr">
                                  <w14:noFill/>
                                  <w14:prstDash w14:val="solid"/>
                                  <w14:bevel/>
                                </w14:textOutline>
                              </w:rPr>
                              <w:t xml:space="preserve">for illustration only.  Final rate design is expected to be completed Q4 2018 to reflect </w:t>
                            </w:r>
                            <w:r w:rsidR="004743D9" w:rsidRPr="008540E9">
                              <w:rPr>
                                <w:i/>
                                <w:color w:val="C00000"/>
                                <w:sz w:val="20"/>
                                <w14:textOutline w14:w="9525" w14:cap="rnd" w14:cmpd="sng" w14:algn="ctr">
                                  <w14:noFill/>
                                  <w14:prstDash w14:val="solid"/>
                                  <w14:bevel/>
                                </w14:textOutline>
                              </w:rPr>
                              <w:t xml:space="preserve">load forecast and </w:t>
                            </w:r>
                            <w:r w:rsidRPr="008540E9">
                              <w:rPr>
                                <w:i/>
                                <w:color w:val="C00000"/>
                                <w:sz w:val="20"/>
                                <w14:textOutline w14:w="9525" w14:cap="rnd" w14:cmpd="sng" w14:algn="ctr">
                                  <w14:noFill/>
                                  <w14:prstDash w14:val="solid"/>
                                  <w14:bevel/>
                                </w14:textOutline>
                              </w:rPr>
                              <w:t>Revenue Requirements</w:t>
                            </w:r>
                            <w:r w:rsidR="006542CE" w:rsidRPr="008540E9">
                              <w:rPr>
                                <w:i/>
                                <w:color w:val="C00000"/>
                                <w:sz w:val="20"/>
                                <w14:textOutline w14:w="9525" w14:cap="rnd" w14:cmpd="sng" w14:algn="ctr">
                                  <w14:noFill/>
                                  <w14:prstDash w14:val="solid"/>
                                  <w14:bevel/>
                                </w14:textOutline>
                              </w:rPr>
                              <w:t xml:space="preserve">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BC27" id="_x0000_t202" coordsize="21600,21600" o:spt="202" path="m,l,21600r21600,l21600,xe">
                <v:stroke joinstyle="miter"/>
                <v:path gradientshapeok="t" o:connecttype="rect"/>
              </v:shapetype>
              <v:shape id="Text Box 2" o:spid="_x0000_s1026" type="#_x0000_t202" style="position:absolute;left:0;text-align:left;margin-left:314.25pt;margin-top:21.05pt;width:201.75pt;height:8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" fillcolor="#d8d8d8 [2732]" strokecolor="gray [1629]" strokeweight="1pt">
                <v:textbox>
                  <w:txbxContent>
                    <w:p w14:paraId="143C80B6" w14:textId="2E218B4D" w:rsidR="006542CE" w:rsidRPr="008540E9" w:rsidRDefault="008540E9">
                      <w:pPr>
                        <w:rPr>
                          <w:i/>
                          <w:color w:val="C00000"/>
                          <w:sz w:val="20"/>
                          <w14:textOutline w14:w="9525" w14:cap="rnd" w14:cmpd="sng" w14:algn="ctr">
                            <w14:noFill/>
                            <w14:prstDash w14:val="solid"/>
                            <w14:bevel/>
                          </w14:textOutline>
                        </w:rPr>
                      </w:pPr>
                      <w:r w:rsidRPr="008540E9">
                        <w:rPr>
                          <w:i/>
                          <w:color w:val="C00000"/>
                          <w:sz w:val="20"/>
                          <w14:textOutline w14:w="9525" w14:cap="rnd" w14:cmpd="sng" w14:algn="ctr">
                            <w14:noFill/>
                            <w14:prstDash w14:val="solid"/>
                            <w14:bevel/>
                          </w14:textOutline>
                        </w:rPr>
                        <w:t xml:space="preserve">Demand and Energy charges </w:t>
                      </w:r>
                      <w:r w:rsidR="006542CE" w:rsidRPr="008540E9">
                        <w:rPr>
                          <w:i/>
                          <w:color w:val="C00000"/>
                          <w:sz w:val="20"/>
                          <w14:textOutline w14:w="9525" w14:cap="rnd" w14:cmpd="sng" w14:algn="ctr">
                            <w14:noFill/>
                            <w14:prstDash w14:val="solid"/>
                            <w14:bevel/>
                          </w14:textOutline>
                        </w:rPr>
                        <w:t xml:space="preserve">shown below are </w:t>
                      </w:r>
                      <w:r w:rsidR="004743D9" w:rsidRPr="008540E9">
                        <w:rPr>
                          <w:i/>
                          <w:color w:val="C00000"/>
                          <w:sz w:val="20"/>
                          <w14:textOutline w14:w="9525" w14:cap="rnd" w14:cmpd="sng" w14:algn="ctr">
                            <w14:noFill/>
                            <w14:prstDash w14:val="solid"/>
                            <w14:bevel/>
                          </w14:textOutline>
                        </w:rPr>
                        <w:t xml:space="preserve">based on preliminary AR Project </w:t>
                      </w:r>
                      <w:r w:rsidRPr="008540E9">
                        <w:rPr>
                          <w:i/>
                          <w:color w:val="C00000"/>
                          <w:sz w:val="20"/>
                          <w14:textOutline w14:w="9525" w14:cap="rnd" w14:cmpd="sng" w14:algn="ctr">
                            <w14:noFill/>
                            <w14:prstDash w14:val="solid"/>
                            <w14:bevel/>
                          </w14:textOutline>
                        </w:rPr>
                        <w:t>2020 Revenue Requirements</w:t>
                      </w:r>
                      <w:r w:rsidR="004743D9" w:rsidRPr="008540E9">
                        <w:rPr>
                          <w:i/>
                          <w:color w:val="C00000"/>
                          <w:sz w:val="20"/>
                          <w14:textOutline w14:w="9525" w14:cap="rnd" w14:cmpd="sng" w14:algn="ctr">
                            <w14:noFill/>
                            <w14:prstDash w14:val="solid"/>
                            <w14:bevel/>
                          </w14:textOutline>
                        </w:rPr>
                        <w:t xml:space="preserve"> and are </w:t>
                      </w:r>
                      <w:r w:rsidR="006542CE" w:rsidRPr="008540E9">
                        <w:rPr>
                          <w:i/>
                          <w:color w:val="C00000"/>
                          <w:sz w:val="20"/>
                          <w14:textOutline w14:w="9525" w14:cap="rnd" w14:cmpd="sng" w14:algn="ctr">
                            <w14:noFill/>
                            <w14:prstDash w14:val="solid"/>
                            <w14:bevel/>
                          </w14:textOutline>
                        </w:rPr>
                        <w:t xml:space="preserve">for illustration only.  Final rate design is expected to be completed Q4 2018 to reflect </w:t>
                      </w:r>
                      <w:r w:rsidR="004743D9" w:rsidRPr="008540E9">
                        <w:rPr>
                          <w:i/>
                          <w:color w:val="C00000"/>
                          <w:sz w:val="20"/>
                          <w14:textOutline w14:w="9525" w14:cap="rnd" w14:cmpd="sng" w14:algn="ctr">
                            <w14:noFill/>
                            <w14:prstDash w14:val="solid"/>
                            <w14:bevel/>
                          </w14:textOutline>
                        </w:rPr>
                        <w:t xml:space="preserve">load forecast and </w:t>
                      </w:r>
                      <w:r w:rsidRPr="008540E9">
                        <w:rPr>
                          <w:i/>
                          <w:color w:val="C00000"/>
                          <w:sz w:val="20"/>
                          <w14:textOutline w14:w="9525" w14:cap="rnd" w14:cmpd="sng" w14:algn="ctr">
                            <w14:noFill/>
                            <w14:prstDash w14:val="solid"/>
                            <w14:bevel/>
                          </w14:textOutline>
                        </w:rPr>
                        <w:t>Revenue Requirements</w:t>
                      </w:r>
                      <w:r w:rsidR="006542CE" w:rsidRPr="008540E9">
                        <w:rPr>
                          <w:i/>
                          <w:color w:val="C00000"/>
                          <w:sz w:val="20"/>
                          <w14:textOutline w14:w="9525" w14:cap="rnd" w14:cmpd="sng" w14:algn="ctr">
                            <w14:noFill/>
                            <w14:prstDash w14:val="solid"/>
                            <w14:bevel/>
                          </w14:textOutline>
                        </w:rPr>
                        <w:t xml:space="preserve"> updates.</w:t>
                      </w:r>
                    </w:p>
                  </w:txbxContent>
                </v:textbox>
              </v:shape>
            </w:pict>
          </mc:Fallback>
        </mc:AlternateContent>
      </w:r>
      <w:r w:rsidR="00B80FA5">
        <w:t>Wholesale power furnished under this rate schedule at one or more Points of Delivery as set forth in Schedule A shall be sixty-hertz, three-phase, alternating current.</w:t>
      </w:r>
    </w:p>
    <w:p w14:paraId="7095B046" w14:textId="5AC11281" w:rsidR="002F4F4A" w:rsidRDefault="002F4F4A" w:rsidP="002F4F4A">
      <w:pPr>
        <w:spacing w:after="0" w:line="240" w:lineRule="auto"/>
      </w:pPr>
    </w:p>
    <w:p w14:paraId="39986AB6" w14:textId="77777777" w:rsidR="00910906" w:rsidRPr="002F4F4A" w:rsidRDefault="00910906" w:rsidP="004A27D0">
      <w:pPr>
        <w:pStyle w:val="ListParagraph"/>
        <w:numPr>
          <w:ilvl w:val="0"/>
          <w:numId w:val="1"/>
        </w:numPr>
        <w:spacing w:after="0" w:line="240" w:lineRule="auto"/>
        <w:rPr>
          <w:u w:val="single"/>
        </w:rPr>
      </w:pPr>
      <w:r w:rsidRPr="002F4F4A">
        <w:rPr>
          <w:u w:val="single"/>
        </w:rPr>
        <w:t>Monthly Rate</w:t>
      </w:r>
      <w:r w:rsidR="00B80FA5" w:rsidRPr="002F4F4A">
        <w:rPr>
          <w:u w:val="single"/>
        </w:rPr>
        <w:t>s and Charges</w:t>
      </w:r>
    </w:p>
    <w:p w14:paraId="27429692" w14:textId="2A3608EE" w:rsidR="002F4F4A" w:rsidRDefault="002F4F4A" w:rsidP="002F4F4A">
      <w:pPr>
        <w:spacing w:after="0" w:line="240" w:lineRule="auto"/>
      </w:pPr>
    </w:p>
    <w:p w14:paraId="40971955" w14:textId="48309B32" w:rsidR="00B80FA5" w:rsidRDefault="00B80FA5" w:rsidP="00503C16">
      <w:pPr>
        <w:spacing w:after="0" w:line="240" w:lineRule="auto"/>
        <w:ind w:left="360"/>
      </w:pPr>
      <w:r>
        <w:t xml:space="preserve">The Member’s </w:t>
      </w:r>
      <w:r w:rsidR="00BF48A1">
        <w:t xml:space="preserve">monthly </w:t>
      </w:r>
      <w:r>
        <w:t>bill will include the following charges:</w:t>
      </w:r>
    </w:p>
    <w:p w14:paraId="789C9EAB" w14:textId="72A0B155" w:rsidR="00A87A93" w:rsidRDefault="00A87A93" w:rsidP="002F4F4A">
      <w:pPr>
        <w:spacing w:after="0" w:line="240" w:lineRule="auto"/>
      </w:pPr>
    </w:p>
    <w:p w14:paraId="7C08BB88" w14:textId="5B719E80" w:rsidR="00A87A93" w:rsidRDefault="00BF48A1" w:rsidP="00503C16">
      <w:pPr>
        <w:spacing w:after="0" w:line="240" w:lineRule="auto"/>
        <w:ind w:left="720"/>
      </w:pPr>
      <w:r>
        <w:t>AR Project Charges</w:t>
      </w:r>
    </w:p>
    <w:p w14:paraId="2CA12E91" w14:textId="29C8EC92" w:rsidR="00910906" w:rsidRDefault="00D82DF7" w:rsidP="003B5DF5">
      <w:pPr>
        <w:tabs>
          <w:tab w:val="left" w:pos="5040"/>
        </w:tabs>
        <w:spacing w:before="120" w:after="0" w:line="240" w:lineRule="auto"/>
        <w:ind w:left="5040" w:hanging="3960"/>
      </w:pPr>
      <w:r>
        <w:t>Demand Charge</w:t>
      </w:r>
      <w:r w:rsidR="00525085">
        <w:tab/>
      </w:r>
      <w:r w:rsidR="00910906">
        <w:t>$</w:t>
      </w:r>
      <w:r w:rsidR="00B80FA5">
        <w:t>14.</w:t>
      </w:r>
      <w:r w:rsidR="008540E9">
        <w:t>73</w:t>
      </w:r>
      <w:r w:rsidR="00910906">
        <w:t xml:space="preserve"> per kW of</w:t>
      </w:r>
      <w:r w:rsidR="004A27D0">
        <w:t xml:space="preserve"> Non-</w:t>
      </w:r>
      <w:r w:rsidR="00316194">
        <w:t>Coincident</w:t>
      </w:r>
      <w:r w:rsidR="00910906">
        <w:t xml:space="preserve"> </w:t>
      </w:r>
      <w:r w:rsidR="00B80FA5">
        <w:t xml:space="preserve">Billing </w:t>
      </w:r>
      <w:r w:rsidR="00910906">
        <w:t>Demand</w:t>
      </w:r>
    </w:p>
    <w:p w14:paraId="02F2BFB4" w14:textId="6C041DB6" w:rsidR="004A27D0" w:rsidRDefault="004A27D0" w:rsidP="003B5DF5">
      <w:pPr>
        <w:tabs>
          <w:tab w:val="left" w:pos="5040"/>
        </w:tabs>
        <w:spacing w:before="120" w:after="0" w:line="240" w:lineRule="auto"/>
        <w:ind w:left="5040" w:hanging="3960"/>
      </w:pPr>
      <w:r>
        <w:t xml:space="preserve">Energy </w:t>
      </w:r>
      <w:r w:rsidR="00D82DF7">
        <w:t>Charge</w:t>
      </w:r>
      <w:r w:rsidR="00D82DF7">
        <w:tab/>
      </w:r>
      <w:r w:rsidR="00A87A93">
        <w:t>$0.</w:t>
      </w:r>
      <w:r w:rsidR="00A051D6">
        <w:t>0</w:t>
      </w:r>
      <w:r>
        <w:t>2</w:t>
      </w:r>
      <w:r w:rsidR="008540E9">
        <w:t>394</w:t>
      </w:r>
      <w:r w:rsidR="008157A8">
        <w:t>0</w:t>
      </w:r>
      <w:r w:rsidR="00A87A93">
        <w:t xml:space="preserve"> per kWh for all kWh</w:t>
      </w:r>
      <w:r>
        <w:t xml:space="preserve"> (includes Non-Fuel, Fuel, and Purchased Energy)</w:t>
      </w:r>
    </w:p>
    <w:p w14:paraId="09005B6E" w14:textId="77A4AA44" w:rsidR="00D82DF7" w:rsidRDefault="00D82DF7" w:rsidP="003B5DF5">
      <w:pPr>
        <w:tabs>
          <w:tab w:val="left" w:pos="5040"/>
        </w:tabs>
        <w:spacing w:before="120" w:after="0" w:line="240" w:lineRule="auto"/>
        <w:ind w:left="5040" w:hanging="3960"/>
      </w:pPr>
      <w:r>
        <w:t>Energy Cost Adjustment (ECA)</w:t>
      </w:r>
      <w:r>
        <w:tab/>
        <w:t xml:space="preserve">per </w:t>
      </w:r>
      <w:r w:rsidR="004A27D0">
        <w:t>Section</w:t>
      </w:r>
      <w:r w:rsidR="000E7E18">
        <w:t xml:space="preserve"> 6</w:t>
      </w:r>
      <w:r w:rsidR="004A27D0">
        <w:t xml:space="preserve"> </w:t>
      </w:r>
      <w:r w:rsidR="00A83F70">
        <w:t>of this Rate Schedule</w:t>
      </w:r>
    </w:p>
    <w:p w14:paraId="71CA170A" w14:textId="7ACA95C7" w:rsidR="00B80FA5" w:rsidRDefault="00B80FA5" w:rsidP="002F4F4A">
      <w:pPr>
        <w:spacing w:after="0" w:line="240" w:lineRule="auto"/>
      </w:pPr>
    </w:p>
    <w:p w14:paraId="2909D56C" w14:textId="5189BEBD" w:rsidR="00A87A93" w:rsidRDefault="00A87A93" w:rsidP="00503C16">
      <w:pPr>
        <w:spacing w:after="0" w:line="240" w:lineRule="auto"/>
        <w:ind w:left="720"/>
      </w:pPr>
      <w:r>
        <w:t>Transmission</w:t>
      </w:r>
      <w:r w:rsidR="00BF48A1">
        <w:t xml:space="preserve"> Charges</w:t>
      </w:r>
    </w:p>
    <w:p w14:paraId="6FA69731" w14:textId="15365A85" w:rsidR="00CF1DA7" w:rsidRDefault="00316194" w:rsidP="00CF1DA7">
      <w:pPr>
        <w:tabs>
          <w:tab w:val="left" w:pos="5040"/>
        </w:tabs>
        <w:spacing w:before="120" w:after="0" w:line="240" w:lineRule="auto"/>
        <w:ind w:left="5040" w:hanging="3960"/>
      </w:pPr>
      <w:r>
        <w:t>Transmission Demand Charge</w:t>
      </w:r>
      <w:r>
        <w:tab/>
        <w:t>$1.9816 per kW of Transmission Billing Demand</w:t>
      </w:r>
    </w:p>
    <w:p w14:paraId="624617BE" w14:textId="61E9D8D0" w:rsidR="00316194" w:rsidRDefault="00316194" w:rsidP="00316194">
      <w:pPr>
        <w:spacing w:after="0" w:line="240" w:lineRule="auto"/>
        <w:ind w:left="720"/>
      </w:pPr>
    </w:p>
    <w:p w14:paraId="7CE36ACF" w14:textId="083A9148" w:rsidR="00CF1DA7" w:rsidRDefault="006A7670" w:rsidP="00CF1DA7">
      <w:pPr>
        <w:spacing w:after="0" w:line="240" w:lineRule="auto"/>
        <w:ind w:left="1080"/>
      </w:pPr>
      <w:r>
        <w:t xml:space="preserve">The </w:t>
      </w:r>
      <w:r w:rsidR="003241A9">
        <w:t>Transmission Demand Charge is updated annually effective June 1 and includes LGE/KU’s O</w:t>
      </w:r>
      <w:r>
        <w:t>pen Access Transmission Tariff (</w:t>
      </w:r>
      <w:r w:rsidR="003241A9">
        <w:t>OATT) Schedule 10, Network Integration Transmission Service</w:t>
      </w:r>
      <w:r w:rsidR="00CF1DA7">
        <w:t>,</w:t>
      </w:r>
      <w:r w:rsidR="003241A9">
        <w:t xml:space="preserve"> and Schedule 1, Scheduling, System Control and Dispatch.</w:t>
      </w:r>
    </w:p>
    <w:p w14:paraId="68B900F1" w14:textId="77777777" w:rsidR="00CF1DA7" w:rsidRDefault="00CF1DA7" w:rsidP="00CF1DA7">
      <w:pPr>
        <w:spacing w:after="0" w:line="240" w:lineRule="auto"/>
        <w:ind w:left="1080"/>
      </w:pPr>
    </w:p>
    <w:p w14:paraId="49E43A5E" w14:textId="29EA5C3A" w:rsidR="00CF1DA7" w:rsidRDefault="00CF1DA7" w:rsidP="00CF1DA7">
      <w:pPr>
        <w:spacing w:after="0" w:line="240" w:lineRule="auto"/>
        <w:ind w:left="1080"/>
      </w:pPr>
      <w:r>
        <w:t>Note the City of Falmouth will be billed for additional transmission service charges from East Kentucky Power Cooperative</w:t>
      </w:r>
      <w:r w:rsidR="00BD4ADA">
        <w:t xml:space="preserve"> and PJM Interconnection, L.L.C.</w:t>
      </w:r>
      <w:r>
        <w:t xml:space="preserve"> as applicable.</w:t>
      </w:r>
    </w:p>
    <w:p w14:paraId="769C488E" w14:textId="77777777" w:rsidR="00FC20E4" w:rsidRDefault="00FC20E4" w:rsidP="00FC20E4">
      <w:pPr>
        <w:spacing w:after="0" w:line="240" w:lineRule="auto"/>
      </w:pPr>
    </w:p>
    <w:p w14:paraId="237262C1" w14:textId="1D8683BB" w:rsidR="00A87A93" w:rsidRDefault="00525085" w:rsidP="003B5DF5">
      <w:pPr>
        <w:tabs>
          <w:tab w:val="left" w:pos="5040"/>
        </w:tabs>
        <w:spacing w:after="0" w:line="240" w:lineRule="auto"/>
        <w:ind w:left="5760" w:hanging="5040"/>
      </w:pPr>
      <w:r>
        <w:t>Direct Assignment Facilities</w:t>
      </w:r>
      <w:r w:rsidR="00D6732C">
        <w:t xml:space="preserve"> Charge</w:t>
      </w:r>
      <w:r>
        <w:tab/>
      </w:r>
      <w:r w:rsidR="004E3722">
        <w:t xml:space="preserve">per </w:t>
      </w:r>
      <w:r w:rsidR="00A83F70">
        <w:t xml:space="preserve">Section </w:t>
      </w:r>
      <w:r w:rsidR="000E7E18">
        <w:t>7</w:t>
      </w:r>
      <w:r w:rsidR="00A83F70">
        <w:t xml:space="preserve"> of this Rate Schedule</w:t>
      </w:r>
    </w:p>
    <w:p w14:paraId="761EA2F9" w14:textId="46488CA5" w:rsidR="00E75E98" w:rsidRDefault="00E75E98">
      <w:r>
        <w:br w:type="page"/>
      </w:r>
    </w:p>
    <w:p w14:paraId="68487AA5" w14:textId="77777777" w:rsidR="00A87A93" w:rsidRDefault="00A87A93" w:rsidP="002F4F4A">
      <w:pPr>
        <w:spacing w:after="0" w:line="240" w:lineRule="auto"/>
      </w:pPr>
    </w:p>
    <w:p w14:paraId="48936544" w14:textId="4A506B58" w:rsidR="00910906" w:rsidRDefault="00B80FA5" w:rsidP="00316194">
      <w:pPr>
        <w:pStyle w:val="ListParagraph"/>
        <w:numPr>
          <w:ilvl w:val="0"/>
          <w:numId w:val="1"/>
        </w:numPr>
        <w:spacing w:after="0" w:line="240" w:lineRule="auto"/>
        <w:rPr>
          <w:u w:val="single"/>
        </w:rPr>
      </w:pPr>
      <w:r w:rsidRPr="002F4F4A">
        <w:rPr>
          <w:u w:val="single"/>
        </w:rPr>
        <w:t>Billing D</w:t>
      </w:r>
      <w:r w:rsidR="00910906" w:rsidRPr="002F4F4A">
        <w:rPr>
          <w:u w:val="single"/>
        </w:rPr>
        <w:t>emand</w:t>
      </w:r>
      <w:r w:rsidR="00316194">
        <w:rPr>
          <w:u w:val="single"/>
        </w:rPr>
        <w:t>s</w:t>
      </w:r>
    </w:p>
    <w:p w14:paraId="59A0C62E" w14:textId="77777777" w:rsidR="002F4F4A" w:rsidRPr="002F4F4A" w:rsidRDefault="002F4F4A" w:rsidP="002F4F4A">
      <w:pPr>
        <w:spacing w:after="0" w:line="240" w:lineRule="auto"/>
        <w:rPr>
          <w:u w:val="single"/>
        </w:rPr>
      </w:pPr>
    </w:p>
    <w:p w14:paraId="704A84E6" w14:textId="10A373DE" w:rsidR="00316194" w:rsidRDefault="00316194" w:rsidP="003B5DF5">
      <w:pPr>
        <w:spacing w:after="0" w:line="240" w:lineRule="auto"/>
        <w:ind w:left="360"/>
      </w:pPr>
      <w:r>
        <w:t xml:space="preserve">Non-Coincident Billing Demand is defined as the </w:t>
      </w:r>
      <w:r w:rsidR="002A302D">
        <w:t xml:space="preserve">highest average </w:t>
      </w:r>
      <w:r>
        <w:t>kW usage</w:t>
      </w:r>
      <w:r w:rsidR="00BD4ADA">
        <w:t xml:space="preserve"> during </w:t>
      </w:r>
      <w:r w:rsidR="002A302D">
        <w:t>a 60-minute period ending on a clock hour</w:t>
      </w:r>
      <w:r w:rsidR="00021167">
        <w:t xml:space="preserve"> of the Member’s </w:t>
      </w:r>
      <w:r w:rsidR="00937F39">
        <w:t>total l</w:t>
      </w:r>
      <w:r w:rsidR="00021167">
        <w:t xml:space="preserve">oad.  For Members with multiple delivery points, the </w:t>
      </w:r>
      <w:r w:rsidR="00937F39">
        <w:t xml:space="preserve">Member’s total load is the </w:t>
      </w:r>
      <w:r w:rsidR="00021167">
        <w:t>aggregated load</w:t>
      </w:r>
      <w:r w:rsidR="001D5052">
        <w:t xml:space="preserve"> across all delivery points</w:t>
      </w:r>
      <w:r w:rsidR="00021167">
        <w:t>.</w:t>
      </w:r>
    </w:p>
    <w:p w14:paraId="713A36C7" w14:textId="77777777" w:rsidR="00316194" w:rsidRDefault="00316194" w:rsidP="002F4F4A">
      <w:pPr>
        <w:spacing w:after="0" w:line="240" w:lineRule="auto"/>
      </w:pPr>
    </w:p>
    <w:p w14:paraId="2EF4DC0F" w14:textId="51D75D8C" w:rsidR="00316194" w:rsidRDefault="00316194" w:rsidP="003B5DF5">
      <w:pPr>
        <w:spacing w:after="0" w:line="240" w:lineRule="auto"/>
        <w:ind w:left="360"/>
      </w:pPr>
      <w:r>
        <w:t>Transmissi</w:t>
      </w:r>
      <w:r w:rsidR="00021167">
        <w:t>on Billing Demand is defined the Member’s kW usage at the time of LGE/KU’s transmission system peak hour, that is, coincident with the LGE/KU transmission system peak</w:t>
      </w:r>
      <w:r w:rsidR="0025568F">
        <w:t xml:space="preserve"> demand</w:t>
      </w:r>
      <w:r w:rsidR="00021167">
        <w:t>.</w:t>
      </w:r>
      <w:r>
        <w:t xml:space="preserve"> </w:t>
      </w:r>
    </w:p>
    <w:p w14:paraId="2E41287C" w14:textId="6BF5C4D7" w:rsidR="00910906" w:rsidRDefault="00910906" w:rsidP="002F4F4A">
      <w:pPr>
        <w:spacing w:after="0" w:line="240" w:lineRule="auto"/>
      </w:pPr>
    </w:p>
    <w:p w14:paraId="25C34AAA" w14:textId="49917FAC" w:rsidR="00910906" w:rsidRPr="002F4F4A" w:rsidRDefault="00CD7920" w:rsidP="00E75E98">
      <w:pPr>
        <w:pStyle w:val="ListParagraph"/>
        <w:numPr>
          <w:ilvl w:val="0"/>
          <w:numId w:val="1"/>
        </w:numPr>
        <w:spacing w:after="0" w:line="240" w:lineRule="auto"/>
        <w:rPr>
          <w:u w:val="single"/>
        </w:rPr>
      </w:pPr>
      <w:r>
        <w:rPr>
          <w:u w:val="single"/>
        </w:rPr>
        <w:t xml:space="preserve">Energy </w:t>
      </w:r>
      <w:r w:rsidR="00910906" w:rsidRPr="002F4F4A">
        <w:rPr>
          <w:u w:val="single"/>
        </w:rPr>
        <w:t xml:space="preserve">Cost Adjustment </w:t>
      </w:r>
      <w:r>
        <w:rPr>
          <w:u w:val="single"/>
        </w:rPr>
        <w:t>(E</w:t>
      </w:r>
      <w:r w:rsidR="00C45D01">
        <w:rPr>
          <w:u w:val="single"/>
        </w:rPr>
        <w:t>CA</w:t>
      </w:r>
      <w:r>
        <w:rPr>
          <w:u w:val="single"/>
        </w:rPr>
        <w:t>)</w:t>
      </w:r>
    </w:p>
    <w:p w14:paraId="5014117B" w14:textId="77777777" w:rsidR="00910906" w:rsidRDefault="00910906" w:rsidP="002F4F4A">
      <w:pPr>
        <w:spacing w:after="0" w:line="240" w:lineRule="auto"/>
      </w:pPr>
    </w:p>
    <w:p w14:paraId="181B1503" w14:textId="0FAB5C5E" w:rsidR="00C45D01" w:rsidRDefault="00A83F70" w:rsidP="003B5DF5">
      <w:pPr>
        <w:spacing w:after="0" w:line="240" w:lineRule="auto"/>
        <w:ind w:left="360"/>
      </w:pPr>
      <w:r>
        <w:t xml:space="preserve">During each </w:t>
      </w:r>
      <w:r w:rsidRPr="005A28A8">
        <w:t xml:space="preserve">consecutive three-month period, or other period as determined by the Agency, </w:t>
      </w:r>
      <w:r w:rsidR="00D767E0" w:rsidRPr="005A28A8">
        <w:t>the Agency shall apply an Energy Cost Adjustment (ECA)</w:t>
      </w:r>
      <w:r w:rsidR="00D767E0">
        <w:t xml:space="preserve"> as </w:t>
      </w:r>
      <w:r w:rsidR="00C45D01">
        <w:t xml:space="preserve">a </w:t>
      </w:r>
      <w:r w:rsidR="00D767E0">
        <w:t>charge or credit to Member’s monthly bill.  Such ECA shall be determined for each three-month period based on the difference between the Agency’s actual energy costs and estimated energy costs</w:t>
      </w:r>
      <w:r w:rsidR="00C45D01">
        <w:t xml:space="preserve"> for AR Project resources</w:t>
      </w:r>
      <w:r w:rsidR="00400517">
        <w:t xml:space="preserve"> serving AR Project Member load</w:t>
      </w:r>
      <w:r w:rsidR="00D767E0">
        <w:t>.</w:t>
      </w:r>
      <w:r w:rsidR="00C45D01">
        <w:t xml:space="preserve">  Variances between </w:t>
      </w:r>
      <w:r w:rsidR="00400517">
        <w:t xml:space="preserve">actual </w:t>
      </w:r>
      <w:r w:rsidR="00C45D01">
        <w:t xml:space="preserve">energy costs incurred and </w:t>
      </w:r>
      <w:r w:rsidR="00400517">
        <w:t xml:space="preserve">estimated energy costs, </w:t>
      </w:r>
      <w:r w:rsidR="00C45D01">
        <w:t>collected from Members</w:t>
      </w:r>
      <w:r w:rsidR="008157A8">
        <w:t xml:space="preserve"> through Energy Charges and the ECA</w:t>
      </w:r>
      <w:r w:rsidR="00400517">
        <w:t>,</w:t>
      </w:r>
      <w:r w:rsidR="00C45D01">
        <w:t xml:space="preserve"> shall be included as part of future ECA charges and shall be fully reconciled.</w:t>
      </w:r>
    </w:p>
    <w:p w14:paraId="020F7000" w14:textId="77777777" w:rsidR="00C45D01" w:rsidRDefault="00C45D01" w:rsidP="002F4F4A">
      <w:pPr>
        <w:spacing w:after="0" w:line="240" w:lineRule="auto"/>
      </w:pPr>
    </w:p>
    <w:p w14:paraId="2CEF7E97" w14:textId="67193EA2" w:rsidR="00910906" w:rsidRDefault="00910906" w:rsidP="003B5DF5">
      <w:pPr>
        <w:spacing w:after="0" w:line="240" w:lineRule="auto"/>
        <w:ind w:left="360"/>
      </w:pPr>
      <w:r>
        <w:t xml:space="preserve">The </w:t>
      </w:r>
      <w:r w:rsidR="00085F54">
        <w:t xml:space="preserve">ECA shall be </w:t>
      </w:r>
      <w:r w:rsidR="00746CFB">
        <w:t>calculated,</w:t>
      </w:r>
      <w:r>
        <w:t xml:space="preserve"> to the nearest $0.000001 per kWh, in accordance with the following </w:t>
      </w:r>
      <w:r w:rsidR="00746CFB">
        <w:t>formula</w:t>
      </w:r>
      <w:r>
        <w:t>:</w:t>
      </w:r>
    </w:p>
    <w:p w14:paraId="7AD837B3" w14:textId="77777777" w:rsidR="00910906" w:rsidRDefault="00910906" w:rsidP="002F4F4A">
      <w:pPr>
        <w:spacing w:after="0" w:line="240" w:lineRule="auto"/>
      </w:pPr>
    </w:p>
    <w:p w14:paraId="69209B6A" w14:textId="647C01C3" w:rsidR="00E75E98" w:rsidRDefault="00746CFB" w:rsidP="003241A9">
      <w:pPr>
        <w:spacing w:after="0" w:line="240" w:lineRule="auto"/>
        <w:ind w:left="720"/>
      </w:pPr>
      <w:r>
        <w:t xml:space="preserve">ECA </w:t>
      </w:r>
      <w:r w:rsidR="00910906">
        <w:t xml:space="preserve">= </w:t>
      </w:r>
      <w:r w:rsidR="00B20B4D">
        <w:t>“</w:t>
      </w:r>
      <w:r>
        <w:t>AREC</w:t>
      </w:r>
      <w:r w:rsidR="00B20B4D">
        <w:t>”</w:t>
      </w:r>
      <w:r>
        <w:t xml:space="preserve"> </w:t>
      </w:r>
      <w:r w:rsidR="00910906">
        <w:t xml:space="preserve">divided by </w:t>
      </w:r>
      <w:r w:rsidR="00B20B4D">
        <w:t>“</w:t>
      </w:r>
      <w:r>
        <w:t>ARES</w:t>
      </w:r>
      <w:r w:rsidR="00B20B4D">
        <w:t>”</w:t>
      </w:r>
      <w:r>
        <w:t xml:space="preserve"> </w:t>
      </w:r>
      <w:r w:rsidR="00910906">
        <w:t xml:space="preserve">minus </w:t>
      </w:r>
      <w:r w:rsidR="00B20B4D">
        <w:t>“</w:t>
      </w:r>
      <w:r w:rsidR="00E75E98">
        <w:t xml:space="preserve">Base Energy </w:t>
      </w:r>
      <w:r w:rsidR="008157A8">
        <w:t>Rate</w:t>
      </w:r>
      <w:r w:rsidR="00B20B4D">
        <w:t>”</w:t>
      </w:r>
    </w:p>
    <w:p w14:paraId="7F2F1FE6" w14:textId="77777777" w:rsidR="00910906" w:rsidRDefault="00910906" w:rsidP="002F4F4A">
      <w:pPr>
        <w:spacing w:after="0" w:line="240" w:lineRule="auto"/>
      </w:pPr>
    </w:p>
    <w:p w14:paraId="3B9EC078" w14:textId="492E9504" w:rsidR="00E75E98" w:rsidRDefault="00B20B4D" w:rsidP="003241A9">
      <w:pPr>
        <w:spacing w:after="0" w:line="240" w:lineRule="auto"/>
        <w:ind w:left="1080"/>
      </w:pPr>
      <w:r>
        <w:t>“</w:t>
      </w:r>
      <w:r w:rsidR="00E75E98">
        <w:t>AREC</w:t>
      </w:r>
      <w:r>
        <w:t>”</w:t>
      </w:r>
      <w:r w:rsidR="00E75E98">
        <w:t xml:space="preserve"> is the </w:t>
      </w:r>
      <w:r w:rsidR="00400517">
        <w:t xml:space="preserve">Agency’s actual </w:t>
      </w:r>
      <w:r w:rsidR="00E75E98">
        <w:t xml:space="preserve">energy-related cost of AR Project resources </w:t>
      </w:r>
      <w:r w:rsidR="00400517">
        <w:t xml:space="preserve">serving AR Project load </w:t>
      </w:r>
      <w:r w:rsidR="00E75E98">
        <w:t>for the period as defined below:</w:t>
      </w:r>
    </w:p>
    <w:p w14:paraId="4DE7B67C" w14:textId="5E78B3D4" w:rsidR="00910906" w:rsidRDefault="00E75E98" w:rsidP="003241A9">
      <w:pPr>
        <w:pStyle w:val="ListParagraph"/>
        <w:numPr>
          <w:ilvl w:val="0"/>
          <w:numId w:val="4"/>
        </w:numPr>
        <w:spacing w:before="120" w:after="0" w:line="240" w:lineRule="auto"/>
        <w:ind w:left="1987" w:hanging="547"/>
      </w:pPr>
      <w:r>
        <w:t>The variable and energy-related operating and maintenance costs of AR Project resources</w:t>
      </w:r>
    </w:p>
    <w:p w14:paraId="5797AE05" w14:textId="199070FE" w:rsidR="00F0317A" w:rsidRDefault="00F0317A" w:rsidP="003241A9">
      <w:pPr>
        <w:pStyle w:val="ListParagraph"/>
        <w:numPr>
          <w:ilvl w:val="0"/>
          <w:numId w:val="4"/>
        </w:numPr>
        <w:spacing w:before="120" w:after="0" w:line="240" w:lineRule="auto"/>
        <w:ind w:left="1987" w:hanging="547"/>
      </w:pPr>
      <w:r>
        <w:t>The fuel and energy-related costs of AR Project resources</w:t>
      </w:r>
    </w:p>
    <w:p w14:paraId="365AA182" w14:textId="7FF4AD12" w:rsidR="00B53D77" w:rsidRDefault="00E75E98" w:rsidP="003241A9">
      <w:pPr>
        <w:pStyle w:val="ListParagraph"/>
        <w:numPr>
          <w:ilvl w:val="0"/>
          <w:numId w:val="4"/>
        </w:numPr>
        <w:spacing w:before="120" w:after="0" w:line="240" w:lineRule="auto"/>
        <w:ind w:left="1987" w:hanging="547"/>
      </w:pPr>
      <w:r>
        <w:t>The energy-related costs of service for transmission service</w:t>
      </w:r>
    </w:p>
    <w:p w14:paraId="68A07FE7" w14:textId="4C0FD2EC" w:rsidR="00B53D77" w:rsidRDefault="00B53D77" w:rsidP="003241A9">
      <w:pPr>
        <w:pStyle w:val="ListParagraph"/>
        <w:numPr>
          <w:ilvl w:val="0"/>
          <w:numId w:val="4"/>
        </w:numPr>
        <w:spacing w:before="120" w:after="0" w:line="240" w:lineRule="auto"/>
        <w:ind w:left="1987" w:hanging="547"/>
      </w:pPr>
      <w:r>
        <w:t>The energy-related costs of service associated with Agency</w:t>
      </w:r>
      <w:r w:rsidR="00B20B4D">
        <w:t xml:space="preserve"> rate stabilization, administration, and other non-fuel energy costs</w:t>
      </w:r>
    </w:p>
    <w:p w14:paraId="0A1D26D5" w14:textId="3407CACA" w:rsidR="00B20B4D" w:rsidRDefault="00D3473B" w:rsidP="003241A9">
      <w:pPr>
        <w:pStyle w:val="ListParagraph"/>
        <w:numPr>
          <w:ilvl w:val="0"/>
          <w:numId w:val="4"/>
        </w:numPr>
        <w:spacing w:before="120" w:after="0" w:line="240" w:lineRule="auto"/>
        <w:ind w:left="1987" w:hanging="547"/>
      </w:pPr>
      <w:r>
        <w:t>Cumulative variance between actual energy-related cost of AR Project resources and amounts collected from Members through the Energy Charge and ECA</w:t>
      </w:r>
      <w:r w:rsidR="00E75E98">
        <w:t xml:space="preserve"> </w:t>
      </w:r>
    </w:p>
    <w:p w14:paraId="0861480F" w14:textId="1B677925" w:rsidR="00E75E98" w:rsidRDefault="00E75E98" w:rsidP="003241A9">
      <w:pPr>
        <w:spacing w:after="0" w:line="240" w:lineRule="auto"/>
        <w:ind w:left="1080"/>
      </w:pPr>
    </w:p>
    <w:p w14:paraId="360D164A" w14:textId="39AFA18A" w:rsidR="00B20B4D" w:rsidRDefault="00B20B4D" w:rsidP="003241A9">
      <w:pPr>
        <w:spacing w:after="0" w:line="240" w:lineRule="auto"/>
        <w:ind w:left="1080"/>
      </w:pPr>
      <w:r>
        <w:t>“ARES” is the total kilowatt-hour energy purchased by AR Members in the period</w:t>
      </w:r>
    </w:p>
    <w:p w14:paraId="3434FB80" w14:textId="343FD59A" w:rsidR="00B20B4D" w:rsidRDefault="00B20B4D" w:rsidP="003241A9">
      <w:pPr>
        <w:spacing w:after="0" w:line="240" w:lineRule="auto"/>
        <w:ind w:left="1080"/>
      </w:pPr>
    </w:p>
    <w:p w14:paraId="0FF23CA8" w14:textId="087FDD68" w:rsidR="00B20B4D" w:rsidRDefault="00B20B4D" w:rsidP="003241A9">
      <w:pPr>
        <w:spacing w:after="0" w:line="240" w:lineRule="auto"/>
        <w:ind w:left="1080"/>
      </w:pPr>
      <w:r>
        <w:t xml:space="preserve">“Base Energy </w:t>
      </w:r>
      <w:r w:rsidR="002448F2">
        <w:t>Rate</w:t>
      </w:r>
      <w:r>
        <w:t>” is $0.</w:t>
      </w:r>
      <w:r w:rsidR="002448F2" w:rsidRPr="002448F2">
        <w:t xml:space="preserve"> 02394</w:t>
      </w:r>
      <w:r w:rsidR="006542CE">
        <w:t>0</w:t>
      </w:r>
      <w:r w:rsidR="002A302D">
        <w:t xml:space="preserve"> per kWh</w:t>
      </w:r>
    </w:p>
    <w:p w14:paraId="3D7D60B3" w14:textId="77777777" w:rsidR="00B20B4D" w:rsidRDefault="00B20B4D" w:rsidP="002F4F4A">
      <w:pPr>
        <w:spacing w:after="0" w:line="240" w:lineRule="auto"/>
      </w:pPr>
    </w:p>
    <w:p w14:paraId="636FF5A5" w14:textId="33E6ECF5" w:rsidR="000E7E18" w:rsidRDefault="000E7E18" w:rsidP="003B5DF5">
      <w:pPr>
        <w:keepLines/>
        <w:spacing w:after="0" w:line="240" w:lineRule="auto"/>
        <w:ind w:left="360"/>
      </w:pPr>
      <w:r>
        <w:lastRenderedPageBreak/>
        <w:t xml:space="preserve">Insofar as the Agency is unable to use actual </w:t>
      </w:r>
      <w:r w:rsidR="00D3473B">
        <w:t xml:space="preserve">energy </w:t>
      </w:r>
      <w:r>
        <w:t xml:space="preserve">cost data and must rely on estimated </w:t>
      </w:r>
      <w:r w:rsidR="00D3473B">
        <w:t xml:space="preserve">energy </w:t>
      </w:r>
      <w:r>
        <w:t xml:space="preserve">costs, any dollar difference between actual and estimated </w:t>
      </w:r>
      <w:r w:rsidR="00D3473B">
        <w:t xml:space="preserve">energy </w:t>
      </w:r>
      <w:r>
        <w:t>costs shall be added to the appropriate costs, as defined above, in the calculation of the ECA in the period following the time when such actual cost data is available.</w:t>
      </w:r>
    </w:p>
    <w:p w14:paraId="3D1D5203" w14:textId="588172DC" w:rsidR="00F0317A" w:rsidRDefault="00F0317A" w:rsidP="003B5DF5">
      <w:pPr>
        <w:keepLines/>
        <w:spacing w:after="0" w:line="240" w:lineRule="auto"/>
        <w:ind w:left="360"/>
      </w:pPr>
    </w:p>
    <w:p w14:paraId="79204486" w14:textId="1CC60C57" w:rsidR="00F0317A" w:rsidRDefault="00F0317A" w:rsidP="003B5DF5">
      <w:pPr>
        <w:keepLines/>
        <w:spacing w:after="0" w:line="240" w:lineRule="auto"/>
        <w:ind w:left="360"/>
      </w:pPr>
      <w:r>
        <w:t>A</w:t>
      </w:r>
      <w:r w:rsidR="00210CD3">
        <w:t xml:space="preserve"> sample </w:t>
      </w:r>
      <w:r>
        <w:t>calculation of the ECA is included as Schedule B.</w:t>
      </w:r>
    </w:p>
    <w:p w14:paraId="3BA252EA" w14:textId="77777777" w:rsidR="000E7E18" w:rsidRDefault="000E7E18" w:rsidP="002F4F4A">
      <w:pPr>
        <w:spacing w:after="0" w:line="240" w:lineRule="auto"/>
      </w:pPr>
    </w:p>
    <w:p w14:paraId="52534DED" w14:textId="77777777" w:rsidR="000E7E18" w:rsidRPr="00B33695" w:rsidRDefault="000E7E18" w:rsidP="000E7E18">
      <w:pPr>
        <w:pStyle w:val="ListParagraph"/>
        <w:numPr>
          <w:ilvl w:val="0"/>
          <w:numId w:val="1"/>
        </w:numPr>
        <w:spacing w:after="0" w:line="240" w:lineRule="auto"/>
        <w:rPr>
          <w:u w:val="single"/>
        </w:rPr>
      </w:pPr>
      <w:r w:rsidRPr="00B33695">
        <w:rPr>
          <w:u w:val="single"/>
        </w:rPr>
        <w:t>Direct Assignment Facilities Charge:</w:t>
      </w:r>
    </w:p>
    <w:p w14:paraId="60E16851" w14:textId="77777777" w:rsidR="000E7E18" w:rsidRDefault="000E7E18" w:rsidP="000E7E18">
      <w:pPr>
        <w:spacing w:after="0" w:line="240" w:lineRule="auto"/>
        <w:rPr>
          <w:u w:val="single"/>
        </w:rPr>
      </w:pPr>
    </w:p>
    <w:p w14:paraId="426BE8DB" w14:textId="35A4A684" w:rsidR="000E7E18" w:rsidRDefault="000E7E18" w:rsidP="003B5DF5">
      <w:pPr>
        <w:spacing w:after="0" w:line="240" w:lineRule="auto"/>
        <w:ind w:left="360"/>
      </w:pPr>
      <w:r w:rsidRPr="00FC20E4">
        <w:t xml:space="preserve">The monthly fixed charges shown in the table below reflect </w:t>
      </w:r>
      <w:r>
        <w:t>direct assignment facilities charges stated in the Agency’s Network Integration Transmission Service Agreement (NITSA), Attachment F</w:t>
      </w:r>
      <w:r w:rsidR="00937F39">
        <w:t>, under the LGE/KU OATT</w:t>
      </w:r>
      <w:r>
        <w:t xml:space="preserve">.  These charges are </w:t>
      </w:r>
      <w:r w:rsidRPr="00FC20E4">
        <w:t>based on costs of direct assignment facilities previously installed</w:t>
      </w:r>
      <w:r>
        <w:t xml:space="preserve"> by LGE/KU and may include charges for substation, switchgear, tap lines, and metering facilities.</w:t>
      </w:r>
    </w:p>
    <w:p w14:paraId="40D0F5F2" w14:textId="77777777" w:rsidR="000E7E18" w:rsidRPr="00D33E56" w:rsidRDefault="000E7E18" w:rsidP="000E7E18">
      <w:pPr>
        <w:spacing w:after="0" w:line="240" w:lineRule="auto"/>
      </w:pPr>
    </w:p>
    <w:tbl>
      <w:tblPr>
        <w:tblW w:w="3690" w:type="dxa"/>
        <w:jc w:val="center"/>
        <w:tblLayout w:type="fixed"/>
        <w:tblLook w:val="01E0" w:firstRow="1" w:lastRow="1" w:firstColumn="1" w:lastColumn="1" w:noHBand="0" w:noVBand="0"/>
      </w:tblPr>
      <w:tblGrid>
        <w:gridCol w:w="2070"/>
        <w:gridCol w:w="1620"/>
      </w:tblGrid>
      <w:tr w:rsidR="000E7E18" w:rsidRPr="00FC20E4" w14:paraId="2D9E537D" w14:textId="77777777" w:rsidTr="00B56AAB">
        <w:trPr>
          <w:jc w:val="center"/>
        </w:trPr>
        <w:tc>
          <w:tcPr>
            <w:tcW w:w="2070" w:type="dxa"/>
            <w:tcBorders>
              <w:bottom w:val="single" w:sz="4" w:space="0" w:color="auto"/>
            </w:tcBorders>
            <w:vAlign w:val="center"/>
          </w:tcPr>
          <w:p w14:paraId="2B781D55" w14:textId="7C7D20F5" w:rsidR="000E7E18" w:rsidRPr="00D33E56" w:rsidRDefault="00E119B9" w:rsidP="00FC21CF">
            <w:pPr>
              <w:spacing w:after="0" w:line="240" w:lineRule="auto"/>
              <w:jc w:val="center"/>
              <w:rPr>
                <w:b/>
              </w:rPr>
            </w:pPr>
            <w:r>
              <w:rPr>
                <w:b/>
              </w:rPr>
              <w:t xml:space="preserve">AR Project </w:t>
            </w:r>
            <w:r w:rsidR="000E7E18">
              <w:rPr>
                <w:b/>
              </w:rPr>
              <w:t>Member</w:t>
            </w:r>
          </w:p>
        </w:tc>
        <w:tc>
          <w:tcPr>
            <w:tcW w:w="1620" w:type="dxa"/>
            <w:tcBorders>
              <w:bottom w:val="single" w:sz="4" w:space="0" w:color="auto"/>
            </w:tcBorders>
            <w:vAlign w:val="center"/>
          </w:tcPr>
          <w:p w14:paraId="3A0A063E" w14:textId="77777777" w:rsidR="000E7E18" w:rsidRPr="00D33E56" w:rsidRDefault="000E7E18" w:rsidP="00FC21CF">
            <w:pPr>
              <w:spacing w:after="0" w:line="240" w:lineRule="auto"/>
              <w:jc w:val="center"/>
              <w:rPr>
                <w:b/>
              </w:rPr>
            </w:pPr>
            <w:r w:rsidRPr="00D33E56">
              <w:rPr>
                <w:b/>
              </w:rPr>
              <w:t>Monthly Fixed Charge</w:t>
            </w:r>
          </w:p>
        </w:tc>
      </w:tr>
      <w:tr w:rsidR="000E7E18" w:rsidRPr="00FC20E4" w14:paraId="5FBCE5A5" w14:textId="77777777" w:rsidTr="00B56AAB">
        <w:trPr>
          <w:jc w:val="center"/>
        </w:trPr>
        <w:tc>
          <w:tcPr>
            <w:tcW w:w="2070" w:type="dxa"/>
          </w:tcPr>
          <w:p w14:paraId="27459629" w14:textId="77777777" w:rsidR="000E7E18" w:rsidRPr="00FC20E4" w:rsidRDefault="000E7E18" w:rsidP="00FC21CF">
            <w:pPr>
              <w:spacing w:after="0" w:line="240" w:lineRule="auto"/>
            </w:pPr>
            <w:r w:rsidRPr="00FC20E4">
              <w:t>Paris</w:t>
            </w:r>
          </w:p>
        </w:tc>
        <w:tc>
          <w:tcPr>
            <w:tcW w:w="1620" w:type="dxa"/>
          </w:tcPr>
          <w:p w14:paraId="339E6CB3" w14:textId="77777777" w:rsidR="000E7E18" w:rsidRPr="00FC20E4" w:rsidDel="0020787B" w:rsidRDefault="000E7E18" w:rsidP="00B56AAB">
            <w:pPr>
              <w:tabs>
                <w:tab w:val="decimal" w:pos="795"/>
              </w:tabs>
              <w:spacing w:after="0" w:line="240" w:lineRule="auto"/>
            </w:pPr>
            <w:r w:rsidRPr="00FC20E4">
              <w:t>$0.00</w:t>
            </w:r>
          </w:p>
        </w:tc>
      </w:tr>
      <w:tr w:rsidR="000E7E18" w:rsidRPr="00FC20E4" w14:paraId="13F3BF5F" w14:textId="77777777" w:rsidTr="00B56AAB">
        <w:trPr>
          <w:jc w:val="center"/>
        </w:trPr>
        <w:tc>
          <w:tcPr>
            <w:tcW w:w="2070" w:type="dxa"/>
          </w:tcPr>
          <w:p w14:paraId="6CC2C3E1" w14:textId="51315197" w:rsidR="000E7E18" w:rsidRPr="00FC20E4" w:rsidRDefault="000E7E18" w:rsidP="00FC21CF">
            <w:pPr>
              <w:spacing w:after="0" w:line="240" w:lineRule="auto"/>
            </w:pPr>
            <w:r w:rsidRPr="00FC20E4">
              <w:t xml:space="preserve">Barbourville </w:t>
            </w:r>
          </w:p>
        </w:tc>
        <w:tc>
          <w:tcPr>
            <w:tcW w:w="1620" w:type="dxa"/>
          </w:tcPr>
          <w:p w14:paraId="06E17FE2" w14:textId="77777777" w:rsidR="000E7E18" w:rsidRPr="00FC20E4" w:rsidRDefault="000E7E18" w:rsidP="00B56AAB">
            <w:pPr>
              <w:tabs>
                <w:tab w:val="decimal" w:pos="795"/>
              </w:tabs>
              <w:spacing w:after="0" w:line="240" w:lineRule="auto"/>
            </w:pPr>
            <w:r w:rsidRPr="00FC20E4">
              <w:t>$551.62</w:t>
            </w:r>
          </w:p>
        </w:tc>
      </w:tr>
      <w:tr w:rsidR="000E7E18" w:rsidRPr="00FC20E4" w14:paraId="3FEC7FB1" w14:textId="77777777" w:rsidTr="00B56AAB">
        <w:trPr>
          <w:jc w:val="center"/>
        </w:trPr>
        <w:tc>
          <w:tcPr>
            <w:tcW w:w="2070" w:type="dxa"/>
          </w:tcPr>
          <w:p w14:paraId="090150D1" w14:textId="3ADA0921" w:rsidR="000E7E18" w:rsidRPr="00FC20E4" w:rsidRDefault="000E7E18" w:rsidP="00FC21CF">
            <w:pPr>
              <w:spacing w:after="0" w:line="240" w:lineRule="auto"/>
            </w:pPr>
            <w:r w:rsidRPr="00FC20E4">
              <w:t xml:space="preserve">Bardwell </w:t>
            </w:r>
          </w:p>
        </w:tc>
        <w:tc>
          <w:tcPr>
            <w:tcW w:w="1620" w:type="dxa"/>
          </w:tcPr>
          <w:p w14:paraId="12862956" w14:textId="77777777" w:rsidR="000E7E18" w:rsidRPr="00FC20E4" w:rsidRDefault="000E7E18" w:rsidP="00B56AAB">
            <w:pPr>
              <w:tabs>
                <w:tab w:val="decimal" w:pos="795"/>
              </w:tabs>
              <w:spacing w:after="0" w:line="240" w:lineRule="auto"/>
            </w:pPr>
            <w:r w:rsidRPr="00FC20E4">
              <w:t>$341.15</w:t>
            </w:r>
          </w:p>
        </w:tc>
      </w:tr>
      <w:tr w:rsidR="000E7E18" w:rsidRPr="00FC20E4" w14:paraId="76ED05CE" w14:textId="77777777" w:rsidTr="00B56AAB">
        <w:trPr>
          <w:jc w:val="center"/>
        </w:trPr>
        <w:tc>
          <w:tcPr>
            <w:tcW w:w="2070" w:type="dxa"/>
          </w:tcPr>
          <w:p w14:paraId="687EAE36" w14:textId="77777777" w:rsidR="000E7E18" w:rsidRPr="00FC20E4" w:rsidRDefault="000E7E18" w:rsidP="00FC21CF">
            <w:pPr>
              <w:spacing w:after="0" w:line="240" w:lineRule="auto"/>
            </w:pPr>
            <w:r w:rsidRPr="00FC20E4">
              <w:t>Corbin</w:t>
            </w:r>
          </w:p>
        </w:tc>
        <w:tc>
          <w:tcPr>
            <w:tcW w:w="1620" w:type="dxa"/>
          </w:tcPr>
          <w:p w14:paraId="5EEE4C2B" w14:textId="77777777" w:rsidR="000E7E18" w:rsidRPr="00FC20E4" w:rsidRDefault="000E7E18" w:rsidP="00B56AAB">
            <w:pPr>
              <w:tabs>
                <w:tab w:val="decimal" w:pos="795"/>
              </w:tabs>
              <w:spacing w:after="0" w:line="240" w:lineRule="auto"/>
            </w:pPr>
            <w:r w:rsidRPr="00FC20E4">
              <w:t>$890.02</w:t>
            </w:r>
          </w:p>
        </w:tc>
      </w:tr>
      <w:tr w:rsidR="000E7E18" w:rsidRPr="00FC20E4" w14:paraId="43A1B2F9" w14:textId="77777777" w:rsidTr="00B56AAB">
        <w:trPr>
          <w:jc w:val="center"/>
        </w:trPr>
        <w:tc>
          <w:tcPr>
            <w:tcW w:w="2070" w:type="dxa"/>
          </w:tcPr>
          <w:p w14:paraId="7E049729" w14:textId="65387A0D" w:rsidR="000E7E18" w:rsidRPr="00FC20E4" w:rsidRDefault="000E7E18" w:rsidP="00FC21CF">
            <w:pPr>
              <w:spacing w:after="0" w:line="240" w:lineRule="auto"/>
            </w:pPr>
            <w:r w:rsidRPr="00FC20E4">
              <w:t xml:space="preserve">Falmouth </w:t>
            </w:r>
          </w:p>
        </w:tc>
        <w:tc>
          <w:tcPr>
            <w:tcW w:w="1620" w:type="dxa"/>
          </w:tcPr>
          <w:p w14:paraId="1127EC52" w14:textId="77777777" w:rsidR="000E7E18" w:rsidRPr="00FC20E4" w:rsidRDefault="000E7E18" w:rsidP="00B56AAB">
            <w:pPr>
              <w:tabs>
                <w:tab w:val="decimal" w:pos="795"/>
              </w:tabs>
              <w:spacing w:after="0" w:line="240" w:lineRule="auto"/>
            </w:pPr>
            <w:r w:rsidRPr="00FC20E4">
              <w:t>$480.00</w:t>
            </w:r>
          </w:p>
        </w:tc>
      </w:tr>
      <w:tr w:rsidR="000E7E18" w:rsidRPr="00FC20E4" w14:paraId="4F14A8E5" w14:textId="77777777" w:rsidTr="00B56AAB">
        <w:trPr>
          <w:jc w:val="center"/>
        </w:trPr>
        <w:tc>
          <w:tcPr>
            <w:tcW w:w="2070" w:type="dxa"/>
          </w:tcPr>
          <w:p w14:paraId="2D5BC23D" w14:textId="77777777" w:rsidR="000E7E18" w:rsidRPr="00FC20E4" w:rsidRDefault="000E7E18" w:rsidP="00FC21CF">
            <w:pPr>
              <w:spacing w:after="0" w:line="240" w:lineRule="auto"/>
            </w:pPr>
            <w:r w:rsidRPr="00FC20E4">
              <w:t>Frankfort</w:t>
            </w:r>
          </w:p>
        </w:tc>
        <w:tc>
          <w:tcPr>
            <w:tcW w:w="1620" w:type="dxa"/>
          </w:tcPr>
          <w:p w14:paraId="34377873" w14:textId="77777777" w:rsidR="000E7E18" w:rsidRPr="00FC20E4" w:rsidRDefault="000E7E18" w:rsidP="00B56AAB">
            <w:pPr>
              <w:tabs>
                <w:tab w:val="decimal" w:pos="795"/>
              </w:tabs>
              <w:spacing w:after="0" w:line="240" w:lineRule="auto"/>
            </w:pPr>
            <w:r w:rsidRPr="00FC20E4">
              <w:t>$2</w:t>
            </w:r>
            <w:r>
              <w:t>,</w:t>
            </w:r>
            <w:r w:rsidRPr="00FC20E4">
              <w:t>530.58</w:t>
            </w:r>
          </w:p>
        </w:tc>
      </w:tr>
      <w:tr w:rsidR="000E7E18" w:rsidRPr="00FC20E4" w14:paraId="3AAA52EA" w14:textId="77777777" w:rsidTr="003927E3">
        <w:trPr>
          <w:jc w:val="center"/>
        </w:trPr>
        <w:tc>
          <w:tcPr>
            <w:tcW w:w="2070" w:type="dxa"/>
          </w:tcPr>
          <w:p w14:paraId="66A04037" w14:textId="77777777" w:rsidR="000E7E18" w:rsidRPr="00FC20E4" w:rsidRDefault="000E7E18" w:rsidP="00FC21CF">
            <w:pPr>
              <w:spacing w:after="0" w:line="240" w:lineRule="auto"/>
            </w:pPr>
            <w:r w:rsidRPr="00FC20E4">
              <w:t>Madisonville</w:t>
            </w:r>
          </w:p>
        </w:tc>
        <w:tc>
          <w:tcPr>
            <w:tcW w:w="1620" w:type="dxa"/>
          </w:tcPr>
          <w:p w14:paraId="2CCC74D1" w14:textId="77777777" w:rsidR="000E7E18" w:rsidRPr="00FC20E4" w:rsidRDefault="000E7E18" w:rsidP="00B56AAB">
            <w:pPr>
              <w:tabs>
                <w:tab w:val="decimal" w:pos="795"/>
              </w:tabs>
              <w:spacing w:after="0" w:line="240" w:lineRule="auto"/>
            </w:pPr>
            <w:r w:rsidRPr="00FC20E4">
              <w:t>$12,015.80</w:t>
            </w:r>
          </w:p>
        </w:tc>
      </w:tr>
      <w:tr w:rsidR="000E7E18" w:rsidRPr="00FC20E4" w14:paraId="5C5A9F36" w14:textId="77777777" w:rsidTr="003927E3">
        <w:trPr>
          <w:jc w:val="center"/>
        </w:trPr>
        <w:tc>
          <w:tcPr>
            <w:tcW w:w="2070" w:type="dxa"/>
            <w:tcBorders>
              <w:bottom w:val="single" w:sz="4" w:space="0" w:color="auto"/>
            </w:tcBorders>
          </w:tcPr>
          <w:p w14:paraId="333B9E72" w14:textId="053A4E74" w:rsidR="000E7E18" w:rsidRPr="00FC20E4" w:rsidRDefault="000E7E18" w:rsidP="00FC21CF">
            <w:pPr>
              <w:spacing w:after="0" w:line="240" w:lineRule="auto"/>
            </w:pPr>
            <w:r w:rsidRPr="00FC20E4">
              <w:t xml:space="preserve">Providence </w:t>
            </w:r>
          </w:p>
        </w:tc>
        <w:tc>
          <w:tcPr>
            <w:tcW w:w="1620" w:type="dxa"/>
            <w:tcBorders>
              <w:bottom w:val="single" w:sz="4" w:space="0" w:color="auto"/>
            </w:tcBorders>
          </w:tcPr>
          <w:p w14:paraId="02E312F3" w14:textId="045590E7" w:rsidR="000E7E18" w:rsidRPr="00FC20E4" w:rsidRDefault="000E7E18" w:rsidP="00B56AAB">
            <w:pPr>
              <w:tabs>
                <w:tab w:val="decimal" w:pos="795"/>
              </w:tabs>
              <w:spacing w:after="0" w:line="240" w:lineRule="auto"/>
            </w:pPr>
            <w:r w:rsidRPr="00FC20E4">
              <w:t>$905.08</w:t>
            </w:r>
          </w:p>
        </w:tc>
      </w:tr>
    </w:tbl>
    <w:p w14:paraId="10E22B1B" w14:textId="77777777" w:rsidR="003B5DF5" w:rsidRDefault="003B5DF5" w:rsidP="000E7E18">
      <w:pPr>
        <w:spacing w:after="0" w:line="240" w:lineRule="auto"/>
      </w:pPr>
    </w:p>
    <w:p w14:paraId="1B9AB788" w14:textId="359E319D" w:rsidR="000E7E18" w:rsidRDefault="000E7E18" w:rsidP="003B5DF5">
      <w:pPr>
        <w:spacing w:after="0" w:line="240" w:lineRule="auto"/>
        <w:ind w:left="360"/>
      </w:pPr>
      <w:r w:rsidRPr="00B33695">
        <w:t xml:space="preserve">The charges shown above will be updated as needed to reflect </w:t>
      </w:r>
      <w:r>
        <w:t>changes in delivery point charges associated with metering and other adjustments as may be required as part of Member’s transition from KU power supply to Agency power supply.</w:t>
      </w:r>
    </w:p>
    <w:p w14:paraId="3113E681" w14:textId="12F2FC82" w:rsidR="00910906" w:rsidRDefault="00910906" w:rsidP="002F4F4A">
      <w:pPr>
        <w:spacing w:after="0" w:line="240" w:lineRule="auto"/>
      </w:pPr>
    </w:p>
    <w:p w14:paraId="43CD8040" w14:textId="0A4B9B69" w:rsidR="00E75E98" w:rsidRPr="002F4F4A" w:rsidRDefault="00DD67C1" w:rsidP="000E7E18">
      <w:pPr>
        <w:pStyle w:val="ListParagraph"/>
        <w:numPr>
          <w:ilvl w:val="0"/>
          <w:numId w:val="1"/>
        </w:numPr>
        <w:spacing w:after="0" w:line="240" w:lineRule="auto"/>
        <w:rPr>
          <w:u w:val="single"/>
        </w:rPr>
      </w:pPr>
      <w:r>
        <w:rPr>
          <w:u w:val="single"/>
        </w:rPr>
        <w:t>Power Factor</w:t>
      </w:r>
    </w:p>
    <w:p w14:paraId="3DBDFFA0" w14:textId="77777777" w:rsidR="00E75E98" w:rsidRDefault="00E75E98" w:rsidP="00E75E98">
      <w:pPr>
        <w:spacing w:after="0" w:line="240" w:lineRule="auto"/>
      </w:pPr>
    </w:p>
    <w:p w14:paraId="1EE5F4FC" w14:textId="4FA8F174" w:rsidR="00910906" w:rsidRDefault="00E75E98" w:rsidP="003B5DF5">
      <w:pPr>
        <w:spacing w:after="0" w:line="240" w:lineRule="auto"/>
        <w:ind w:left="360"/>
      </w:pPr>
      <w:r>
        <w:t xml:space="preserve">If the </w:t>
      </w:r>
      <w:r w:rsidR="00D3473B">
        <w:t xml:space="preserve">Member’s measured </w:t>
      </w:r>
      <w:r>
        <w:t>power factor</w:t>
      </w:r>
      <w:r w:rsidR="00D3473B">
        <w:t>, at the time of Member’s Non-Coincident Billing Demand,</w:t>
      </w:r>
      <w:r>
        <w:t xml:space="preserve"> is determined to be less than 9</w:t>
      </w:r>
      <w:r w:rsidR="00937F39">
        <w:t>0</w:t>
      </w:r>
      <w:r>
        <w:t xml:space="preserve"> percent, the Non-Coincident </w:t>
      </w:r>
      <w:r w:rsidR="00937F39">
        <w:t xml:space="preserve">Billing </w:t>
      </w:r>
      <w:r>
        <w:t xml:space="preserve">Demand shall be adjusted by multiplying the metered Non-Coincident </w:t>
      </w:r>
      <w:r w:rsidR="00937F39">
        <w:t xml:space="preserve">Billing </w:t>
      </w:r>
      <w:r>
        <w:t xml:space="preserve">Demand </w:t>
      </w:r>
      <w:r w:rsidR="003F53F4">
        <w:t xml:space="preserve">by the ratio of </w:t>
      </w:r>
      <w:r>
        <w:t>9</w:t>
      </w:r>
      <w:r w:rsidR="00937F39">
        <w:t>0</w:t>
      </w:r>
      <w:r>
        <w:t xml:space="preserve"> percent</w:t>
      </w:r>
      <w:r w:rsidR="003F53F4">
        <w:t xml:space="preserve"> to the measured </w:t>
      </w:r>
      <w:r>
        <w:t>power factor in percent</w:t>
      </w:r>
      <w:r w:rsidR="00910906">
        <w:t>.</w:t>
      </w:r>
    </w:p>
    <w:p w14:paraId="2C50AFF9" w14:textId="4E15876F" w:rsidR="00F0317A" w:rsidRDefault="00F0317A">
      <w:r>
        <w:br w:type="page"/>
      </w:r>
    </w:p>
    <w:p w14:paraId="2AF983DE" w14:textId="77777777" w:rsidR="00937F39" w:rsidRDefault="00937F39" w:rsidP="002F4F4A">
      <w:pPr>
        <w:spacing w:after="0" w:line="240" w:lineRule="auto"/>
      </w:pPr>
    </w:p>
    <w:p w14:paraId="0E44A0C7" w14:textId="77777777" w:rsidR="00910906" w:rsidRPr="000E7E18" w:rsidRDefault="00910906" w:rsidP="000E7E18">
      <w:pPr>
        <w:pStyle w:val="ListParagraph"/>
        <w:numPr>
          <w:ilvl w:val="0"/>
          <w:numId w:val="1"/>
        </w:numPr>
        <w:spacing w:after="0" w:line="240" w:lineRule="auto"/>
        <w:rPr>
          <w:u w:val="single"/>
        </w:rPr>
      </w:pPr>
      <w:r w:rsidRPr="000E7E18">
        <w:rPr>
          <w:u w:val="single"/>
        </w:rPr>
        <w:t>Late Payment Charge</w:t>
      </w:r>
    </w:p>
    <w:p w14:paraId="79D8A385" w14:textId="77777777" w:rsidR="00910906" w:rsidRDefault="00910906" w:rsidP="002F4F4A">
      <w:pPr>
        <w:spacing w:after="0" w:line="240" w:lineRule="auto"/>
      </w:pPr>
    </w:p>
    <w:p w14:paraId="38E3197C" w14:textId="1B04D5C5" w:rsidR="00C92E22" w:rsidRDefault="00E119B9" w:rsidP="003B5DF5">
      <w:pPr>
        <w:spacing w:after="0" w:line="240" w:lineRule="auto"/>
        <w:ind w:left="360"/>
      </w:pPr>
      <w:r>
        <w:t>Each M</w:t>
      </w:r>
      <w:r w:rsidR="00910906">
        <w:t xml:space="preserve">ember shall provide </w:t>
      </w:r>
      <w:r>
        <w:t xml:space="preserve">the Agency </w:t>
      </w:r>
      <w:r w:rsidR="00910906">
        <w:t xml:space="preserve">payment in full of its power bill on or before the </w:t>
      </w:r>
      <w:r w:rsidR="003241A9">
        <w:t>d</w:t>
      </w:r>
      <w:r w:rsidR="00910906">
        <w:t xml:space="preserve">ue </w:t>
      </w:r>
      <w:r w:rsidR="003241A9">
        <w:t>d</w:t>
      </w:r>
      <w:r w:rsidR="00910906">
        <w:t>ate.</w:t>
      </w:r>
      <w:r>
        <w:t xml:space="preserve">  For any unpaid balance of the amount due, the Agency may impose a late payment charge.  Such charge shall be equal to the interest on the unpaid balance from the due date to the date of payment, with the interest rate being the prime rate value published in </w:t>
      </w:r>
      <w:r w:rsidRPr="00E119B9">
        <w:rPr>
          <w:i/>
        </w:rPr>
        <w:t>The Wall Street Journal</w:t>
      </w:r>
      <w:r>
        <w:t xml:space="preserve"> for the month prior to the due date.  The charge required to be paid under this paragraph will be compounded monthly.</w:t>
      </w:r>
    </w:p>
    <w:p w14:paraId="19C769E6" w14:textId="77777777" w:rsidR="00C92E22" w:rsidRDefault="00C92E22" w:rsidP="002F4F4A">
      <w:pPr>
        <w:spacing w:after="0" w:line="240" w:lineRule="auto"/>
      </w:pPr>
    </w:p>
    <w:p w14:paraId="3C4BEF04" w14:textId="77777777" w:rsidR="00B56AAB" w:rsidRDefault="00B56AAB" w:rsidP="002F4F4A">
      <w:pPr>
        <w:spacing w:after="0" w:line="240" w:lineRule="auto"/>
        <w:sectPr w:rsidR="00B56AA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3DBEDBC6" w14:textId="01F24347" w:rsidR="006A7670" w:rsidRDefault="006A7670" w:rsidP="002F4F4A">
      <w:pPr>
        <w:spacing w:after="0" w:line="240" w:lineRule="auto"/>
      </w:pPr>
    </w:p>
    <w:p w14:paraId="460B9E62" w14:textId="7B8D8899" w:rsidR="006A7670" w:rsidRPr="006A7670" w:rsidRDefault="006A7670" w:rsidP="006A7670">
      <w:pPr>
        <w:spacing w:after="0" w:line="240" w:lineRule="auto"/>
        <w:jc w:val="center"/>
        <w:rPr>
          <w:b/>
        </w:rPr>
      </w:pPr>
      <w:r w:rsidRPr="006A7670">
        <w:rPr>
          <w:b/>
        </w:rPr>
        <w:t>SCHEDULE A</w:t>
      </w:r>
    </w:p>
    <w:p w14:paraId="7FBE5601" w14:textId="60EC5537" w:rsidR="006A7670" w:rsidRPr="006A7670" w:rsidRDefault="006A7670" w:rsidP="006A7670">
      <w:pPr>
        <w:spacing w:after="0" w:line="240" w:lineRule="auto"/>
        <w:jc w:val="center"/>
        <w:rPr>
          <w:b/>
        </w:rPr>
      </w:pPr>
      <w:r w:rsidRPr="006A7670">
        <w:rPr>
          <w:b/>
        </w:rPr>
        <w:t>POINTS OF DELIVERY</w:t>
      </w:r>
    </w:p>
    <w:p w14:paraId="7B8F0D02" w14:textId="77777777" w:rsidR="006A7670" w:rsidRDefault="006A7670" w:rsidP="002F4F4A">
      <w:pPr>
        <w:spacing w:after="0" w:line="240" w:lineRule="auto"/>
      </w:pPr>
    </w:p>
    <w:tbl>
      <w:tblPr>
        <w:tblW w:w="4950" w:type="dxa"/>
        <w:jc w:val="center"/>
        <w:tblLayout w:type="fixed"/>
        <w:tblLook w:val="01E0" w:firstRow="1" w:lastRow="1" w:firstColumn="1" w:lastColumn="1" w:noHBand="0" w:noVBand="0"/>
      </w:tblPr>
      <w:tblGrid>
        <w:gridCol w:w="810"/>
        <w:gridCol w:w="2880"/>
        <w:gridCol w:w="1260"/>
      </w:tblGrid>
      <w:tr w:rsidR="00B56AAB" w:rsidRPr="00FC20E4" w14:paraId="6AE9632F" w14:textId="77777777" w:rsidTr="00B56AAB">
        <w:trPr>
          <w:jc w:val="center"/>
        </w:trPr>
        <w:tc>
          <w:tcPr>
            <w:tcW w:w="810" w:type="dxa"/>
            <w:tcBorders>
              <w:bottom w:val="single" w:sz="4" w:space="0" w:color="auto"/>
            </w:tcBorders>
            <w:vAlign w:val="center"/>
          </w:tcPr>
          <w:p w14:paraId="580ACE39" w14:textId="0C88A1D4" w:rsidR="00B56AAB" w:rsidRPr="00D33E56" w:rsidRDefault="00B56AAB" w:rsidP="00FB41F9">
            <w:pPr>
              <w:spacing w:after="0" w:line="240" w:lineRule="auto"/>
              <w:jc w:val="center"/>
              <w:rPr>
                <w:b/>
              </w:rPr>
            </w:pPr>
            <w:r>
              <w:rPr>
                <w:b/>
              </w:rPr>
              <w:t>No.</w:t>
            </w:r>
          </w:p>
        </w:tc>
        <w:tc>
          <w:tcPr>
            <w:tcW w:w="2880" w:type="dxa"/>
            <w:tcBorders>
              <w:bottom w:val="single" w:sz="4" w:space="0" w:color="auto"/>
            </w:tcBorders>
            <w:vAlign w:val="center"/>
          </w:tcPr>
          <w:p w14:paraId="7F64992D" w14:textId="669ECED3" w:rsidR="00B56AAB" w:rsidRPr="00D33E56" w:rsidRDefault="00B56AAB" w:rsidP="00B56AAB">
            <w:pPr>
              <w:spacing w:after="0" w:line="240" w:lineRule="auto"/>
              <w:jc w:val="center"/>
              <w:rPr>
                <w:b/>
              </w:rPr>
            </w:pPr>
            <w:r>
              <w:rPr>
                <w:b/>
              </w:rPr>
              <w:t>Delivery Point Name</w:t>
            </w:r>
          </w:p>
        </w:tc>
        <w:tc>
          <w:tcPr>
            <w:tcW w:w="1260" w:type="dxa"/>
            <w:tcBorders>
              <w:bottom w:val="single" w:sz="4" w:space="0" w:color="auto"/>
            </w:tcBorders>
            <w:vAlign w:val="center"/>
          </w:tcPr>
          <w:p w14:paraId="319637DA" w14:textId="67175930" w:rsidR="00B56AAB" w:rsidRPr="00D33E56" w:rsidRDefault="00B56AAB" w:rsidP="00FB41F9">
            <w:pPr>
              <w:spacing w:after="0" w:line="240" w:lineRule="auto"/>
              <w:jc w:val="center"/>
              <w:rPr>
                <w:b/>
              </w:rPr>
            </w:pPr>
            <w:r>
              <w:rPr>
                <w:b/>
              </w:rPr>
              <w:t>Voltage Level</w:t>
            </w:r>
          </w:p>
        </w:tc>
      </w:tr>
      <w:tr w:rsidR="003927E3" w:rsidRPr="00FC20E4" w14:paraId="566D0595" w14:textId="77777777" w:rsidTr="00B56AAB">
        <w:trPr>
          <w:jc w:val="center"/>
        </w:trPr>
        <w:tc>
          <w:tcPr>
            <w:tcW w:w="810" w:type="dxa"/>
          </w:tcPr>
          <w:p w14:paraId="168EFCBC" w14:textId="525AF146" w:rsidR="003927E3" w:rsidRPr="00FC20E4" w:rsidRDefault="003927E3" w:rsidP="003927E3">
            <w:pPr>
              <w:spacing w:after="0" w:line="240" w:lineRule="auto"/>
              <w:jc w:val="center"/>
            </w:pPr>
            <w:r>
              <w:t>1</w:t>
            </w:r>
          </w:p>
        </w:tc>
        <w:tc>
          <w:tcPr>
            <w:tcW w:w="2880" w:type="dxa"/>
          </w:tcPr>
          <w:p w14:paraId="521CB26A" w14:textId="34E0ABA8" w:rsidR="003927E3" w:rsidRPr="00FC20E4" w:rsidRDefault="003927E3" w:rsidP="003927E3">
            <w:pPr>
              <w:spacing w:after="0" w:line="240" w:lineRule="auto"/>
            </w:pPr>
            <w:r w:rsidRPr="003A6D99">
              <w:t>Barbourville City</w:t>
            </w:r>
          </w:p>
        </w:tc>
        <w:tc>
          <w:tcPr>
            <w:tcW w:w="1260" w:type="dxa"/>
          </w:tcPr>
          <w:p w14:paraId="0682791D" w14:textId="2A2618FC" w:rsidR="003927E3" w:rsidRPr="00FC20E4" w:rsidDel="0020787B" w:rsidRDefault="003927E3" w:rsidP="003927E3">
            <w:pPr>
              <w:tabs>
                <w:tab w:val="decimal" w:pos="525"/>
              </w:tabs>
              <w:spacing w:after="0" w:line="240" w:lineRule="auto"/>
            </w:pPr>
            <w:r w:rsidRPr="003A6D99">
              <w:t>69kV</w:t>
            </w:r>
          </w:p>
        </w:tc>
      </w:tr>
      <w:tr w:rsidR="003927E3" w:rsidRPr="00FC20E4" w14:paraId="71C0B506" w14:textId="77777777" w:rsidTr="00B56AAB">
        <w:trPr>
          <w:jc w:val="center"/>
        </w:trPr>
        <w:tc>
          <w:tcPr>
            <w:tcW w:w="810" w:type="dxa"/>
          </w:tcPr>
          <w:p w14:paraId="2F7BF9E0" w14:textId="5E1455C5" w:rsidR="003927E3" w:rsidRPr="00FC20E4" w:rsidRDefault="003927E3" w:rsidP="003927E3">
            <w:pPr>
              <w:spacing w:after="0" w:line="240" w:lineRule="auto"/>
              <w:jc w:val="center"/>
            </w:pPr>
            <w:r>
              <w:t>2</w:t>
            </w:r>
          </w:p>
        </w:tc>
        <w:tc>
          <w:tcPr>
            <w:tcW w:w="2880" w:type="dxa"/>
          </w:tcPr>
          <w:p w14:paraId="2E78551A" w14:textId="129943EE" w:rsidR="003927E3" w:rsidRPr="00FC20E4" w:rsidRDefault="003927E3" w:rsidP="003927E3">
            <w:pPr>
              <w:spacing w:after="0" w:line="240" w:lineRule="auto"/>
            </w:pPr>
            <w:r w:rsidRPr="003A6D99">
              <w:t>Bardwell City</w:t>
            </w:r>
          </w:p>
        </w:tc>
        <w:tc>
          <w:tcPr>
            <w:tcW w:w="1260" w:type="dxa"/>
          </w:tcPr>
          <w:p w14:paraId="422DCA8F" w14:textId="1CCFC6C6" w:rsidR="003927E3" w:rsidRPr="00FC20E4" w:rsidRDefault="003927E3" w:rsidP="003927E3">
            <w:pPr>
              <w:tabs>
                <w:tab w:val="decimal" w:pos="525"/>
              </w:tabs>
              <w:spacing w:after="0" w:line="240" w:lineRule="auto"/>
            </w:pPr>
            <w:r w:rsidRPr="003A6D99">
              <w:t>69kV</w:t>
            </w:r>
          </w:p>
        </w:tc>
      </w:tr>
      <w:tr w:rsidR="003927E3" w:rsidRPr="00FC20E4" w14:paraId="0B341F07" w14:textId="77777777" w:rsidTr="00B56AAB">
        <w:trPr>
          <w:jc w:val="center"/>
        </w:trPr>
        <w:tc>
          <w:tcPr>
            <w:tcW w:w="810" w:type="dxa"/>
          </w:tcPr>
          <w:p w14:paraId="2E2E41F8" w14:textId="67E8D7B9" w:rsidR="003927E3" w:rsidRPr="00FC20E4" w:rsidRDefault="003927E3" w:rsidP="003927E3">
            <w:pPr>
              <w:spacing w:after="0" w:line="240" w:lineRule="auto"/>
              <w:jc w:val="center"/>
            </w:pPr>
            <w:r>
              <w:t>3</w:t>
            </w:r>
          </w:p>
        </w:tc>
        <w:tc>
          <w:tcPr>
            <w:tcW w:w="2880" w:type="dxa"/>
          </w:tcPr>
          <w:p w14:paraId="3FA59E89" w14:textId="3ED6B519" w:rsidR="003927E3" w:rsidRPr="00FC20E4" w:rsidRDefault="003927E3" w:rsidP="003927E3">
            <w:pPr>
              <w:spacing w:after="0" w:line="240" w:lineRule="auto"/>
            </w:pPr>
            <w:r w:rsidRPr="003A6D99">
              <w:t>Corbin 1 North</w:t>
            </w:r>
          </w:p>
        </w:tc>
        <w:tc>
          <w:tcPr>
            <w:tcW w:w="1260" w:type="dxa"/>
          </w:tcPr>
          <w:p w14:paraId="4FBFC6A2" w14:textId="4DEE4B89" w:rsidR="003927E3" w:rsidRPr="00FC20E4" w:rsidRDefault="003927E3" w:rsidP="003927E3">
            <w:pPr>
              <w:tabs>
                <w:tab w:val="decimal" w:pos="525"/>
              </w:tabs>
              <w:spacing w:after="0" w:line="240" w:lineRule="auto"/>
            </w:pPr>
            <w:r w:rsidRPr="003A6D99">
              <w:t>69kV</w:t>
            </w:r>
          </w:p>
        </w:tc>
      </w:tr>
      <w:tr w:rsidR="003927E3" w:rsidRPr="00FC20E4" w14:paraId="2354EAA5" w14:textId="77777777" w:rsidTr="00B56AAB">
        <w:trPr>
          <w:jc w:val="center"/>
        </w:trPr>
        <w:tc>
          <w:tcPr>
            <w:tcW w:w="810" w:type="dxa"/>
          </w:tcPr>
          <w:p w14:paraId="699711C7" w14:textId="4FBB3B1E" w:rsidR="003927E3" w:rsidRPr="00FC20E4" w:rsidRDefault="003927E3" w:rsidP="003927E3">
            <w:pPr>
              <w:spacing w:after="0" w:line="240" w:lineRule="auto"/>
              <w:jc w:val="center"/>
            </w:pPr>
            <w:r>
              <w:t>4</w:t>
            </w:r>
          </w:p>
        </w:tc>
        <w:tc>
          <w:tcPr>
            <w:tcW w:w="2880" w:type="dxa"/>
          </w:tcPr>
          <w:p w14:paraId="6391EF02" w14:textId="49D49D3D" w:rsidR="003927E3" w:rsidRPr="00FC20E4" w:rsidRDefault="003927E3" w:rsidP="003927E3">
            <w:pPr>
              <w:spacing w:after="0" w:line="240" w:lineRule="auto"/>
            </w:pPr>
            <w:r w:rsidRPr="003A6D99">
              <w:t>Corbin 2 South</w:t>
            </w:r>
          </w:p>
        </w:tc>
        <w:tc>
          <w:tcPr>
            <w:tcW w:w="1260" w:type="dxa"/>
          </w:tcPr>
          <w:p w14:paraId="708B1942" w14:textId="7CA0F829" w:rsidR="003927E3" w:rsidRPr="00FC20E4" w:rsidRDefault="003927E3" w:rsidP="003927E3">
            <w:pPr>
              <w:tabs>
                <w:tab w:val="decimal" w:pos="525"/>
              </w:tabs>
              <w:spacing w:after="0" w:line="240" w:lineRule="auto"/>
            </w:pPr>
            <w:r w:rsidRPr="003A6D99">
              <w:t>69kV</w:t>
            </w:r>
          </w:p>
        </w:tc>
      </w:tr>
      <w:tr w:rsidR="003927E3" w:rsidRPr="00FC20E4" w14:paraId="331E59DF" w14:textId="77777777" w:rsidTr="00B56AAB">
        <w:trPr>
          <w:jc w:val="center"/>
        </w:trPr>
        <w:tc>
          <w:tcPr>
            <w:tcW w:w="810" w:type="dxa"/>
          </w:tcPr>
          <w:p w14:paraId="0BBA848D" w14:textId="647CAF8E" w:rsidR="003927E3" w:rsidRPr="00FC20E4" w:rsidRDefault="003927E3" w:rsidP="003927E3">
            <w:pPr>
              <w:spacing w:after="0" w:line="240" w:lineRule="auto"/>
              <w:jc w:val="center"/>
            </w:pPr>
            <w:r>
              <w:t>5</w:t>
            </w:r>
          </w:p>
        </w:tc>
        <w:tc>
          <w:tcPr>
            <w:tcW w:w="2880" w:type="dxa"/>
          </w:tcPr>
          <w:p w14:paraId="0D7BC914" w14:textId="465D3647" w:rsidR="003927E3" w:rsidRPr="00FC20E4" w:rsidRDefault="003927E3" w:rsidP="003927E3">
            <w:pPr>
              <w:spacing w:after="0" w:line="240" w:lineRule="auto"/>
            </w:pPr>
            <w:r w:rsidRPr="003A6D99">
              <w:t>Falmouth 4kV</w:t>
            </w:r>
          </w:p>
        </w:tc>
        <w:tc>
          <w:tcPr>
            <w:tcW w:w="1260" w:type="dxa"/>
          </w:tcPr>
          <w:p w14:paraId="60DDAC0D" w14:textId="00F82587" w:rsidR="003927E3" w:rsidRPr="00FC20E4" w:rsidRDefault="003927E3" w:rsidP="003927E3">
            <w:pPr>
              <w:tabs>
                <w:tab w:val="decimal" w:pos="525"/>
              </w:tabs>
              <w:spacing w:after="0" w:line="240" w:lineRule="auto"/>
            </w:pPr>
            <w:r w:rsidRPr="003A6D99">
              <w:t>69kV</w:t>
            </w:r>
          </w:p>
        </w:tc>
      </w:tr>
      <w:tr w:rsidR="003927E3" w:rsidRPr="00FC20E4" w14:paraId="46A7A3CD" w14:textId="77777777" w:rsidTr="00B56AAB">
        <w:trPr>
          <w:jc w:val="center"/>
        </w:trPr>
        <w:tc>
          <w:tcPr>
            <w:tcW w:w="810" w:type="dxa"/>
          </w:tcPr>
          <w:p w14:paraId="15E71F91" w14:textId="015B736F" w:rsidR="003927E3" w:rsidRPr="00FC20E4" w:rsidRDefault="003927E3" w:rsidP="003927E3">
            <w:pPr>
              <w:spacing w:after="0" w:line="240" w:lineRule="auto"/>
              <w:jc w:val="center"/>
            </w:pPr>
            <w:r>
              <w:t>6</w:t>
            </w:r>
          </w:p>
        </w:tc>
        <w:tc>
          <w:tcPr>
            <w:tcW w:w="2880" w:type="dxa"/>
          </w:tcPr>
          <w:p w14:paraId="5EB2C2C2" w14:textId="4AC45674" w:rsidR="003927E3" w:rsidRPr="00FC20E4" w:rsidRDefault="003927E3" w:rsidP="003927E3">
            <w:pPr>
              <w:spacing w:after="0" w:line="240" w:lineRule="auto"/>
            </w:pPr>
            <w:r w:rsidRPr="003A6D99">
              <w:t>East Frankfort 1</w:t>
            </w:r>
          </w:p>
        </w:tc>
        <w:tc>
          <w:tcPr>
            <w:tcW w:w="1260" w:type="dxa"/>
          </w:tcPr>
          <w:p w14:paraId="0AE67874" w14:textId="693572A3" w:rsidR="003927E3" w:rsidRPr="00FC20E4" w:rsidRDefault="003927E3" w:rsidP="003927E3">
            <w:pPr>
              <w:tabs>
                <w:tab w:val="decimal" w:pos="525"/>
              </w:tabs>
              <w:spacing w:after="0" w:line="240" w:lineRule="auto"/>
            </w:pPr>
            <w:r w:rsidRPr="003A6D99">
              <w:t>69kV</w:t>
            </w:r>
          </w:p>
        </w:tc>
      </w:tr>
      <w:tr w:rsidR="003927E3" w:rsidRPr="00FC20E4" w14:paraId="3485695A" w14:textId="77777777" w:rsidTr="00B56AAB">
        <w:trPr>
          <w:jc w:val="center"/>
        </w:trPr>
        <w:tc>
          <w:tcPr>
            <w:tcW w:w="810" w:type="dxa"/>
          </w:tcPr>
          <w:p w14:paraId="2843C904" w14:textId="6E65C288" w:rsidR="003927E3" w:rsidRPr="00FC20E4" w:rsidRDefault="003927E3" w:rsidP="003927E3">
            <w:pPr>
              <w:spacing w:after="0" w:line="240" w:lineRule="auto"/>
              <w:jc w:val="center"/>
            </w:pPr>
            <w:r>
              <w:t>7</w:t>
            </w:r>
          </w:p>
        </w:tc>
        <w:tc>
          <w:tcPr>
            <w:tcW w:w="2880" w:type="dxa"/>
          </w:tcPr>
          <w:p w14:paraId="4B835440" w14:textId="427BBBFE" w:rsidR="003927E3" w:rsidRPr="00FC20E4" w:rsidRDefault="003927E3" w:rsidP="003927E3">
            <w:pPr>
              <w:spacing w:after="0" w:line="240" w:lineRule="auto"/>
            </w:pPr>
            <w:r w:rsidRPr="003A6D99">
              <w:t>East Frankfort 2</w:t>
            </w:r>
          </w:p>
        </w:tc>
        <w:tc>
          <w:tcPr>
            <w:tcW w:w="1260" w:type="dxa"/>
          </w:tcPr>
          <w:p w14:paraId="08440521" w14:textId="1FE7E4E1" w:rsidR="003927E3" w:rsidRPr="00FC20E4" w:rsidRDefault="003927E3" w:rsidP="003927E3">
            <w:pPr>
              <w:tabs>
                <w:tab w:val="decimal" w:pos="525"/>
              </w:tabs>
              <w:spacing w:after="0" w:line="240" w:lineRule="auto"/>
            </w:pPr>
            <w:r w:rsidRPr="003A6D99">
              <w:t>69kV</w:t>
            </w:r>
          </w:p>
        </w:tc>
      </w:tr>
      <w:tr w:rsidR="003927E3" w:rsidRPr="00FC20E4" w14:paraId="5E666D17" w14:textId="77777777" w:rsidTr="00B56AAB">
        <w:trPr>
          <w:jc w:val="center"/>
        </w:trPr>
        <w:tc>
          <w:tcPr>
            <w:tcW w:w="810" w:type="dxa"/>
          </w:tcPr>
          <w:p w14:paraId="7D277B88" w14:textId="36303281" w:rsidR="003927E3" w:rsidRPr="00FC20E4" w:rsidRDefault="003927E3" w:rsidP="003927E3">
            <w:pPr>
              <w:spacing w:after="0" w:line="240" w:lineRule="auto"/>
              <w:jc w:val="center"/>
            </w:pPr>
            <w:r>
              <w:t>8</w:t>
            </w:r>
          </w:p>
        </w:tc>
        <w:tc>
          <w:tcPr>
            <w:tcW w:w="2880" w:type="dxa"/>
          </w:tcPr>
          <w:p w14:paraId="6EBB0870" w14:textId="1E444AE8" w:rsidR="003927E3" w:rsidRPr="00FC20E4" w:rsidRDefault="003927E3" w:rsidP="003927E3">
            <w:pPr>
              <w:spacing w:after="0" w:line="240" w:lineRule="auto"/>
            </w:pPr>
            <w:r w:rsidRPr="003A6D99">
              <w:t>Madisonville GE</w:t>
            </w:r>
          </w:p>
        </w:tc>
        <w:tc>
          <w:tcPr>
            <w:tcW w:w="1260" w:type="dxa"/>
          </w:tcPr>
          <w:p w14:paraId="183FB098" w14:textId="3CFA5E7A" w:rsidR="003927E3" w:rsidRPr="00FC20E4" w:rsidRDefault="003927E3" w:rsidP="003927E3">
            <w:pPr>
              <w:tabs>
                <w:tab w:val="decimal" w:pos="525"/>
              </w:tabs>
              <w:spacing w:after="0" w:line="240" w:lineRule="auto"/>
            </w:pPr>
            <w:r w:rsidRPr="003A6D99">
              <w:t>69kV</w:t>
            </w:r>
          </w:p>
        </w:tc>
      </w:tr>
      <w:tr w:rsidR="003927E3" w:rsidRPr="00FC20E4" w14:paraId="1A39F3D4" w14:textId="77777777" w:rsidTr="00B56AAB">
        <w:trPr>
          <w:jc w:val="center"/>
        </w:trPr>
        <w:tc>
          <w:tcPr>
            <w:tcW w:w="810" w:type="dxa"/>
          </w:tcPr>
          <w:p w14:paraId="1A73FC33" w14:textId="39134236" w:rsidR="003927E3" w:rsidRPr="00FC20E4" w:rsidRDefault="003927E3" w:rsidP="003927E3">
            <w:pPr>
              <w:spacing w:after="0" w:line="240" w:lineRule="auto"/>
              <w:jc w:val="center"/>
            </w:pPr>
            <w:r>
              <w:t>9</w:t>
            </w:r>
          </w:p>
        </w:tc>
        <w:tc>
          <w:tcPr>
            <w:tcW w:w="2880" w:type="dxa"/>
          </w:tcPr>
          <w:p w14:paraId="6E9EF921" w14:textId="6C075100" w:rsidR="003927E3" w:rsidRPr="00FC20E4" w:rsidRDefault="003927E3" w:rsidP="003927E3">
            <w:pPr>
              <w:spacing w:after="0" w:line="240" w:lineRule="auto"/>
            </w:pPr>
            <w:r w:rsidRPr="003A6D99">
              <w:t>Madisonville West</w:t>
            </w:r>
          </w:p>
        </w:tc>
        <w:tc>
          <w:tcPr>
            <w:tcW w:w="1260" w:type="dxa"/>
          </w:tcPr>
          <w:p w14:paraId="63C86790" w14:textId="6FBB4F4E" w:rsidR="003927E3" w:rsidRPr="00FC20E4" w:rsidRDefault="003927E3" w:rsidP="003927E3">
            <w:pPr>
              <w:tabs>
                <w:tab w:val="decimal" w:pos="525"/>
              </w:tabs>
              <w:spacing w:after="0" w:line="240" w:lineRule="auto"/>
            </w:pPr>
            <w:r w:rsidRPr="003A6D99">
              <w:t>69kV</w:t>
            </w:r>
          </w:p>
        </w:tc>
      </w:tr>
      <w:tr w:rsidR="003927E3" w:rsidRPr="00FC20E4" w14:paraId="67F8C7E6" w14:textId="77777777" w:rsidTr="00B56AAB">
        <w:trPr>
          <w:jc w:val="center"/>
        </w:trPr>
        <w:tc>
          <w:tcPr>
            <w:tcW w:w="810" w:type="dxa"/>
          </w:tcPr>
          <w:p w14:paraId="3C4BD0CD" w14:textId="0579B1FD" w:rsidR="003927E3" w:rsidRPr="00FC20E4" w:rsidRDefault="003927E3" w:rsidP="003927E3">
            <w:pPr>
              <w:spacing w:after="0" w:line="240" w:lineRule="auto"/>
              <w:jc w:val="center"/>
            </w:pPr>
            <w:r>
              <w:t>10</w:t>
            </w:r>
          </w:p>
        </w:tc>
        <w:tc>
          <w:tcPr>
            <w:tcW w:w="2880" w:type="dxa"/>
          </w:tcPr>
          <w:p w14:paraId="43961892" w14:textId="7FDE4929" w:rsidR="003927E3" w:rsidRPr="00FC20E4" w:rsidRDefault="003927E3" w:rsidP="003927E3">
            <w:pPr>
              <w:spacing w:after="0" w:line="240" w:lineRule="auto"/>
            </w:pPr>
            <w:r w:rsidRPr="003A6D99">
              <w:t>Madisonville East</w:t>
            </w:r>
          </w:p>
        </w:tc>
        <w:tc>
          <w:tcPr>
            <w:tcW w:w="1260" w:type="dxa"/>
          </w:tcPr>
          <w:p w14:paraId="7039798B" w14:textId="0DA9A468" w:rsidR="003927E3" w:rsidRPr="00FC20E4" w:rsidRDefault="003927E3" w:rsidP="003927E3">
            <w:pPr>
              <w:tabs>
                <w:tab w:val="decimal" w:pos="525"/>
              </w:tabs>
              <w:spacing w:after="0" w:line="240" w:lineRule="auto"/>
            </w:pPr>
            <w:r w:rsidRPr="003A6D99">
              <w:t>69kV</w:t>
            </w:r>
          </w:p>
        </w:tc>
      </w:tr>
      <w:tr w:rsidR="003927E3" w:rsidRPr="00FC20E4" w14:paraId="57B01E2E" w14:textId="77777777" w:rsidTr="00B56AAB">
        <w:trPr>
          <w:jc w:val="center"/>
        </w:trPr>
        <w:tc>
          <w:tcPr>
            <w:tcW w:w="810" w:type="dxa"/>
          </w:tcPr>
          <w:p w14:paraId="4E19ACE1" w14:textId="3DA2A678" w:rsidR="003927E3" w:rsidRPr="00FC20E4" w:rsidRDefault="003927E3" w:rsidP="003927E3">
            <w:pPr>
              <w:spacing w:after="0" w:line="240" w:lineRule="auto"/>
              <w:jc w:val="center"/>
            </w:pPr>
            <w:r>
              <w:t>11</w:t>
            </w:r>
          </w:p>
        </w:tc>
        <w:tc>
          <w:tcPr>
            <w:tcW w:w="2880" w:type="dxa"/>
          </w:tcPr>
          <w:p w14:paraId="4A0A03E9" w14:textId="4014DCA8" w:rsidR="003927E3" w:rsidRPr="00FC20E4" w:rsidRDefault="003927E3" w:rsidP="003927E3">
            <w:pPr>
              <w:spacing w:after="0" w:line="240" w:lineRule="auto"/>
            </w:pPr>
            <w:r w:rsidRPr="003A6D99">
              <w:t>Madisonville Hospital</w:t>
            </w:r>
          </w:p>
        </w:tc>
        <w:tc>
          <w:tcPr>
            <w:tcW w:w="1260" w:type="dxa"/>
          </w:tcPr>
          <w:p w14:paraId="7D44E91E" w14:textId="7B61FFAE" w:rsidR="003927E3" w:rsidRPr="00FC20E4" w:rsidRDefault="003927E3" w:rsidP="003927E3">
            <w:pPr>
              <w:tabs>
                <w:tab w:val="decimal" w:pos="525"/>
              </w:tabs>
              <w:spacing w:after="0" w:line="240" w:lineRule="auto"/>
            </w:pPr>
            <w:r w:rsidRPr="003A6D99">
              <w:t>69kV</w:t>
            </w:r>
          </w:p>
        </w:tc>
      </w:tr>
      <w:tr w:rsidR="003927E3" w:rsidRPr="00FC20E4" w14:paraId="67EB0639" w14:textId="77777777" w:rsidTr="00B56AAB">
        <w:trPr>
          <w:jc w:val="center"/>
        </w:trPr>
        <w:tc>
          <w:tcPr>
            <w:tcW w:w="810" w:type="dxa"/>
          </w:tcPr>
          <w:p w14:paraId="6E8205B9" w14:textId="61182736" w:rsidR="003927E3" w:rsidRPr="00FC20E4" w:rsidRDefault="003927E3" w:rsidP="003927E3">
            <w:pPr>
              <w:spacing w:after="0" w:line="240" w:lineRule="auto"/>
              <w:jc w:val="center"/>
            </w:pPr>
            <w:r>
              <w:t>12</w:t>
            </w:r>
          </w:p>
        </w:tc>
        <w:tc>
          <w:tcPr>
            <w:tcW w:w="2880" w:type="dxa"/>
          </w:tcPr>
          <w:p w14:paraId="0D228372" w14:textId="799AB091" w:rsidR="003927E3" w:rsidRPr="00FC20E4" w:rsidRDefault="003927E3" w:rsidP="003927E3">
            <w:pPr>
              <w:spacing w:after="0" w:line="240" w:lineRule="auto"/>
            </w:pPr>
            <w:r w:rsidRPr="003A6D99">
              <w:t>Madisonville North</w:t>
            </w:r>
          </w:p>
        </w:tc>
        <w:tc>
          <w:tcPr>
            <w:tcW w:w="1260" w:type="dxa"/>
          </w:tcPr>
          <w:p w14:paraId="00195BFF" w14:textId="3E749C58" w:rsidR="003927E3" w:rsidRPr="00FC20E4" w:rsidRDefault="003927E3" w:rsidP="003927E3">
            <w:pPr>
              <w:tabs>
                <w:tab w:val="decimal" w:pos="525"/>
              </w:tabs>
              <w:spacing w:after="0" w:line="240" w:lineRule="auto"/>
            </w:pPr>
            <w:r w:rsidRPr="003A6D99">
              <w:t>69kV</w:t>
            </w:r>
          </w:p>
        </w:tc>
      </w:tr>
      <w:tr w:rsidR="003927E3" w:rsidRPr="00FC20E4" w14:paraId="5986DC0C" w14:textId="77777777" w:rsidTr="00B56AAB">
        <w:trPr>
          <w:jc w:val="center"/>
        </w:trPr>
        <w:tc>
          <w:tcPr>
            <w:tcW w:w="810" w:type="dxa"/>
          </w:tcPr>
          <w:p w14:paraId="3E5AA894" w14:textId="2EDCF70E" w:rsidR="003927E3" w:rsidRPr="00FC20E4" w:rsidRDefault="003927E3" w:rsidP="003927E3">
            <w:pPr>
              <w:spacing w:after="0" w:line="240" w:lineRule="auto"/>
              <w:jc w:val="center"/>
            </w:pPr>
            <w:r>
              <w:t>13</w:t>
            </w:r>
          </w:p>
        </w:tc>
        <w:tc>
          <w:tcPr>
            <w:tcW w:w="2880" w:type="dxa"/>
          </w:tcPr>
          <w:p w14:paraId="3701FE26" w14:textId="70D7E678" w:rsidR="003927E3" w:rsidRPr="00FC20E4" w:rsidRDefault="003927E3" w:rsidP="003927E3">
            <w:pPr>
              <w:spacing w:after="0" w:line="240" w:lineRule="auto"/>
            </w:pPr>
            <w:r>
              <w:t xml:space="preserve">Madisonville </w:t>
            </w:r>
            <w:r w:rsidRPr="003A6D99">
              <w:t>McCoy Road</w:t>
            </w:r>
          </w:p>
        </w:tc>
        <w:tc>
          <w:tcPr>
            <w:tcW w:w="1260" w:type="dxa"/>
          </w:tcPr>
          <w:p w14:paraId="627FBD1D" w14:textId="531C759D" w:rsidR="003927E3" w:rsidRPr="00FC20E4" w:rsidRDefault="003927E3" w:rsidP="003927E3">
            <w:pPr>
              <w:tabs>
                <w:tab w:val="decimal" w:pos="525"/>
              </w:tabs>
              <w:spacing w:after="0" w:line="240" w:lineRule="auto"/>
            </w:pPr>
            <w:r w:rsidRPr="003A6D99">
              <w:t>69kV</w:t>
            </w:r>
          </w:p>
        </w:tc>
      </w:tr>
      <w:tr w:rsidR="003927E3" w:rsidRPr="00FC20E4" w14:paraId="51589A65" w14:textId="77777777" w:rsidTr="00B56AAB">
        <w:trPr>
          <w:jc w:val="center"/>
        </w:trPr>
        <w:tc>
          <w:tcPr>
            <w:tcW w:w="810" w:type="dxa"/>
          </w:tcPr>
          <w:p w14:paraId="25B4A263" w14:textId="051FC13D" w:rsidR="003927E3" w:rsidRPr="00FC20E4" w:rsidRDefault="003927E3" w:rsidP="003927E3">
            <w:pPr>
              <w:spacing w:after="0" w:line="240" w:lineRule="auto"/>
              <w:jc w:val="center"/>
            </w:pPr>
            <w:r>
              <w:t>14</w:t>
            </w:r>
          </w:p>
        </w:tc>
        <w:tc>
          <w:tcPr>
            <w:tcW w:w="2880" w:type="dxa"/>
          </w:tcPr>
          <w:p w14:paraId="1DC66444" w14:textId="320AB3B3" w:rsidR="003927E3" w:rsidRPr="00FC20E4" w:rsidRDefault="003927E3" w:rsidP="003927E3">
            <w:pPr>
              <w:spacing w:after="0" w:line="240" w:lineRule="auto"/>
            </w:pPr>
            <w:r w:rsidRPr="003A6D99">
              <w:t>Paris City 1 (Scott Street)</w:t>
            </w:r>
          </w:p>
        </w:tc>
        <w:tc>
          <w:tcPr>
            <w:tcW w:w="1260" w:type="dxa"/>
          </w:tcPr>
          <w:p w14:paraId="5F01564C" w14:textId="705D7201" w:rsidR="003927E3" w:rsidRPr="00FC20E4" w:rsidRDefault="003927E3" w:rsidP="003927E3">
            <w:pPr>
              <w:tabs>
                <w:tab w:val="decimal" w:pos="525"/>
              </w:tabs>
              <w:spacing w:after="0" w:line="240" w:lineRule="auto"/>
            </w:pPr>
            <w:r w:rsidRPr="003A6D99">
              <w:t>69kV</w:t>
            </w:r>
          </w:p>
        </w:tc>
      </w:tr>
      <w:tr w:rsidR="003927E3" w:rsidRPr="00FC20E4" w14:paraId="4497CFFB" w14:textId="77777777" w:rsidTr="00B56AAB">
        <w:trPr>
          <w:jc w:val="center"/>
        </w:trPr>
        <w:tc>
          <w:tcPr>
            <w:tcW w:w="810" w:type="dxa"/>
          </w:tcPr>
          <w:p w14:paraId="4F27E709" w14:textId="0CD1712A" w:rsidR="003927E3" w:rsidRPr="00FC20E4" w:rsidRDefault="003927E3" w:rsidP="003927E3">
            <w:pPr>
              <w:spacing w:after="0" w:line="240" w:lineRule="auto"/>
              <w:jc w:val="center"/>
            </w:pPr>
            <w:r>
              <w:t>15</w:t>
            </w:r>
          </w:p>
        </w:tc>
        <w:tc>
          <w:tcPr>
            <w:tcW w:w="2880" w:type="dxa"/>
          </w:tcPr>
          <w:p w14:paraId="48D73603" w14:textId="023B47B9" w:rsidR="003927E3" w:rsidRPr="00FC20E4" w:rsidRDefault="003927E3" w:rsidP="003927E3">
            <w:pPr>
              <w:spacing w:after="0" w:line="240" w:lineRule="auto"/>
            </w:pPr>
            <w:r w:rsidRPr="003A6D99">
              <w:t>Paris City 2 (Claysville)</w:t>
            </w:r>
          </w:p>
        </w:tc>
        <w:tc>
          <w:tcPr>
            <w:tcW w:w="1260" w:type="dxa"/>
          </w:tcPr>
          <w:p w14:paraId="033FE098" w14:textId="25A02D3D" w:rsidR="003927E3" w:rsidRPr="00FC20E4" w:rsidRDefault="003927E3" w:rsidP="003927E3">
            <w:pPr>
              <w:tabs>
                <w:tab w:val="decimal" w:pos="525"/>
              </w:tabs>
              <w:spacing w:after="0" w:line="240" w:lineRule="auto"/>
            </w:pPr>
            <w:r w:rsidRPr="003A6D99">
              <w:t>69kV</w:t>
            </w:r>
          </w:p>
        </w:tc>
      </w:tr>
      <w:tr w:rsidR="003927E3" w:rsidRPr="00FC20E4" w14:paraId="232426B0" w14:textId="77777777" w:rsidTr="00B56AAB">
        <w:trPr>
          <w:jc w:val="center"/>
        </w:trPr>
        <w:tc>
          <w:tcPr>
            <w:tcW w:w="810" w:type="dxa"/>
          </w:tcPr>
          <w:p w14:paraId="0F12A2D6" w14:textId="366C0AA3" w:rsidR="003927E3" w:rsidRPr="00FC20E4" w:rsidRDefault="003927E3" w:rsidP="003927E3">
            <w:pPr>
              <w:spacing w:after="0" w:line="240" w:lineRule="auto"/>
              <w:jc w:val="center"/>
            </w:pPr>
            <w:r>
              <w:t>16</w:t>
            </w:r>
          </w:p>
        </w:tc>
        <w:tc>
          <w:tcPr>
            <w:tcW w:w="2880" w:type="dxa"/>
          </w:tcPr>
          <w:p w14:paraId="58FD9D45" w14:textId="16CE84B5" w:rsidR="003927E3" w:rsidRPr="00FC20E4" w:rsidRDefault="003927E3" w:rsidP="003927E3">
            <w:pPr>
              <w:spacing w:after="0" w:line="240" w:lineRule="auto"/>
            </w:pPr>
            <w:r w:rsidRPr="003A6D99">
              <w:t>Paris City 3 (Vine St)</w:t>
            </w:r>
          </w:p>
        </w:tc>
        <w:tc>
          <w:tcPr>
            <w:tcW w:w="1260" w:type="dxa"/>
          </w:tcPr>
          <w:p w14:paraId="14873C62" w14:textId="023C01DE" w:rsidR="003927E3" w:rsidRPr="00FC20E4" w:rsidRDefault="003927E3" w:rsidP="003927E3">
            <w:pPr>
              <w:tabs>
                <w:tab w:val="decimal" w:pos="525"/>
              </w:tabs>
              <w:spacing w:after="0" w:line="240" w:lineRule="auto"/>
            </w:pPr>
            <w:r w:rsidRPr="003A6D99">
              <w:t>69kV</w:t>
            </w:r>
          </w:p>
        </w:tc>
      </w:tr>
      <w:tr w:rsidR="003927E3" w:rsidRPr="00FC20E4" w14:paraId="45F190B3" w14:textId="77777777" w:rsidTr="00B56AAB">
        <w:trPr>
          <w:jc w:val="center"/>
        </w:trPr>
        <w:tc>
          <w:tcPr>
            <w:tcW w:w="810" w:type="dxa"/>
          </w:tcPr>
          <w:p w14:paraId="3CECF26C" w14:textId="193FB895" w:rsidR="003927E3" w:rsidRPr="00FC20E4" w:rsidRDefault="003927E3" w:rsidP="003927E3">
            <w:pPr>
              <w:spacing w:after="0" w:line="240" w:lineRule="auto"/>
              <w:jc w:val="center"/>
            </w:pPr>
            <w:r>
              <w:t>17</w:t>
            </w:r>
          </w:p>
        </w:tc>
        <w:tc>
          <w:tcPr>
            <w:tcW w:w="2880" w:type="dxa"/>
          </w:tcPr>
          <w:p w14:paraId="691CF3D2" w14:textId="0FC105F7" w:rsidR="003927E3" w:rsidRPr="00FC20E4" w:rsidRDefault="003927E3" w:rsidP="003927E3">
            <w:pPr>
              <w:spacing w:after="0" w:line="240" w:lineRule="auto"/>
            </w:pPr>
            <w:r w:rsidRPr="003A6D99">
              <w:t>Paris City 4 (Weaver Rd)</w:t>
            </w:r>
          </w:p>
        </w:tc>
        <w:tc>
          <w:tcPr>
            <w:tcW w:w="1260" w:type="dxa"/>
          </w:tcPr>
          <w:p w14:paraId="16C2B049" w14:textId="7B0E9E4F" w:rsidR="003927E3" w:rsidRPr="00FC20E4" w:rsidRDefault="003927E3" w:rsidP="003927E3">
            <w:pPr>
              <w:tabs>
                <w:tab w:val="decimal" w:pos="525"/>
              </w:tabs>
              <w:spacing w:after="0" w:line="240" w:lineRule="auto"/>
            </w:pPr>
            <w:r w:rsidRPr="003A6D99">
              <w:t>69kV</w:t>
            </w:r>
          </w:p>
        </w:tc>
      </w:tr>
      <w:tr w:rsidR="003927E3" w:rsidRPr="00FC20E4" w14:paraId="6BCB5AF5" w14:textId="77777777" w:rsidTr="003927E3">
        <w:trPr>
          <w:jc w:val="center"/>
        </w:trPr>
        <w:tc>
          <w:tcPr>
            <w:tcW w:w="810" w:type="dxa"/>
          </w:tcPr>
          <w:p w14:paraId="08EDA8A9" w14:textId="3590E8EC" w:rsidR="003927E3" w:rsidRPr="00FC20E4" w:rsidRDefault="003927E3" w:rsidP="003927E3">
            <w:pPr>
              <w:spacing w:after="0" w:line="240" w:lineRule="auto"/>
              <w:jc w:val="center"/>
            </w:pPr>
            <w:r>
              <w:t>18</w:t>
            </w:r>
          </w:p>
        </w:tc>
        <w:tc>
          <w:tcPr>
            <w:tcW w:w="2880" w:type="dxa"/>
          </w:tcPr>
          <w:p w14:paraId="265EF4C2" w14:textId="593E1E37" w:rsidR="003927E3" w:rsidRPr="00FC20E4" w:rsidRDefault="003927E3" w:rsidP="003927E3">
            <w:pPr>
              <w:spacing w:after="0" w:line="240" w:lineRule="auto"/>
            </w:pPr>
            <w:r w:rsidRPr="003A6D99">
              <w:t>Providence 4kV</w:t>
            </w:r>
          </w:p>
        </w:tc>
        <w:tc>
          <w:tcPr>
            <w:tcW w:w="1260" w:type="dxa"/>
          </w:tcPr>
          <w:p w14:paraId="206C0A14" w14:textId="2B475A4C" w:rsidR="003927E3" w:rsidRPr="00FC20E4" w:rsidRDefault="003927E3" w:rsidP="003927E3">
            <w:pPr>
              <w:tabs>
                <w:tab w:val="decimal" w:pos="525"/>
              </w:tabs>
              <w:spacing w:after="0" w:line="240" w:lineRule="auto"/>
            </w:pPr>
            <w:r w:rsidRPr="003A6D99">
              <w:t>69kV</w:t>
            </w:r>
          </w:p>
        </w:tc>
      </w:tr>
      <w:tr w:rsidR="003927E3" w:rsidRPr="00FC20E4" w14:paraId="1DB53417" w14:textId="77777777" w:rsidTr="003927E3">
        <w:trPr>
          <w:jc w:val="center"/>
        </w:trPr>
        <w:tc>
          <w:tcPr>
            <w:tcW w:w="810" w:type="dxa"/>
            <w:tcBorders>
              <w:bottom w:val="single" w:sz="4" w:space="0" w:color="auto"/>
            </w:tcBorders>
          </w:tcPr>
          <w:p w14:paraId="736D63F5" w14:textId="5CD5CCD8" w:rsidR="003927E3" w:rsidRPr="00FC20E4" w:rsidRDefault="003927E3" w:rsidP="003927E3">
            <w:pPr>
              <w:spacing w:after="0" w:line="240" w:lineRule="auto"/>
              <w:jc w:val="center"/>
            </w:pPr>
            <w:r>
              <w:t>19</w:t>
            </w:r>
          </w:p>
        </w:tc>
        <w:tc>
          <w:tcPr>
            <w:tcW w:w="2880" w:type="dxa"/>
            <w:tcBorders>
              <w:bottom w:val="single" w:sz="4" w:space="0" w:color="auto"/>
            </w:tcBorders>
          </w:tcPr>
          <w:p w14:paraId="78FEE5BE" w14:textId="70D80D64" w:rsidR="003927E3" w:rsidRPr="00FC20E4" w:rsidRDefault="003927E3" w:rsidP="003927E3">
            <w:pPr>
              <w:spacing w:after="0" w:line="240" w:lineRule="auto"/>
            </w:pPr>
            <w:r>
              <w:t>Providence East</w:t>
            </w:r>
          </w:p>
        </w:tc>
        <w:tc>
          <w:tcPr>
            <w:tcW w:w="1260" w:type="dxa"/>
            <w:tcBorders>
              <w:bottom w:val="single" w:sz="4" w:space="0" w:color="auto"/>
            </w:tcBorders>
          </w:tcPr>
          <w:p w14:paraId="46A0B10E" w14:textId="24819866" w:rsidR="003927E3" w:rsidRPr="00FC20E4" w:rsidRDefault="003927E3" w:rsidP="003927E3">
            <w:pPr>
              <w:tabs>
                <w:tab w:val="decimal" w:pos="525"/>
              </w:tabs>
              <w:spacing w:after="0" w:line="240" w:lineRule="auto"/>
            </w:pPr>
            <w:r w:rsidRPr="003A6D99">
              <w:t>69kV</w:t>
            </w:r>
          </w:p>
        </w:tc>
      </w:tr>
    </w:tbl>
    <w:p w14:paraId="2F2C864E" w14:textId="51682399" w:rsidR="00B56AAB" w:rsidRDefault="00B56AAB" w:rsidP="002F4F4A">
      <w:pPr>
        <w:spacing w:after="0" w:line="240" w:lineRule="auto"/>
      </w:pPr>
    </w:p>
    <w:p w14:paraId="232A956D" w14:textId="0EB9239F" w:rsidR="00F0317A" w:rsidRDefault="00F0317A" w:rsidP="002F4F4A">
      <w:pPr>
        <w:spacing w:after="0" w:line="240" w:lineRule="auto"/>
      </w:pPr>
    </w:p>
    <w:p w14:paraId="0947CDB8" w14:textId="77777777" w:rsidR="00F0317A" w:rsidRDefault="00F0317A" w:rsidP="002F4F4A">
      <w:pPr>
        <w:spacing w:after="0" w:line="240" w:lineRule="auto"/>
        <w:sectPr w:rsidR="00F0317A">
          <w:headerReference w:type="default" r:id="rId11"/>
          <w:pgSz w:w="12240" w:h="15840"/>
          <w:pgMar w:top="1440" w:right="1440" w:bottom="1440" w:left="1440" w:header="720" w:footer="720" w:gutter="0"/>
          <w:cols w:space="720"/>
          <w:docGrid w:linePitch="360"/>
        </w:sectPr>
      </w:pPr>
    </w:p>
    <w:p w14:paraId="6F985457" w14:textId="4EEB5B7C" w:rsidR="00F0317A" w:rsidRDefault="00F0317A" w:rsidP="002F4F4A">
      <w:pPr>
        <w:spacing w:after="0" w:line="240" w:lineRule="auto"/>
      </w:pPr>
    </w:p>
    <w:p w14:paraId="1A724502" w14:textId="34C6D10C" w:rsidR="00F0317A" w:rsidRPr="00F0317A" w:rsidRDefault="00F0317A" w:rsidP="00F0317A">
      <w:pPr>
        <w:spacing w:after="0" w:line="240" w:lineRule="auto"/>
        <w:jc w:val="center"/>
        <w:rPr>
          <w:b/>
        </w:rPr>
      </w:pPr>
      <w:r w:rsidRPr="00F0317A">
        <w:rPr>
          <w:b/>
        </w:rPr>
        <w:t>SCHEDULE B</w:t>
      </w:r>
    </w:p>
    <w:p w14:paraId="4A4E8B1B" w14:textId="4BF5AA04" w:rsidR="00F0317A" w:rsidRPr="00F0317A" w:rsidRDefault="00F0317A" w:rsidP="00F0317A">
      <w:pPr>
        <w:spacing w:after="0" w:line="240" w:lineRule="auto"/>
        <w:jc w:val="center"/>
        <w:rPr>
          <w:b/>
        </w:rPr>
      </w:pPr>
      <w:r w:rsidRPr="00F0317A">
        <w:rPr>
          <w:b/>
        </w:rPr>
        <w:t>CALCULATION OF ENERGY COST ADJUSTMENT</w:t>
      </w:r>
    </w:p>
    <w:p w14:paraId="7D7E6C08" w14:textId="77777777" w:rsidR="009368A9" w:rsidRDefault="009368A9" w:rsidP="002F4F4A">
      <w:pPr>
        <w:spacing w:after="0" w:line="240" w:lineRule="auto"/>
      </w:pPr>
    </w:p>
    <w:p w14:paraId="782988C3" w14:textId="2E6C2B40" w:rsidR="00F0317A" w:rsidRDefault="00F0317A" w:rsidP="002F4F4A">
      <w:pPr>
        <w:spacing w:after="0" w:line="240" w:lineRule="auto"/>
        <w:rPr>
          <w:i/>
          <w:color w:val="C00000"/>
        </w:rPr>
      </w:pPr>
      <w:r w:rsidRPr="009368A9">
        <w:rPr>
          <w:i/>
          <w:color w:val="C00000"/>
          <w:highlight w:val="lightGray"/>
        </w:rPr>
        <w:t>[</w:t>
      </w:r>
      <w:r w:rsidR="006809A2">
        <w:rPr>
          <w:i/>
          <w:color w:val="C00000"/>
          <w:highlight w:val="lightGray"/>
        </w:rPr>
        <w:t xml:space="preserve">TO COME – </w:t>
      </w:r>
      <w:bookmarkStart w:id="0" w:name="_GoBack"/>
      <w:bookmarkEnd w:id="0"/>
      <w:r w:rsidRPr="009368A9">
        <w:rPr>
          <w:i/>
          <w:color w:val="C00000"/>
          <w:highlight w:val="lightGray"/>
        </w:rPr>
        <w:t>Sample calculation of ECA to come upo</w:t>
      </w:r>
      <w:r w:rsidR="009368A9" w:rsidRPr="009368A9">
        <w:rPr>
          <w:i/>
          <w:color w:val="C00000"/>
          <w:highlight w:val="lightGray"/>
        </w:rPr>
        <w:t xml:space="preserve">n further development of Agency’s accounting procedures </w:t>
      </w:r>
      <w:r w:rsidR="00B25A30">
        <w:rPr>
          <w:i/>
          <w:color w:val="C00000"/>
          <w:highlight w:val="lightGray"/>
        </w:rPr>
        <w:t>related to</w:t>
      </w:r>
      <w:r w:rsidR="006809A2">
        <w:rPr>
          <w:i/>
          <w:color w:val="C00000"/>
          <w:highlight w:val="lightGray"/>
        </w:rPr>
        <w:t xml:space="preserve"> AR Project resources and purchased power.</w:t>
      </w:r>
      <w:r w:rsidR="009368A9" w:rsidRPr="009368A9">
        <w:rPr>
          <w:i/>
          <w:color w:val="C00000"/>
          <w:highlight w:val="lightGray"/>
        </w:rPr>
        <w:t>]</w:t>
      </w:r>
    </w:p>
    <w:p w14:paraId="0D9B75A7" w14:textId="25955839" w:rsidR="009368A9" w:rsidRPr="009368A9" w:rsidRDefault="009368A9" w:rsidP="002F4F4A">
      <w:pPr>
        <w:spacing w:after="0" w:line="240" w:lineRule="auto"/>
      </w:pPr>
    </w:p>
    <w:p w14:paraId="6D663F19" w14:textId="77777777" w:rsidR="009368A9" w:rsidRPr="009368A9" w:rsidRDefault="009368A9" w:rsidP="002F4F4A">
      <w:pPr>
        <w:spacing w:after="0" w:line="240" w:lineRule="auto"/>
      </w:pPr>
    </w:p>
    <w:sectPr w:rsidR="009368A9" w:rsidRPr="009368A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6E52" w14:textId="77777777" w:rsidR="00D31304" w:rsidRDefault="00D31304" w:rsidP="00D31304">
      <w:pPr>
        <w:spacing w:after="0" w:line="240" w:lineRule="auto"/>
      </w:pPr>
      <w:r>
        <w:separator/>
      </w:r>
    </w:p>
  </w:endnote>
  <w:endnote w:type="continuationSeparator" w:id="0">
    <w:p w14:paraId="13FD94A6" w14:textId="77777777" w:rsidR="00D31304" w:rsidRDefault="00D31304" w:rsidP="00D3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E556" w14:textId="5111E704" w:rsidR="00D31304" w:rsidRPr="00503C16" w:rsidRDefault="00D31304" w:rsidP="00503C16">
    <w:pPr>
      <w:pStyle w:val="Footer"/>
      <w:tabs>
        <w:tab w:val="clear" w:pos="4680"/>
        <w:tab w:val="right" w:pos="0"/>
        <w:tab w:val="left" w:pos="7020"/>
        <w:tab w:val="left" w:pos="8100"/>
      </w:tabs>
    </w:pPr>
    <w:r>
      <w:tab/>
    </w:r>
    <w:r w:rsidR="00BE04F2">
      <w:t>Approved</w:t>
    </w:r>
    <w:r>
      <w:t xml:space="preserve">:  </w:t>
    </w:r>
    <w:r w:rsidR="00503C16" w:rsidRPr="00503C16">
      <w:tab/>
    </w:r>
    <w:r w:rsidR="00503C16" w:rsidRPr="00503C16">
      <w:rPr>
        <w:u w:val="single"/>
      </w:rPr>
      <w:tab/>
    </w:r>
  </w:p>
  <w:p w14:paraId="11D5A131" w14:textId="08904690" w:rsidR="00D31304" w:rsidRDefault="00D31304" w:rsidP="00503C16">
    <w:pPr>
      <w:pStyle w:val="Footer"/>
      <w:tabs>
        <w:tab w:val="clear" w:pos="4680"/>
        <w:tab w:val="right" w:pos="0"/>
        <w:tab w:val="left" w:pos="7020"/>
        <w:tab w:val="left" w:pos="8100"/>
      </w:tabs>
    </w:pPr>
    <w:r>
      <w:tab/>
      <w:t xml:space="preserve">Effective:  </w:t>
    </w:r>
    <w:r w:rsidR="00503C16" w:rsidRPr="00503C16">
      <w:tab/>
    </w:r>
    <w:r w:rsidR="00503C16">
      <w:rPr>
        <w:u w:val="single"/>
      </w:rPr>
      <w:tab/>
    </w:r>
    <w:r w:rsidRPr="00D31304">
      <w:rPr>
        <w:u w:val="single"/>
      </w:rPr>
      <w:t>May 1, 201</w:t>
    </w:r>
    <w:r>
      <w:rPr>
        <w:u w:val="singl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DFD8" w14:textId="77777777" w:rsidR="00D31304" w:rsidRDefault="00D31304" w:rsidP="00D31304">
      <w:pPr>
        <w:spacing w:after="0" w:line="240" w:lineRule="auto"/>
      </w:pPr>
      <w:r>
        <w:separator/>
      </w:r>
    </w:p>
  </w:footnote>
  <w:footnote w:type="continuationSeparator" w:id="0">
    <w:p w14:paraId="2A1D8566" w14:textId="77777777" w:rsidR="00D31304" w:rsidRDefault="00D31304" w:rsidP="00D31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7528" w14:textId="2ED6BCCB" w:rsidR="00525085" w:rsidRDefault="006809A2">
    <w:pPr>
      <w:pStyle w:val="Header"/>
    </w:pPr>
    <w:r>
      <w:rPr>
        <w:noProof/>
      </w:rPr>
      <w:pict w14:anchorId="0E500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9.85pt;height:89.95pt;rotation:315;z-index:-251655168;mso-position-horizontal:center;mso-position-horizontal-relative:margin;mso-position-vertical:center;mso-position-vertical-relative:margin" o:allowincell="f" fillcolor="#aeaaaa [2414]" stroked="f">
          <v:fill opacity=".5"/>
          <v:textpath style="font-family:&quot;Calibri&quot;;font-size:1pt" string="DRAFT AR RATE SCHEDU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40AE" w14:textId="71E6AD09" w:rsidR="00D31304" w:rsidRPr="001D5052" w:rsidRDefault="006809A2">
    <w:pPr>
      <w:pStyle w:val="Header"/>
      <w:rPr>
        <w:b/>
      </w:rPr>
    </w:pPr>
    <w:r>
      <w:rPr>
        <w:i/>
        <w:noProof/>
        <w:color w:val="C00000"/>
      </w:rPr>
      <w:pict w14:anchorId="4D358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9.85pt;height:89.95pt;rotation:315;z-index:-251653120;mso-position-horizontal:center;mso-position-horizontal-relative:margin;mso-position-vertical:center;mso-position-vertical-relative:margin" o:allowincell="f" fillcolor="#aeaaaa [2414]" stroked="f">
          <v:fill opacity=".5"/>
          <v:textpath style="font-family:&quot;Calibri&quot;;font-size:1pt" string="DRAFT AR RATE SCHEDULE"/>
          <w10:wrap anchorx="margin" anchory="margin"/>
        </v:shape>
      </w:pict>
    </w:r>
    <w:r w:rsidR="00D6732C">
      <w:rPr>
        <w:i/>
        <w:color w:val="C00000"/>
      </w:rPr>
      <w:t xml:space="preserve">DRAFT </w:t>
    </w:r>
    <w:r w:rsidR="00525085" w:rsidRPr="001D5052">
      <w:rPr>
        <w:i/>
        <w:color w:val="C00000"/>
      </w:rPr>
      <w:t xml:space="preserve">RATE SCHEDULE – </w:t>
    </w:r>
    <w:r w:rsidR="00D6732C">
      <w:rPr>
        <w:i/>
        <w:color w:val="C00000"/>
      </w:rPr>
      <w:t xml:space="preserve">for AR Project Member review and </w:t>
    </w:r>
    <w:r w:rsidR="00C360E2">
      <w:rPr>
        <w:i/>
        <w:color w:val="C00000"/>
      </w:rPr>
      <w:t>planning</w:t>
    </w:r>
    <w:r w:rsidR="00525085">
      <w:tab/>
    </w:r>
    <w:r w:rsidR="00D31304" w:rsidRPr="001D5052">
      <w:rPr>
        <w:b/>
      </w:rPr>
      <w:t>AR Rate Schedule</w:t>
    </w:r>
  </w:p>
  <w:p w14:paraId="0AF93BB7" w14:textId="4818D863" w:rsidR="00D31304" w:rsidRPr="001D5052" w:rsidRDefault="00D6732C">
    <w:pPr>
      <w:pStyle w:val="Header"/>
      <w:rPr>
        <w:b/>
        <w:bCs/>
      </w:rPr>
    </w:pPr>
    <w:r w:rsidRPr="00D6732C">
      <w:rPr>
        <w:i/>
        <w:color w:val="C00000"/>
      </w:rPr>
      <w:t>To be updated Q4 for implementation May 1, 2019</w:t>
    </w:r>
    <w:r w:rsidR="00D31304" w:rsidRPr="001D5052">
      <w:rPr>
        <w:b/>
      </w:rPr>
      <w:tab/>
    </w:r>
    <w:r w:rsidR="00D31304" w:rsidRPr="001D5052">
      <w:rPr>
        <w:b/>
      </w:rPr>
      <w:tab/>
      <w:t xml:space="preserve">Page </w:t>
    </w:r>
    <w:r w:rsidR="00D31304" w:rsidRPr="001D5052">
      <w:rPr>
        <w:b/>
        <w:bCs/>
      </w:rPr>
      <w:fldChar w:fldCharType="begin"/>
    </w:r>
    <w:r w:rsidR="00D31304" w:rsidRPr="001D5052">
      <w:rPr>
        <w:b/>
        <w:bCs/>
      </w:rPr>
      <w:instrText xml:space="preserve"> PAGE  \* Arabic  \* MERGEFORMAT </w:instrText>
    </w:r>
    <w:r w:rsidR="00D31304" w:rsidRPr="001D5052">
      <w:rPr>
        <w:b/>
        <w:bCs/>
      </w:rPr>
      <w:fldChar w:fldCharType="separate"/>
    </w:r>
    <w:r w:rsidR="006809A2">
      <w:rPr>
        <w:b/>
        <w:bCs/>
        <w:noProof/>
      </w:rPr>
      <w:t>4</w:t>
    </w:r>
    <w:r w:rsidR="00D31304" w:rsidRPr="001D5052">
      <w:rPr>
        <w:b/>
        <w:bCs/>
      </w:rPr>
      <w:fldChar w:fldCharType="end"/>
    </w:r>
    <w:r w:rsidR="00D31304" w:rsidRPr="001D5052">
      <w:rPr>
        <w:b/>
      </w:rPr>
      <w:t xml:space="preserve"> of </w:t>
    </w:r>
    <w:r w:rsidR="00D31304" w:rsidRPr="001D5052">
      <w:rPr>
        <w:b/>
        <w:bCs/>
      </w:rPr>
      <w:fldChar w:fldCharType="begin"/>
    </w:r>
    <w:r w:rsidR="00D31304" w:rsidRPr="001D5052">
      <w:rPr>
        <w:b/>
        <w:bCs/>
      </w:rPr>
      <w:instrText xml:space="preserve"> NUMPAGES  \* Arabic  \* MERGEFORMAT </w:instrText>
    </w:r>
    <w:r w:rsidR="00D31304" w:rsidRPr="001D5052">
      <w:rPr>
        <w:b/>
        <w:bCs/>
      </w:rPr>
      <w:fldChar w:fldCharType="separate"/>
    </w:r>
    <w:r w:rsidR="006809A2">
      <w:rPr>
        <w:b/>
        <w:bCs/>
        <w:noProof/>
      </w:rPr>
      <w:t>6</w:t>
    </w:r>
    <w:r w:rsidR="00D31304" w:rsidRPr="001D5052">
      <w:rPr>
        <w:b/>
        <w:bCs/>
      </w:rPr>
      <w:fldChar w:fldCharType="end"/>
    </w:r>
  </w:p>
  <w:p w14:paraId="0C6F7049" w14:textId="77777777" w:rsidR="00A87A93" w:rsidRDefault="00A87A93" w:rsidP="00097820">
    <w:pPr>
      <w:spacing w:after="0" w:line="240" w:lineRule="auto"/>
      <w:jc w:val="center"/>
      <w:rPr>
        <w:b/>
        <w:sz w:val="24"/>
      </w:rPr>
    </w:pPr>
  </w:p>
  <w:p w14:paraId="11B4066B" w14:textId="1A460D0D" w:rsidR="00097820" w:rsidRPr="00D31304" w:rsidRDefault="00097820" w:rsidP="00097820">
    <w:pPr>
      <w:spacing w:after="0" w:line="240" w:lineRule="auto"/>
      <w:jc w:val="center"/>
      <w:rPr>
        <w:b/>
        <w:sz w:val="24"/>
      </w:rPr>
    </w:pPr>
    <w:r w:rsidRPr="00D31304">
      <w:rPr>
        <w:b/>
        <w:sz w:val="24"/>
      </w:rPr>
      <w:t>KENTUCKY MUNICIPAL ENERGY AGENCY</w:t>
    </w:r>
  </w:p>
  <w:p w14:paraId="4266EAA6" w14:textId="77777777" w:rsidR="00097820" w:rsidRPr="00D31304" w:rsidRDefault="00097820" w:rsidP="00097820">
    <w:pPr>
      <w:spacing w:after="0" w:line="240" w:lineRule="auto"/>
      <w:jc w:val="center"/>
      <w:rPr>
        <w:b/>
        <w:sz w:val="24"/>
      </w:rPr>
    </w:pPr>
    <w:r w:rsidRPr="00D31304">
      <w:rPr>
        <w:b/>
        <w:sz w:val="24"/>
      </w:rPr>
      <w:t>ALL REQUIREMENTS PROJECT -- WHOLESALE POWER RATE SCHEDULE</w:t>
    </w:r>
  </w:p>
  <w:p w14:paraId="5DCDC67E" w14:textId="6A2420A3" w:rsidR="00097820" w:rsidRDefault="00097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DD47" w14:textId="226FD6BB" w:rsidR="00525085" w:rsidRDefault="006809A2">
    <w:pPr>
      <w:pStyle w:val="Header"/>
    </w:pPr>
    <w:r>
      <w:rPr>
        <w:noProof/>
      </w:rPr>
      <w:pict w14:anchorId="4740F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9.85pt;height:89.95pt;rotation:315;z-index:-251657216;mso-position-horizontal:center;mso-position-horizontal-relative:margin;mso-position-vertical:center;mso-position-vertical-relative:margin" o:allowincell="f" fillcolor="#aeaaaa [2414]" stroked="f">
          <v:fill opacity=".5"/>
          <v:textpath style="font-family:&quot;Calibri&quot;;font-size:1pt" string="DRAFT AR RATE SCHEDU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5ECA" w14:textId="5DD30929" w:rsidR="003927E3" w:rsidRPr="001D5052" w:rsidRDefault="006809A2">
    <w:pPr>
      <w:pStyle w:val="Header"/>
      <w:rPr>
        <w:b/>
      </w:rPr>
    </w:pPr>
    <w:r>
      <w:rPr>
        <w:i/>
        <w:noProof/>
        <w:color w:val="C00000"/>
      </w:rPr>
      <w:pict w14:anchorId="08655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9.85pt;height:89.95pt;rotation:315;z-index:-251651072;mso-position-horizontal:center;mso-position-horizontal-relative:margin;mso-position-vertical:center;mso-position-vertical-relative:margin" o:allowincell="f" fillcolor="#aeaaaa [2414]" stroked="f">
          <v:fill opacity=".5"/>
          <v:textpath style="font-family:&quot;Calibri&quot;;font-size:1pt" string="DRAFT AR RATE SCHEDULE"/>
          <w10:wrap anchorx="margin" anchory="margin"/>
        </v:shape>
      </w:pict>
    </w:r>
    <w:r w:rsidR="003927E3">
      <w:rPr>
        <w:i/>
        <w:color w:val="C00000"/>
      </w:rPr>
      <w:t xml:space="preserve">DRAFT </w:t>
    </w:r>
    <w:r w:rsidR="003927E3" w:rsidRPr="001D5052">
      <w:rPr>
        <w:i/>
        <w:color w:val="C00000"/>
      </w:rPr>
      <w:t xml:space="preserve">RATE SCHEDULE – </w:t>
    </w:r>
    <w:r w:rsidR="003927E3">
      <w:rPr>
        <w:i/>
        <w:color w:val="C00000"/>
      </w:rPr>
      <w:t>for AR Project Member review and comment</w:t>
    </w:r>
    <w:r w:rsidR="003927E3">
      <w:tab/>
    </w:r>
    <w:r w:rsidR="003927E3" w:rsidRPr="001D5052">
      <w:rPr>
        <w:b/>
      </w:rPr>
      <w:t>AR Rate Schedule</w:t>
    </w:r>
    <w:r w:rsidR="003927E3">
      <w:rPr>
        <w:b/>
      </w:rPr>
      <w:t xml:space="preserve"> A</w:t>
    </w:r>
  </w:p>
  <w:p w14:paraId="2A614958" w14:textId="69A1FA28" w:rsidR="003927E3" w:rsidRPr="001D5052" w:rsidRDefault="003927E3">
    <w:pPr>
      <w:pStyle w:val="Header"/>
      <w:rPr>
        <w:b/>
        <w:bCs/>
      </w:rPr>
    </w:pPr>
    <w:r w:rsidRPr="00D6732C">
      <w:rPr>
        <w:i/>
        <w:color w:val="C00000"/>
      </w:rPr>
      <w:t>To be updated Q4 for implementation May 1, 2019</w:t>
    </w:r>
    <w:r w:rsidRPr="001D5052">
      <w:rPr>
        <w:b/>
      </w:rPr>
      <w:tab/>
    </w:r>
    <w:r w:rsidRPr="001D5052">
      <w:rPr>
        <w:b/>
      </w:rPr>
      <w:tab/>
    </w:r>
  </w:p>
  <w:p w14:paraId="71478643" w14:textId="77777777" w:rsidR="003927E3" w:rsidRDefault="003927E3" w:rsidP="00097820">
    <w:pPr>
      <w:spacing w:after="0" w:line="240" w:lineRule="auto"/>
      <w:jc w:val="center"/>
      <w:rPr>
        <w:b/>
        <w:sz w:val="24"/>
      </w:rPr>
    </w:pPr>
  </w:p>
  <w:p w14:paraId="5FF6BB9D" w14:textId="77777777" w:rsidR="003927E3" w:rsidRPr="00D31304" w:rsidRDefault="003927E3" w:rsidP="00097820">
    <w:pPr>
      <w:spacing w:after="0" w:line="240" w:lineRule="auto"/>
      <w:jc w:val="center"/>
      <w:rPr>
        <w:b/>
        <w:sz w:val="24"/>
      </w:rPr>
    </w:pPr>
    <w:r w:rsidRPr="00D31304">
      <w:rPr>
        <w:b/>
        <w:sz w:val="24"/>
      </w:rPr>
      <w:t>KENTUCKY MUNICIPAL ENERGY AGENCY</w:t>
    </w:r>
  </w:p>
  <w:p w14:paraId="178858DE" w14:textId="4DF60B72" w:rsidR="003927E3" w:rsidRPr="00D31304" w:rsidRDefault="003927E3" w:rsidP="00097820">
    <w:pPr>
      <w:spacing w:after="0" w:line="240" w:lineRule="auto"/>
      <w:jc w:val="center"/>
      <w:rPr>
        <w:b/>
        <w:sz w:val="24"/>
      </w:rPr>
    </w:pPr>
    <w:r w:rsidRPr="00D31304">
      <w:rPr>
        <w:b/>
        <w:sz w:val="24"/>
      </w:rPr>
      <w:t>ALL REQUIREMENTS PROJECT -- WHOLESALE POWER RATE SCHEDULE</w:t>
    </w:r>
  </w:p>
  <w:p w14:paraId="64C60687" w14:textId="77777777" w:rsidR="003927E3" w:rsidRDefault="003927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E2F0" w14:textId="0D854646" w:rsidR="00F0317A" w:rsidRPr="001D5052" w:rsidRDefault="00F0317A">
    <w:pPr>
      <w:pStyle w:val="Header"/>
      <w:rPr>
        <w:b/>
      </w:rPr>
    </w:pPr>
    <w:r>
      <w:rPr>
        <w:i/>
        <w:noProof/>
        <w:color w:val="C00000"/>
      </w:rPr>
      <w:pict w14:anchorId="0F896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9.85pt;height:89.95pt;rotation:315;z-index:-251649024;mso-position-horizontal:center;mso-position-horizontal-relative:margin;mso-position-vertical:center;mso-position-vertical-relative:margin" o:allowincell="f" fillcolor="#aeaaaa [2414]" stroked="f">
          <v:fill opacity=".5"/>
          <v:textpath style="font-family:&quot;Calibri&quot;;font-size:1pt" string="DRAFT AR RATE SCHEDULE"/>
          <w10:wrap anchorx="margin" anchory="margin"/>
        </v:shape>
      </w:pict>
    </w:r>
    <w:r>
      <w:rPr>
        <w:i/>
        <w:color w:val="C00000"/>
      </w:rPr>
      <w:t xml:space="preserve">DRAFT </w:t>
    </w:r>
    <w:r w:rsidRPr="001D5052">
      <w:rPr>
        <w:i/>
        <w:color w:val="C00000"/>
      </w:rPr>
      <w:t xml:space="preserve">RATE SCHEDULE – </w:t>
    </w:r>
    <w:r>
      <w:rPr>
        <w:i/>
        <w:color w:val="C00000"/>
      </w:rPr>
      <w:t>for AR Project Member review and comment</w:t>
    </w:r>
    <w:r>
      <w:tab/>
    </w:r>
    <w:r w:rsidRPr="001D5052">
      <w:rPr>
        <w:b/>
      </w:rPr>
      <w:t>AR Rate Schedule</w:t>
    </w:r>
    <w:r>
      <w:rPr>
        <w:b/>
      </w:rPr>
      <w:t xml:space="preserve"> B</w:t>
    </w:r>
  </w:p>
  <w:p w14:paraId="28EAD9CB" w14:textId="77777777" w:rsidR="00F0317A" w:rsidRPr="001D5052" w:rsidRDefault="00F0317A">
    <w:pPr>
      <w:pStyle w:val="Header"/>
      <w:rPr>
        <w:b/>
        <w:bCs/>
      </w:rPr>
    </w:pPr>
    <w:r w:rsidRPr="00D6732C">
      <w:rPr>
        <w:i/>
        <w:color w:val="C00000"/>
      </w:rPr>
      <w:t>To be updated Q4 for implementation May 1, 2019</w:t>
    </w:r>
    <w:r w:rsidRPr="001D5052">
      <w:rPr>
        <w:b/>
      </w:rPr>
      <w:tab/>
    </w:r>
    <w:r w:rsidRPr="001D5052">
      <w:rPr>
        <w:b/>
      </w:rPr>
      <w:tab/>
    </w:r>
  </w:p>
  <w:p w14:paraId="54B21AF5" w14:textId="77777777" w:rsidR="00F0317A" w:rsidRDefault="00F0317A" w:rsidP="00097820">
    <w:pPr>
      <w:spacing w:after="0" w:line="240" w:lineRule="auto"/>
      <w:jc w:val="center"/>
      <w:rPr>
        <w:b/>
        <w:sz w:val="24"/>
      </w:rPr>
    </w:pPr>
  </w:p>
  <w:p w14:paraId="4FC11D84" w14:textId="77777777" w:rsidR="00F0317A" w:rsidRPr="00D31304" w:rsidRDefault="00F0317A" w:rsidP="00097820">
    <w:pPr>
      <w:spacing w:after="0" w:line="240" w:lineRule="auto"/>
      <w:jc w:val="center"/>
      <w:rPr>
        <w:b/>
        <w:sz w:val="24"/>
      </w:rPr>
    </w:pPr>
    <w:r w:rsidRPr="00D31304">
      <w:rPr>
        <w:b/>
        <w:sz w:val="24"/>
      </w:rPr>
      <w:t>KENTUCKY MUNICIPAL ENERGY AGENCY</w:t>
    </w:r>
  </w:p>
  <w:p w14:paraId="3E963C1A" w14:textId="77777777" w:rsidR="00F0317A" w:rsidRPr="00D31304" w:rsidRDefault="00F0317A" w:rsidP="00097820">
    <w:pPr>
      <w:spacing w:after="0" w:line="240" w:lineRule="auto"/>
      <w:jc w:val="center"/>
      <w:rPr>
        <w:b/>
        <w:sz w:val="24"/>
      </w:rPr>
    </w:pPr>
    <w:r w:rsidRPr="00D31304">
      <w:rPr>
        <w:b/>
        <w:sz w:val="24"/>
      </w:rPr>
      <w:t>ALL REQUIREMENTS PROJECT -- WHOLESALE POWER RATE SCHEDULE</w:t>
    </w:r>
  </w:p>
  <w:p w14:paraId="248C818C" w14:textId="77777777" w:rsidR="00F0317A" w:rsidRDefault="00F03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538"/>
    <w:multiLevelType w:val="hybridMultilevel"/>
    <w:tmpl w:val="C020FCE4"/>
    <w:lvl w:ilvl="0" w:tplc="A7529D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D63B9"/>
    <w:multiLevelType w:val="hybridMultilevel"/>
    <w:tmpl w:val="E424F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DA7B5B"/>
    <w:multiLevelType w:val="hybridMultilevel"/>
    <w:tmpl w:val="E15ADA24"/>
    <w:lvl w:ilvl="0" w:tplc="EBF23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A18A9"/>
    <w:multiLevelType w:val="hybridMultilevel"/>
    <w:tmpl w:val="8A28B518"/>
    <w:lvl w:ilvl="0" w:tplc="D1E28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06"/>
    <w:rsid w:val="00021167"/>
    <w:rsid w:val="00085F54"/>
    <w:rsid w:val="000906BD"/>
    <w:rsid w:val="00097820"/>
    <w:rsid w:val="000E7E18"/>
    <w:rsid w:val="0010000F"/>
    <w:rsid w:val="001D5052"/>
    <w:rsid w:val="00201F71"/>
    <w:rsid w:val="00210CD3"/>
    <w:rsid w:val="002448F2"/>
    <w:rsid w:val="0025568F"/>
    <w:rsid w:val="002A302D"/>
    <w:rsid w:val="002F4F4A"/>
    <w:rsid w:val="00316194"/>
    <w:rsid w:val="003241A9"/>
    <w:rsid w:val="003727A8"/>
    <w:rsid w:val="003927E3"/>
    <w:rsid w:val="003B5DF5"/>
    <w:rsid w:val="003F53F4"/>
    <w:rsid w:val="00400517"/>
    <w:rsid w:val="004743D9"/>
    <w:rsid w:val="004A27D0"/>
    <w:rsid w:val="004E3722"/>
    <w:rsid w:val="00503C16"/>
    <w:rsid w:val="00525085"/>
    <w:rsid w:val="005A28A8"/>
    <w:rsid w:val="00616474"/>
    <w:rsid w:val="00622B7F"/>
    <w:rsid w:val="00647512"/>
    <w:rsid w:val="006542CE"/>
    <w:rsid w:val="006809A2"/>
    <w:rsid w:val="006A7670"/>
    <w:rsid w:val="007143C6"/>
    <w:rsid w:val="00746CFB"/>
    <w:rsid w:val="00781A15"/>
    <w:rsid w:val="007B2EFF"/>
    <w:rsid w:val="008157A8"/>
    <w:rsid w:val="008540E9"/>
    <w:rsid w:val="00910906"/>
    <w:rsid w:val="009368A9"/>
    <w:rsid w:val="00937F39"/>
    <w:rsid w:val="00A051D6"/>
    <w:rsid w:val="00A83F70"/>
    <w:rsid w:val="00A87A93"/>
    <w:rsid w:val="00B20B4D"/>
    <w:rsid w:val="00B25A30"/>
    <w:rsid w:val="00B33695"/>
    <w:rsid w:val="00B53D77"/>
    <w:rsid w:val="00B56AAB"/>
    <w:rsid w:val="00B80FA5"/>
    <w:rsid w:val="00BD4ADA"/>
    <w:rsid w:val="00BE04F2"/>
    <w:rsid w:val="00BF48A1"/>
    <w:rsid w:val="00C218F3"/>
    <w:rsid w:val="00C360E2"/>
    <w:rsid w:val="00C45D01"/>
    <w:rsid w:val="00C6798A"/>
    <w:rsid w:val="00C92E22"/>
    <w:rsid w:val="00CD7920"/>
    <w:rsid w:val="00CF1DA7"/>
    <w:rsid w:val="00D31304"/>
    <w:rsid w:val="00D33E56"/>
    <w:rsid w:val="00D3473B"/>
    <w:rsid w:val="00D6732C"/>
    <w:rsid w:val="00D767E0"/>
    <w:rsid w:val="00D82DF7"/>
    <w:rsid w:val="00D91FD4"/>
    <w:rsid w:val="00DD67C1"/>
    <w:rsid w:val="00DF44C9"/>
    <w:rsid w:val="00E119B9"/>
    <w:rsid w:val="00E2719C"/>
    <w:rsid w:val="00E75E98"/>
    <w:rsid w:val="00E95950"/>
    <w:rsid w:val="00F0317A"/>
    <w:rsid w:val="00F80144"/>
    <w:rsid w:val="00FC20E4"/>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AA83223"/>
  <w15:chartTrackingRefBased/>
  <w15:docId w15:val="{42A36EA0-257C-4661-A4C0-40A032D7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04"/>
  </w:style>
  <w:style w:type="paragraph" w:styleId="Footer">
    <w:name w:val="footer"/>
    <w:basedOn w:val="Normal"/>
    <w:link w:val="FooterChar"/>
    <w:uiPriority w:val="99"/>
    <w:unhideWhenUsed/>
    <w:rsid w:val="00D3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04"/>
  </w:style>
  <w:style w:type="paragraph" w:styleId="ListParagraph">
    <w:name w:val="List Paragraph"/>
    <w:basedOn w:val="Normal"/>
    <w:uiPriority w:val="34"/>
    <w:qFormat/>
    <w:rsid w:val="004A27D0"/>
    <w:pPr>
      <w:ind w:left="720"/>
      <w:contextualSpacing/>
    </w:pPr>
  </w:style>
  <w:style w:type="character" w:styleId="CommentReference">
    <w:name w:val="annotation reference"/>
    <w:basedOn w:val="DefaultParagraphFont"/>
    <w:uiPriority w:val="99"/>
    <w:semiHidden/>
    <w:unhideWhenUsed/>
    <w:rsid w:val="006542CE"/>
    <w:rPr>
      <w:sz w:val="16"/>
      <w:szCs w:val="16"/>
    </w:rPr>
  </w:style>
  <w:style w:type="paragraph" w:styleId="CommentText">
    <w:name w:val="annotation text"/>
    <w:basedOn w:val="Normal"/>
    <w:link w:val="CommentTextChar"/>
    <w:uiPriority w:val="99"/>
    <w:semiHidden/>
    <w:unhideWhenUsed/>
    <w:rsid w:val="006542CE"/>
    <w:pPr>
      <w:spacing w:line="240" w:lineRule="auto"/>
    </w:pPr>
    <w:rPr>
      <w:sz w:val="20"/>
      <w:szCs w:val="20"/>
    </w:rPr>
  </w:style>
  <w:style w:type="character" w:customStyle="1" w:styleId="CommentTextChar">
    <w:name w:val="Comment Text Char"/>
    <w:basedOn w:val="DefaultParagraphFont"/>
    <w:link w:val="CommentText"/>
    <w:uiPriority w:val="99"/>
    <w:semiHidden/>
    <w:rsid w:val="006542CE"/>
    <w:rPr>
      <w:sz w:val="20"/>
      <w:szCs w:val="20"/>
    </w:rPr>
  </w:style>
  <w:style w:type="paragraph" w:styleId="CommentSubject">
    <w:name w:val="annotation subject"/>
    <w:basedOn w:val="CommentText"/>
    <w:next w:val="CommentText"/>
    <w:link w:val="CommentSubjectChar"/>
    <w:uiPriority w:val="99"/>
    <w:semiHidden/>
    <w:unhideWhenUsed/>
    <w:rsid w:val="006542CE"/>
    <w:rPr>
      <w:b/>
      <w:bCs/>
    </w:rPr>
  </w:style>
  <w:style w:type="character" w:customStyle="1" w:styleId="CommentSubjectChar">
    <w:name w:val="Comment Subject Char"/>
    <w:basedOn w:val="CommentTextChar"/>
    <w:link w:val="CommentSubject"/>
    <w:uiPriority w:val="99"/>
    <w:semiHidden/>
    <w:rsid w:val="006542CE"/>
    <w:rPr>
      <w:b/>
      <w:bCs/>
      <w:sz w:val="20"/>
      <w:szCs w:val="20"/>
    </w:rPr>
  </w:style>
  <w:style w:type="paragraph" w:styleId="BalloonText">
    <w:name w:val="Balloon Text"/>
    <w:basedOn w:val="Normal"/>
    <w:link w:val="BalloonTextChar"/>
    <w:uiPriority w:val="99"/>
    <w:semiHidden/>
    <w:unhideWhenUsed/>
    <w:rsid w:val="00654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Thornton</dc:creator>
  <cp:keywords/>
  <dc:description/>
  <cp:lastModifiedBy>Brown Thornton</cp:lastModifiedBy>
  <cp:revision>12</cp:revision>
  <dcterms:created xsi:type="dcterms:W3CDTF">2018-01-19T20:32:00Z</dcterms:created>
  <dcterms:modified xsi:type="dcterms:W3CDTF">2018-01-23T22:28:00Z</dcterms:modified>
</cp:coreProperties>
</file>