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B6" w:rsidRPr="00663CB6" w:rsidRDefault="00663CB6" w:rsidP="00B90C7F">
      <w:pPr>
        <w:pStyle w:val="BodyText"/>
        <w:numPr>
          <w:ilvl w:val="0"/>
          <w:numId w:val="0"/>
        </w:numPr>
        <w:jc w:val="center"/>
        <w:rPr>
          <w:b/>
          <w:color w:val="050505"/>
          <w:szCs w:val="24"/>
        </w:rPr>
      </w:pPr>
      <w:bookmarkStart w:id="0" w:name="_GoBack"/>
      <w:bookmarkEnd w:id="0"/>
      <w:r w:rsidRPr="00663CB6">
        <w:rPr>
          <w:b/>
          <w:color w:val="050505"/>
          <w:szCs w:val="24"/>
        </w:rPr>
        <w:t>RESOLUTION</w:t>
      </w:r>
    </w:p>
    <w:p w:rsidR="00663CB6" w:rsidRPr="00663CB6" w:rsidRDefault="00663CB6" w:rsidP="00663CB6">
      <w:pPr>
        <w:widowControl w:val="0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3CB6"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>the Kentucky Municipal Energy Agency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KyMEA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”) has entered into </w:t>
      </w:r>
      <w:r w:rsidR="00B90C7F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3CB6">
        <w:rPr>
          <w:rFonts w:ascii="Times New Roman" w:hAnsi="Times New Roman" w:cs="Times New Roman"/>
          <w:sz w:val="24"/>
          <w:szCs w:val="24"/>
        </w:rPr>
        <w:t>ll Requirements Power Sales Contract (the “AR Contract”)</w:t>
      </w:r>
      <w:r>
        <w:rPr>
          <w:rFonts w:ascii="Times New Roman" w:hAnsi="Times New Roman" w:cs="Times New Roman"/>
          <w:sz w:val="24"/>
          <w:szCs w:val="24"/>
        </w:rPr>
        <w:t xml:space="preserve"> with certain of its Members (the “AR Members”)</w:t>
      </w:r>
      <w:r w:rsidRPr="00663CB6">
        <w:rPr>
          <w:rFonts w:ascii="Times New Roman" w:hAnsi="Times New Roman" w:cs="Times New Roman"/>
          <w:snapToGrid w:val="0"/>
          <w:sz w:val="24"/>
          <w:szCs w:val="24"/>
        </w:rPr>
        <w:t xml:space="preserve"> for the purpose of setting forth the terms and conditions relating to the proposed sale of electric power and energy requirements by </w:t>
      </w:r>
      <w:proofErr w:type="spellStart"/>
      <w:r w:rsidRPr="00663CB6">
        <w:rPr>
          <w:rFonts w:ascii="Times New Roman" w:hAnsi="Times New Roman" w:cs="Times New Roman"/>
          <w:snapToGrid w:val="0"/>
          <w:sz w:val="24"/>
          <w:szCs w:val="24"/>
        </w:rPr>
        <w:t>KyMEA</w:t>
      </w:r>
      <w:proofErr w:type="spellEnd"/>
      <w:r w:rsidRPr="00663CB6">
        <w:rPr>
          <w:rFonts w:ascii="Times New Roman" w:hAnsi="Times New Roman" w:cs="Times New Roman"/>
          <w:snapToGrid w:val="0"/>
          <w:sz w:val="24"/>
          <w:szCs w:val="24"/>
        </w:rPr>
        <w:t xml:space="preserve"> to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the AR </w:t>
      </w:r>
      <w:r w:rsidRPr="00663CB6">
        <w:rPr>
          <w:rFonts w:ascii="Times New Roman" w:hAnsi="Times New Roman" w:cs="Times New Roman"/>
          <w:snapToGrid w:val="0"/>
          <w:sz w:val="24"/>
          <w:szCs w:val="24"/>
        </w:rPr>
        <w:t xml:space="preserve">Members; and </w:t>
      </w:r>
    </w:p>
    <w:p w:rsidR="00A734BE" w:rsidRDefault="00663CB6" w:rsidP="00663CB6">
      <w:pPr>
        <w:widowControl w:val="0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ab/>
        <w:t xml:space="preserve">WHEREAS 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 xml:space="preserve">pursuant to the AR Contract, the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All Requirements Project Committee 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>(the “AR Project Committee”) consisting of all AR Members is tasked with the responsibility of d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eveloping and designing the rates in accordance with generally accepted ratemaking principles and procedures to provide revenues to meet the anticipated 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>r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evenue 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>r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equirements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 xml:space="preserve"> of </w:t>
      </w:r>
      <w:proofErr w:type="spellStart"/>
      <w:r w:rsidR="00A734BE">
        <w:rPr>
          <w:rFonts w:ascii="Times New Roman" w:hAnsi="Times New Roman" w:cs="Times New Roman"/>
          <w:color w:val="050505"/>
          <w:sz w:val="24"/>
          <w:szCs w:val="24"/>
        </w:rPr>
        <w:t>KyMEA</w:t>
      </w:r>
      <w:proofErr w:type="spellEnd"/>
      <w:r w:rsidR="00A734BE">
        <w:rPr>
          <w:rFonts w:ascii="Times New Roman" w:hAnsi="Times New Roman" w:cs="Times New Roman"/>
          <w:color w:val="050505"/>
          <w:sz w:val="24"/>
          <w:szCs w:val="24"/>
        </w:rPr>
        <w:t xml:space="preserve"> (the “Revenue Requirements”) to furnish electric power and energy to the AR Members; and</w:t>
      </w:r>
    </w:p>
    <w:p w:rsidR="00A734BE" w:rsidRDefault="00A734BE" w:rsidP="00A734BE">
      <w:pPr>
        <w:widowControl w:val="0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663CB6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WHEREAS, </w:t>
      </w:r>
      <w:r>
        <w:rPr>
          <w:rFonts w:ascii="Times New Roman" w:hAnsi="Times New Roman" w:cs="Times New Roman"/>
          <w:snapToGrid w:val="0"/>
          <w:sz w:val="24"/>
          <w:szCs w:val="24"/>
        </w:rPr>
        <w:t>pursuant to the AR Contract, t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h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</w:rPr>
        <w:t>KyMEA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Board of Directors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 s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hall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es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ta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b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l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is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h and m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a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int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ai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n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ra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t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es 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under the AR Contracts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that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w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ill provi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de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r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eve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nu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es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whi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c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h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ar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e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su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ffi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cie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n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t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, bu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t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onl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y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su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ff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i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c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ien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t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,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to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meet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t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he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anticipated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Re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ve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n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ue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R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q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u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ir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m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nt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s o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f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KyMEA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 in providing electric power and energy to its AR Members; and </w:t>
      </w:r>
    </w:p>
    <w:p w:rsidR="00A734BE" w:rsidRDefault="00A734BE" w:rsidP="00A734BE">
      <w:pPr>
        <w:widowControl w:val="0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ab/>
        <w:t xml:space="preserve">WHEREAS, the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KyMEA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="00663CB6"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Board </w:t>
      </w:r>
      <w:r w:rsidR="00663CB6" w:rsidRPr="00A734BE">
        <w:rPr>
          <w:rFonts w:ascii="Times New Roman" w:hAnsi="Times New Roman" w:cs="Times New Roman"/>
          <w:color w:val="050505"/>
          <w:sz w:val="24"/>
          <w:szCs w:val="24"/>
        </w:rPr>
        <w:t xml:space="preserve">of Directors 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shall 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st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a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bli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s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 xml:space="preserve">h 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ra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t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 xml:space="preserve">es and charges for all products and services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</w:rPr>
        <w:t>KyMEA</w:t>
      </w:r>
      <w:proofErr w:type="spellEnd"/>
      <w:r w:rsidRPr="00A734BE">
        <w:rPr>
          <w:rFonts w:ascii="Times New Roman" w:hAnsi="Times New Roman" w:cs="Times New Roman"/>
          <w:color w:val="1C1C1C"/>
          <w:sz w:val="24"/>
          <w:szCs w:val="24"/>
        </w:rPr>
        <w:t xml:space="preserve"> provides to its </w:t>
      </w:r>
      <w:r>
        <w:rPr>
          <w:rFonts w:ascii="Times New Roman" w:hAnsi="Times New Roman" w:cs="Times New Roman"/>
          <w:color w:val="1C1C1C"/>
          <w:sz w:val="24"/>
          <w:szCs w:val="24"/>
        </w:rPr>
        <w:t>M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 xml:space="preserve">embers </w:t>
      </w:r>
      <w:r w:rsidR="00BF0BFA">
        <w:rPr>
          <w:rFonts w:ascii="Times New Roman" w:hAnsi="Times New Roman" w:cs="Times New Roman"/>
          <w:color w:val="1C1C1C"/>
          <w:sz w:val="24"/>
          <w:szCs w:val="24"/>
        </w:rPr>
        <w:t xml:space="preserve">which 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shall b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 xml:space="preserve">e 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c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o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nsi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s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t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n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t w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i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t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h Pru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d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en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 xml:space="preserve">t 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Utility Practic</w:t>
      </w:r>
      <w:r w:rsidRPr="00A734BE">
        <w:rPr>
          <w:rFonts w:ascii="Times New Roman" w:hAnsi="Times New Roman" w:cs="Times New Roman"/>
          <w:color w:val="2F2F2F"/>
          <w:sz w:val="24"/>
          <w:szCs w:val="24"/>
        </w:rPr>
        <w:t>e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; and </w:t>
      </w:r>
    </w:p>
    <w:p w:rsidR="00663CB6" w:rsidRDefault="00A734BE" w:rsidP="00A734BE">
      <w:pPr>
        <w:widowControl w:val="0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ab/>
        <w:t xml:space="preserve">WHERAS, the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KyMEA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Board of Directors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="00663CB6" w:rsidRPr="00A734BE">
        <w:rPr>
          <w:rFonts w:ascii="Times New Roman" w:hAnsi="Times New Roman" w:cs="Times New Roman"/>
          <w:color w:val="050505"/>
          <w:sz w:val="24"/>
          <w:szCs w:val="24"/>
        </w:rPr>
        <w:t>shall not unreasonably withhold its approval and establishment of rates developed by the AR Project Committee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; and </w:t>
      </w:r>
    </w:p>
    <w:p w:rsidR="00A734BE" w:rsidRPr="000272EC" w:rsidRDefault="00A734BE" w:rsidP="00A734BE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ab/>
        <w:t>WHEREAS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to assist the AR Members in planning for the costs of their respective </w:t>
      </w:r>
      <w:r w:rsidR="00B90C7F">
        <w:rPr>
          <w:rFonts w:ascii="Times New Roman" w:hAnsi="Times New Roman" w:cs="Times New Roman"/>
          <w:color w:val="050505"/>
          <w:sz w:val="24"/>
          <w:szCs w:val="24"/>
        </w:rPr>
        <w:t xml:space="preserve">electric 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power </w:t>
      </w:r>
      <w:r w:rsidR="00B90C7F">
        <w:rPr>
          <w:rFonts w:ascii="Times New Roman" w:hAnsi="Times New Roman" w:cs="Times New Roman"/>
          <w:color w:val="050505"/>
          <w:sz w:val="24"/>
          <w:szCs w:val="24"/>
        </w:rPr>
        <w:t xml:space="preserve">and energy </w:t>
      </w:r>
      <w:proofErr w:type="spellStart"/>
      <w:r w:rsidR="00B90C7F">
        <w:rPr>
          <w:rFonts w:ascii="Times New Roman" w:hAnsi="Times New Roman" w:cs="Times New Roman"/>
          <w:color w:val="050505"/>
          <w:sz w:val="24"/>
          <w:szCs w:val="24"/>
        </w:rPr>
        <w:t>requirments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KyMEA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 desires to present to them indicative rate</w:t>
      </w:r>
      <w:r w:rsidR="00B90C7F">
        <w:rPr>
          <w:rFonts w:ascii="Times New Roman" w:hAnsi="Times New Roman" w:cs="Times New Roman"/>
          <w:color w:val="050505"/>
          <w:sz w:val="24"/>
          <w:szCs w:val="24"/>
        </w:rPr>
        <w:t>s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and budgetary information and the methodology in the establishment of </w:t>
      </w:r>
      <w:r w:rsidR="000272EC">
        <w:rPr>
          <w:rFonts w:ascii="Times New Roman" w:hAnsi="Times New Roman" w:cs="Times New Roman"/>
          <w:color w:val="050505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50505"/>
          <w:sz w:val="24"/>
          <w:szCs w:val="24"/>
        </w:rPr>
        <w:t>rates</w:t>
      </w:r>
      <w:r w:rsidRPr="000272EC">
        <w:rPr>
          <w:rFonts w:ascii="Times New Roman" w:hAnsi="Times New Roman" w:cs="Times New Roman"/>
          <w:color w:val="050505"/>
          <w:sz w:val="24"/>
          <w:szCs w:val="24"/>
        </w:rPr>
        <w:t>;</w:t>
      </w:r>
    </w:p>
    <w:p w:rsidR="000272EC" w:rsidRPr="000272EC" w:rsidRDefault="000272EC" w:rsidP="000272EC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72EC">
        <w:rPr>
          <w:rFonts w:ascii="Times New Roman" w:hAnsi="Times New Roman" w:cs="Times New Roman"/>
          <w:snapToGrid w:val="0"/>
          <w:sz w:val="24"/>
          <w:szCs w:val="24"/>
        </w:rPr>
        <w:tab/>
        <w:t>NOW THEREFORE BE IT RESOLVED:</w:t>
      </w:r>
    </w:p>
    <w:p w:rsidR="00BF0BFA" w:rsidRDefault="000272EC" w:rsidP="000272EC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0272EC">
        <w:rPr>
          <w:rFonts w:ascii="Times New Roman" w:hAnsi="Times New Roman" w:cs="Times New Roman"/>
          <w:b/>
          <w:snapToGrid w:val="0"/>
          <w:sz w:val="24"/>
          <w:szCs w:val="24"/>
        </w:rPr>
        <w:t>Section 1.</w:t>
      </w:r>
      <w:r w:rsidRPr="000272EC">
        <w:rPr>
          <w:rFonts w:ascii="Times New Roman" w:hAnsi="Times New Roman" w:cs="Times New Roman"/>
          <w:b/>
          <w:snapToGrid w:val="0"/>
          <w:sz w:val="24"/>
          <w:szCs w:val="24"/>
        </w:rPr>
        <w:tab/>
        <w:t>AR Project Committee Indicative Rate Proposal.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The AR Project Committee has designed and developed an indicative rate and budget proposal </w:t>
      </w:r>
      <w:r w:rsidR="00BF0BFA">
        <w:rPr>
          <w:rFonts w:ascii="Times New Roman" w:hAnsi="Times New Roman" w:cs="Times New Roman"/>
          <w:snapToGrid w:val="0"/>
          <w:sz w:val="24"/>
          <w:szCs w:val="24"/>
        </w:rPr>
        <w:t xml:space="preserve">and the methodology to set rates 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 xml:space="preserve">(the “Indicative Rate Proposal”) </w:t>
      </w:r>
      <w:r w:rsidR="00BF0BFA">
        <w:rPr>
          <w:rFonts w:ascii="Times New Roman" w:hAnsi="Times New Roman" w:cs="Times New Roman"/>
          <w:snapToGrid w:val="0"/>
          <w:sz w:val="24"/>
          <w:szCs w:val="24"/>
        </w:rPr>
        <w:t xml:space="preserve">in order </w:t>
      </w:r>
      <w:r>
        <w:rPr>
          <w:rFonts w:ascii="Times New Roman" w:hAnsi="Times New Roman" w:cs="Times New Roman"/>
          <w:snapToGrid w:val="0"/>
          <w:sz w:val="24"/>
          <w:szCs w:val="24"/>
        </w:rPr>
        <w:t>to provide the AR Members with costs associated with the provision of electric power and energy requirements under the AR Contract</w:t>
      </w:r>
      <w:r w:rsidR="00BF0BFA">
        <w:rPr>
          <w:rFonts w:ascii="Times New Roman" w:hAnsi="Times New Roman" w:cs="Times New Roman"/>
          <w:snapToGrid w:val="0"/>
          <w:sz w:val="24"/>
          <w:szCs w:val="24"/>
        </w:rPr>
        <w:t xml:space="preserve"> and has submitted 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 xml:space="preserve">the Indicative Rate Proposal to the </w:t>
      </w:r>
      <w:proofErr w:type="spellStart"/>
      <w:r w:rsidR="00C646F2">
        <w:rPr>
          <w:rFonts w:ascii="Times New Roman" w:hAnsi="Times New Roman" w:cs="Times New Roman"/>
          <w:snapToGrid w:val="0"/>
          <w:sz w:val="24"/>
          <w:szCs w:val="24"/>
        </w:rPr>
        <w:t>KyMEA</w:t>
      </w:r>
      <w:proofErr w:type="spellEnd"/>
      <w:r w:rsidR="00C646F2">
        <w:rPr>
          <w:rFonts w:ascii="Times New Roman" w:hAnsi="Times New Roman" w:cs="Times New Roman"/>
          <w:snapToGrid w:val="0"/>
          <w:sz w:val="24"/>
          <w:szCs w:val="24"/>
        </w:rPr>
        <w:t xml:space="preserve"> Board of Directors for approval.</w:t>
      </w:r>
      <w:r w:rsidR="00BF0BFA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C646F2" w:rsidRDefault="00BF0BFA" w:rsidP="00C646F2">
      <w:pPr>
        <w:widowControl w:val="0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F0BFA">
        <w:rPr>
          <w:rFonts w:ascii="Times New Roman" w:hAnsi="Times New Roman" w:cs="Times New Roman"/>
          <w:b/>
          <w:snapToGrid w:val="0"/>
          <w:sz w:val="24"/>
          <w:szCs w:val="24"/>
        </w:rPr>
        <w:t>Section 2.</w:t>
      </w:r>
      <w:r w:rsidRPr="00BF0BFA">
        <w:rPr>
          <w:rFonts w:ascii="Times New Roman" w:hAnsi="Times New Roman" w:cs="Times New Roman"/>
          <w:b/>
          <w:snapToGrid w:val="0"/>
          <w:sz w:val="24"/>
          <w:szCs w:val="24"/>
        </w:rPr>
        <w:tab/>
        <w:t>Approval of Indicative Rate Proposal.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 xml:space="preserve">The </w:t>
      </w:r>
      <w:proofErr w:type="spellStart"/>
      <w:r w:rsidR="00C646F2">
        <w:rPr>
          <w:rFonts w:ascii="Times New Roman" w:hAnsi="Times New Roman" w:cs="Times New Roman"/>
          <w:snapToGrid w:val="0"/>
          <w:sz w:val="24"/>
          <w:szCs w:val="24"/>
        </w:rPr>
        <w:t>KyMEA</w:t>
      </w:r>
      <w:proofErr w:type="spellEnd"/>
      <w:r w:rsidR="00C646F2">
        <w:rPr>
          <w:rFonts w:ascii="Times New Roman" w:hAnsi="Times New Roman" w:cs="Times New Roman"/>
          <w:snapToGrid w:val="0"/>
          <w:sz w:val="24"/>
          <w:szCs w:val="24"/>
        </w:rPr>
        <w:t xml:space="preserve"> Board of Directors has reviewed the Indicative Rate Proposal and hereby determines that the Indicative Rate Proposal has been developed in accordance with 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generally accepted ratemaking principles and procedures</w:t>
      </w:r>
      <w:r w:rsidR="00C646F2">
        <w:rPr>
          <w:rFonts w:ascii="Times New Roman" w:hAnsi="Times New Roman" w:cs="Times New Roman"/>
          <w:color w:val="050505"/>
          <w:sz w:val="24"/>
          <w:szCs w:val="24"/>
        </w:rPr>
        <w:t xml:space="preserve"> and is consistent with Prudent Utility Practice and will 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provi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de 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r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eve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nu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es 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whi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c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h 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ar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e 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su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ffi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cie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n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t</w:t>
      </w:r>
      <w:r w:rsidR="00C646F2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to 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meet 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t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he 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anticipated 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Re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ve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n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ue 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R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q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u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ir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m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nt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s o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f </w:t>
      </w:r>
      <w:proofErr w:type="spellStart"/>
      <w:r w:rsidR="00C646F2">
        <w:rPr>
          <w:rFonts w:ascii="Times New Roman" w:hAnsi="Times New Roman" w:cs="Times New Roman"/>
          <w:color w:val="050505"/>
          <w:sz w:val="24"/>
          <w:szCs w:val="24"/>
        </w:rPr>
        <w:t>KyMEA</w:t>
      </w:r>
      <w:proofErr w:type="spellEnd"/>
      <w:r w:rsidR="00C646F2">
        <w:rPr>
          <w:rFonts w:ascii="Times New Roman" w:hAnsi="Times New Roman" w:cs="Times New Roman"/>
          <w:color w:val="050505"/>
          <w:sz w:val="24"/>
          <w:szCs w:val="24"/>
        </w:rPr>
        <w:t xml:space="preserve"> in providing electric power and energy to its AR Members</w:t>
      </w:r>
      <w:r w:rsidR="00C646F2">
        <w:rPr>
          <w:rFonts w:ascii="Times New Roman" w:hAnsi="Times New Roman" w:cs="Times New Roman"/>
          <w:color w:val="050505"/>
          <w:sz w:val="24"/>
          <w:szCs w:val="24"/>
        </w:rPr>
        <w:t>.</w:t>
      </w:r>
    </w:p>
    <w:p w:rsidR="00C646F2" w:rsidRPr="00B90C7F" w:rsidRDefault="00C646F2" w:rsidP="00C646F2">
      <w:pPr>
        <w:widowControl w:val="0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="000272EC" w:rsidRPr="000272EC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0272EC" w:rsidRPr="000272E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="000272EC" w:rsidRPr="000272EC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0272EC" w:rsidRPr="000272EC">
        <w:rPr>
          <w:rFonts w:ascii="Times New Roman" w:hAnsi="Times New Roman" w:cs="Times New Roman"/>
          <w:b/>
          <w:snapToGrid w:val="0"/>
          <w:sz w:val="24"/>
          <w:szCs w:val="24"/>
        </w:rPr>
        <w:tab/>
        <w:t>Presentation to Members.</w:t>
      </w:r>
      <w:r w:rsidR="000272EC" w:rsidRPr="000272EC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B90C7F">
        <w:rPr>
          <w:rFonts w:ascii="Times New Roman" w:hAnsi="Times New Roman" w:cs="Times New Roman"/>
          <w:snapToGrid w:val="0"/>
          <w:sz w:val="24"/>
          <w:szCs w:val="24"/>
        </w:rPr>
        <w:t>To</w:t>
      </w:r>
      <w:r w:rsidR="00B90C7F" w:rsidRPr="00A734B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90C7F">
        <w:rPr>
          <w:rFonts w:ascii="Times New Roman" w:hAnsi="Times New Roman" w:cs="Times New Roman"/>
          <w:color w:val="050505"/>
          <w:sz w:val="24"/>
          <w:szCs w:val="24"/>
        </w:rPr>
        <w:t xml:space="preserve">assist </w:t>
      </w:r>
      <w:r w:rsidR="00B90C7F">
        <w:rPr>
          <w:rFonts w:ascii="Times New Roman" w:hAnsi="Times New Roman" w:cs="Times New Roman"/>
          <w:color w:val="050505"/>
          <w:sz w:val="24"/>
          <w:szCs w:val="24"/>
        </w:rPr>
        <w:t>its</w:t>
      </w:r>
      <w:r w:rsidR="00B90C7F">
        <w:rPr>
          <w:rFonts w:ascii="Times New Roman" w:hAnsi="Times New Roman" w:cs="Times New Roman"/>
          <w:color w:val="050505"/>
          <w:sz w:val="24"/>
          <w:szCs w:val="24"/>
        </w:rPr>
        <w:t xml:space="preserve"> AR Members in planning for the costs of their respective electric power and energy requirements</w:t>
      </w:r>
      <w:r w:rsidR="00B90C7F">
        <w:rPr>
          <w:rFonts w:ascii="Times New Roman" w:hAnsi="Times New Roman" w:cs="Times New Roman"/>
          <w:color w:val="050505"/>
          <w:sz w:val="24"/>
          <w:szCs w:val="24"/>
        </w:rPr>
        <w:t>,</w:t>
      </w:r>
      <w:r w:rsidR="00B90C7F" w:rsidRPr="000272E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734BE" w:rsidRPr="000272EC">
        <w:rPr>
          <w:rFonts w:ascii="Times New Roman" w:hAnsi="Times New Roman" w:cs="Times New Roman"/>
          <w:snapToGrid w:val="0"/>
          <w:sz w:val="24"/>
          <w:szCs w:val="24"/>
        </w:rPr>
        <w:t>KyMEA</w:t>
      </w:r>
      <w:proofErr w:type="spellEnd"/>
      <w:r w:rsidR="00A734BE" w:rsidRPr="000272EC">
        <w:rPr>
          <w:rFonts w:ascii="Times New Roman" w:hAnsi="Times New Roman" w:cs="Times New Roman"/>
          <w:snapToGrid w:val="0"/>
          <w:sz w:val="24"/>
          <w:szCs w:val="24"/>
        </w:rPr>
        <w:t xml:space="preserve"> shall present the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Indicative Rate Proposal </w:t>
      </w:r>
      <w:r w:rsidR="00A734BE" w:rsidRPr="000272EC">
        <w:rPr>
          <w:rFonts w:ascii="Times New Roman" w:hAnsi="Times New Roman" w:cs="Times New Roman"/>
          <w:snapToGrid w:val="0"/>
          <w:sz w:val="24"/>
          <w:szCs w:val="24"/>
        </w:rPr>
        <w:t>t</w:t>
      </w:r>
      <w:r w:rsidR="00A734BE" w:rsidRPr="00A734BE">
        <w:rPr>
          <w:rFonts w:ascii="Times New Roman" w:hAnsi="Times New Roman" w:cs="Times New Roman"/>
          <w:snapToGrid w:val="0"/>
          <w:sz w:val="24"/>
          <w:szCs w:val="24"/>
        </w:rPr>
        <w:t xml:space="preserve">o its Members together with information describing the </w:t>
      </w:r>
      <w:r>
        <w:rPr>
          <w:rFonts w:ascii="Times New Roman" w:hAnsi="Times New Roman" w:cs="Times New Roman"/>
          <w:snapToGrid w:val="0"/>
          <w:sz w:val="24"/>
          <w:szCs w:val="24"/>
        </w:rPr>
        <w:t>me</w:t>
      </w:r>
      <w:r w:rsidRPr="00B90C7F">
        <w:rPr>
          <w:rFonts w:ascii="Times New Roman" w:hAnsi="Times New Roman" w:cs="Times New Roman"/>
          <w:snapToGrid w:val="0"/>
          <w:sz w:val="24"/>
          <w:szCs w:val="24"/>
        </w:rPr>
        <w:t>thodology</w:t>
      </w:r>
      <w:r w:rsidR="00A734BE" w:rsidRPr="00B90C7F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B90C7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90C7F">
        <w:rPr>
          <w:rFonts w:ascii="Times New Roman" w:hAnsi="Times New Roman" w:cs="Times New Roman"/>
          <w:sz w:val="24"/>
          <w:szCs w:val="24"/>
        </w:rPr>
        <w:t>T</w:t>
      </w:r>
      <w:r w:rsidRPr="00B90C7F">
        <w:rPr>
          <w:rFonts w:ascii="Times New Roman" w:hAnsi="Times New Roman" w:cs="Times New Roman"/>
          <w:sz w:val="24"/>
          <w:szCs w:val="24"/>
        </w:rPr>
        <w:t xml:space="preserve">he </w:t>
      </w:r>
      <w:r w:rsidRPr="00B90C7F">
        <w:rPr>
          <w:rFonts w:ascii="Times New Roman" w:hAnsi="Times New Roman" w:cs="Times New Roman"/>
          <w:sz w:val="24"/>
          <w:szCs w:val="24"/>
        </w:rPr>
        <w:t xml:space="preserve">President, the Interim Chief Financial Officer </w:t>
      </w:r>
      <w:r w:rsidRPr="00B90C7F">
        <w:rPr>
          <w:rFonts w:ascii="Times New Roman" w:hAnsi="Times New Roman" w:cs="Times New Roman"/>
          <w:sz w:val="24"/>
          <w:szCs w:val="24"/>
        </w:rPr>
        <w:t xml:space="preserve">and all other appropriate </w:t>
      </w:r>
      <w:r w:rsidR="00B90C7F" w:rsidRPr="00B90C7F">
        <w:rPr>
          <w:rFonts w:ascii="Times New Roman" w:hAnsi="Times New Roman" w:cs="Times New Roman"/>
          <w:sz w:val="24"/>
          <w:szCs w:val="24"/>
        </w:rPr>
        <w:t>consultants and persons as may be necessary a</w:t>
      </w:r>
      <w:r w:rsidRPr="00B90C7F">
        <w:rPr>
          <w:rFonts w:ascii="Times New Roman" w:hAnsi="Times New Roman" w:cs="Times New Roman"/>
          <w:sz w:val="24"/>
          <w:szCs w:val="24"/>
        </w:rPr>
        <w:t xml:space="preserve">re hereby authorized and directed to </w:t>
      </w:r>
      <w:r w:rsidR="00B90C7F" w:rsidRPr="00B90C7F">
        <w:rPr>
          <w:rFonts w:ascii="Times New Roman" w:hAnsi="Times New Roman" w:cs="Times New Roman"/>
          <w:sz w:val="24"/>
          <w:szCs w:val="24"/>
        </w:rPr>
        <w:t xml:space="preserve">make any formal presentations </w:t>
      </w:r>
      <w:r w:rsidR="00B90C7F" w:rsidRPr="00B90C7F">
        <w:rPr>
          <w:rFonts w:ascii="Times New Roman" w:hAnsi="Times New Roman" w:cs="Times New Roman"/>
          <w:sz w:val="24"/>
          <w:szCs w:val="24"/>
        </w:rPr>
        <w:lastRenderedPageBreak/>
        <w:t xml:space="preserve">requested by any </w:t>
      </w:r>
      <w:proofErr w:type="spellStart"/>
      <w:r w:rsidR="00B90C7F" w:rsidRPr="00B90C7F">
        <w:rPr>
          <w:rFonts w:ascii="Times New Roman" w:hAnsi="Times New Roman" w:cs="Times New Roman"/>
          <w:sz w:val="24"/>
          <w:szCs w:val="24"/>
        </w:rPr>
        <w:t>KyMEA</w:t>
      </w:r>
      <w:proofErr w:type="spellEnd"/>
      <w:r w:rsidR="00B90C7F" w:rsidRPr="00B90C7F">
        <w:rPr>
          <w:rFonts w:ascii="Times New Roman" w:hAnsi="Times New Roman" w:cs="Times New Roman"/>
          <w:sz w:val="24"/>
          <w:szCs w:val="24"/>
        </w:rPr>
        <w:t xml:space="preserve"> Member </w:t>
      </w:r>
      <w:r w:rsidRPr="00B90C7F">
        <w:rPr>
          <w:rFonts w:ascii="Times New Roman" w:hAnsi="Times New Roman" w:cs="Times New Roman"/>
          <w:sz w:val="24"/>
          <w:szCs w:val="24"/>
        </w:rPr>
        <w:t xml:space="preserve">and to deliver </w:t>
      </w:r>
      <w:r w:rsidR="00B90C7F" w:rsidRPr="00B90C7F">
        <w:rPr>
          <w:rFonts w:ascii="Times New Roman" w:hAnsi="Times New Roman" w:cs="Times New Roman"/>
          <w:sz w:val="24"/>
          <w:szCs w:val="24"/>
        </w:rPr>
        <w:t xml:space="preserve">other supplemental information and </w:t>
      </w:r>
      <w:r w:rsidRPr="00B90C7F">
        <w:rPr>
          <w:rFonts w:ascii="Times New Roman" w:hAnsi="Times New Roman" w:cs="Times New Roman"/>
          <w:sz w:val="24"/>
          <w:szCs w:val="24"/>
        </w:rPr>
        <w:t>document</w:t>
      </w:r>
      <w:r w:rsidR="00B90C7F" w:rsidRPr="00B90C7F">
        <w:rPr>
          <w:rFonts w:ascii="Times New Roman" w:hAnsi="Times New Roman" w:cs="Times New Roman"/>
          <w:sz w:val="24"/>
          <w:szCs w:val="24"/>
        </w:rPr>
        <w:t xml:space="preserve">ation </w:t>
      </w:r>
      <w:r w:rsidRPr="00B90C7F">
        <w:rPr>
          <w:rFonts w:ascii="Times New Roman" w:hAnsi="Times New Roman" w:cs="Times New Roman"/>
          <w:sz w:val="24"/>
          <w:szCs w:val="24"/>
        </w:rPr>
        <w:t>as may be reasonably necessary to effect</w:t>
      </w:r>
      <w:r w:rsidR="00B90C7F" w:rsidRPr="00B90C7F">
        <w:rPr>
          <w:rFonts w:ascii="Times New Roman" w:hAnsi="Times New Roman" w:cs="Times New Roman"/>
          <w:sz w:val="24"/>
          <w:szCs w:val="24"/>
        </w:rPr>
        <w:t xml:space="preserve"> the purpose of this Resolution and the assistance of </w:t>
      </w:r>
      <w:proofErr w:type="spellStart"/>
      <w:r w:rsidR="00B90C7F" w:rsidRPr="00B90C7F">
        <w:rPr>
          <w:rFonts w:ascii="Times New Roman" w:hAnsi="Times New Roman" w:cs="Times New Roman"/>
          <w:sz w:val="24"/>
          <w:szCs w:val="24"/>
        </w:rPr>
        <w:t>KyMEA</w:t>
      </w:r>
      <w:proofErr w:type="spellEnd"/>
      <w:r w:rsidR="00B90C7F" w:rsidRPr="00B90C7F">
        <w:rPr>
          <w:rFonts w:ascii="Times New Roman" w:hAnsi="Times New Roman" w:cs="Times New Roman"/>
          <w:sz w:val="24"/>
          <w:szCs w:val="24"/>
        </w:rPr>
        <w:t xml:space="preserve"> Members in planning their electric power and energy requirements.</w:t>
      </w:r>
      <w:r w:rsidRPr="00B90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6F2" w:rsidRDefault="00C646F2" w:rsidP="00C646F2">
      <w:pPr>
        <w:pStyle w:val="ListParagraph"/>
        <w:widowControl w:val="0"/>
        <w:tabs>
          <w:tab w:val="left" w:pos="720"/>
        </w:tabs>
        <w:ind w:left="0"/>
        <w:jc w:val="both"/>
        <w:rPr>
          <w:snapToGrid w:val="0"/>
        </w:rPr>
      </w:pPr>
    </w:p>
    <w:p w:rsidR="00A734BE" w:rsidRPr="00A734BE" w:rsidRDefault="00A734BE" w:rsidP="00C646F2">
      <w:pPr>
        <w:widowControl w:val="0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34B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734BE" w:rsidRPr="00A734BE" w:rsidRDefault="00A734BE" w:rsidP="00A734BE">
      <w:pPr>
        <w:widowControl w:val="0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6B7" w:rsidRPr="00A734BE" w:rsidRDefault="00B90C7F" w:rsidP="00663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46B7" w:rsidRPr="00A7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panose1 w:val="00000000000000000000"/>
    <w:charset w:val="00"/>
    <w:family w:val="roman"/>
    <w:notTrueType/>
    <w:pitch w:val="default"/>
    <w:sig w:usb0="0105007E" w:usb1="0000008D" w:usb2="00000000" w:usb3="00000000" w:csb0="006609FE" w:csb1="00BD5CC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769A7"/>
    <w:multiLevelType w:val="multilevel"/>
    <w:tmpl w:val="03F05298"/>
    <w:lvl w:ilvl="0">
      <w:start w:val="1"/>
      <w:numFmt w:val="decimal"/>
      <w:pStyle w:val="Heading1"/>
      <w:suff w:val="space"/>
      <w:lvlText w:val="SECTION %1."/>
      <w:lvlJc w:val="left"/>
      <w:pPr>
        <w:ind w:left="2970" w:hanging="720"/>
      </w:pPr>
      <w:rPr>
        <w:rFonts w:ascii="Times New Roman Bold" w:hAnsi="Times New Roman Bold" w:hint="default"/>
        <w:b/>
        <w:i w:val="0"/>
        <w:caps/>
        <w:spacing w:val="0"/>
        <w:w w:val="100"/>
        <w:sz w:val="24"/>
      </w:rPr>
    </w:lvl>
    <w:lvl w:ilvl="1">
      <w:start w:val="1"/>
      <w:numFmt w:val="lowerLetter"/>
      <w:pStyle w:val="BodyText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B6"/>
    <w:rsid w:val="000272EC"/>
    <w:rsid w:val="005912D8"/>
    <w:rsid w:val="00663CB6"/>
    <w:rsid w:val="00A734BE"/>
    <w:rsid w:val="00B90C7F"/>
    <w:rsid w:val="00BF0BFA"/>
    <w:rsid w:val="00C646F2"/>
    <w:rsid w:val="00F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ED0A8-91AB-4032-8B4D-D38311EE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CB6"/>
    <w:pPr>
      <w:keepNext/>
      <w:numPr>
        <w:numId w:val="1"/>
      </w:numPr>
      <w:spacing w:after="24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CB6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663CB6"/>
    <w:pPr>
      <w:numPr>
        <w:ilvl w:val="1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63CB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64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Musson</dc:creator>
  <cp:keywords/>
  <dc:description/>
  <cp:lastModifiedBy>Charlie Musson</cp:lastModifiedBy>
  <cp:revision>1</cp:revision>
  <dcterms:created xsi:type="dcterms:W3CDTF">2018-01-22T21:27:00Z</dcterms:created>
  <dcterms:modified xsi:type="dcterms:W3CDTF">2018-01-22T22:27:00Z</dcterms:modified>
</cp:coreProperties>
</file>