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89" w:rsidRPr="00E21EA2" w:rsidRDefault="00272610">
      <w:pPr>
        <w:rPr>
          <w:sz w:val="22"/>
          <w:szCs w:val="22"/>
        </w:rPr>
      </w:pPr>
      <w:r w:rsidRPr="00E21EA2">
        <w:rPr>
          <w:sz w:val="22"/>
          <w:szCs w:val="22"/>
          <w:u w:val="single"/>
        </w:rPr>
        <w:t>CONSIDERATION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Public Discussion of Projected Receipts and Expenses - Draft Budget for </w:t>
      </w:r>
      <w:r w:rsidR="00894B4A">
        <w:rPr>
          <w:sz w:val="22"/>
          <w:szCs w:val="22"/>
        </w:rPr>
        <w:t>2018-19</w:t>
      </w:r>
    </w:p>
    <w:p w:rsidR="007A0089" w:rsidRPr="00E21EA2" w:rsidRDefault="007A0089">
      <w:pPr>
        <w:rPr>
          <w:sz w:val="22"/>
          <w:szCs w:val="22"/>
        </w:rPr>
      </w:pPr>
    </w:p>
    <w:p w:rsidR="007A0089" w:rsidRPr="00E21EA2" w:rsidRDefault="00272610">
      <w:pPr>
        <w:rPr>
          <w:sz w:val="22"/>
          <w:szCs w:val="22"/>
        </w:rPr>
      </w:pPr>
      <w:r w:rsidRPr="00E21EA2">
        <w:rPr>
          <w:sz w:val="22"/>
          <w:szCs w:val="22"/>
          <w:u w:val="single"/>
        </w:rPr>
        <w:t>DISCUSSION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State law (KRS 160.470 (6)(a) requires that every local board of education receive a Draft Budget before January 31</w:t>
      </w:r>
      <w:r w:rsidR="0063429D" w:rsidRPr="00E21EA2">
        <w:rPr>
          <w:sz w:val="22"/>
          <w:szCs w:val="22"/>
        </w:rPr>
        <w:t>, 20</w:t>
      </w:r>
      <w:r w:rsidR="006D3E7F">
        <w:rPr>
          <w:sz w:val="22"/>
          <w:szCs w:val="22"/>
        </w:rPr>
        <w:t>1</w:t>
      </w:r>
      <w:r w:rsidR="00894B4A">
        <w:rPr>
          <w:sz w:val="22"/>
          <w:szCs w:val="22"/>
        </w:rPr>
        <w:t>8</w:t>
      </w:r>
      <w:r w:rsidRPr="00E21EA2">
        <w:rPr>
          <w:sz w:val="22"/>
          <w:szCs w:val="22"/>
        </w:rPr>
        <w:t xml:space="preserve"> for the upcoming school year.  The law’s purpose is to assure that the board has sufficient information about projected receipts and expenditures for all funds in the entire budget as allocations for individual budget components are considered.  </w:t>
      </w:r>
      <w:r w:rsidR="00A80F73" w:rsidRPr="00E21EA2">
        <w:rPr>
          <w:sz w:val="22"/>
          <w:szCs w:val="22"/>
        </w:rPr>
        <w:t>Table A contains a</w:t>
      </w:r>
      <w:r w:rsidRPr="00E21EA2">
        <w:rPr>
          <w:sz w:val="22"/>
          <w:szCs w:val="22"/>
        </w:rPr>
        <w:t xml:space="preserve">n overview of the chronology for </w:t>
      </w:r>
      <w:r w:rsidR="00894B4A">
        <w:rPr>
          <w:sz w:val="22"/>
          <w:szCs w:val="22"/>
        </w:rPr>
        <w:t>2018-19</w:t>
      </w:r>
      <w:r w:rsidRPr="00E21EA2">
        <w:rPr>
          <w:sz w:val="22"/>
          <w:szCs w:val="22"/>
        </w:rPr>
        <w:t xml:space="preserve"> budget decisions</w:t>
      </w:r>
      <w:r w:rsidR="00A80F73" w:rsidRPr="00E21EA2">
        <w:rPr>
          <w:sz w:val="22"/>
          <w:szCs w:val="22"/>
        </w:rPr>
        <w:t>.</w:t>
      </w:r>
    </w:p>
    <w:p w:rsidR="00660B55" w:rsidRPr="00E21EA2" w:rsidRDefault="00660B55">
      <w:pPr>
        <w:rPr>
          <w:sz w:val="22"/>
          <w:szCs w:val="22"/>
        </w:rPr>
      </w:pPr>
    </w:p>
    <w:p w:rsidR="00660B55" w:rsidRPr="00E21EA2" w:rsidRDefault="00660B55" w:rsidP="00660B55">
      <w:pPr>
        <w:pStyle w:val="Heading3"/>
        <w:rPr>
          <w:sz w:val="22"/>
          <w:szCs w:val="22"/>
        </w:rPr>
      </w:pPr>
      <w:r w:rsidRPr="00E21EA2">
        <w:rPr>
          <w:sz w:val="22"/>
          <w:szCs w:val="22"/>
        </w:rPr>
        <w:t>Table A</w:t>
      </w:r>
    </w:p>
    <w:p w:rsidR="00660B55" w:rsidRPr="00E21EA2" w:rsidRDefault="00660B55" w:rsidP="00660B55">
      <w:pPr>
        <w:pStyle w:val="Heading3"/>
        <w:rPr>
          <w:sz w:val="22"/>
          <w:szCs w:val="22"/>
        </w:rPr>
      </w:pPr>
      <w:smartTag w:uri="urn:schemas-microsoft-com:office:smarttags" w:element="State">
        <w:smartTag w:uri="urn:schemas-microsoft-com:office:smarttags" w:element="place">
          <w:r w:rsidRPr="00E21EA2">
            <w:rPr>
              <w:sz w:val="22"/>
              <w:szCs w:val="22"/>
            </w:rPr>
            <w:t>Kentucky</w:t>
          </w:r>
        </w:smartTag>
      </w:smartTag>
      <w:r w:rsidRPr="00E21EA2">
        <w:rPr>
          <w:sz w:val="22"/>
          <w:szCs w:val="22"/>
        </w:rPr>
        <w:t xml:space="preserve"> Budget Development Chronology</w:t>
      </w:r>
    </w:p>
    <w:p w:rsidR="00660B55" w:rsidRPr="00E21EA2" w:rsidRDefault="00660B55" w:rsidP="00660B55">
      <w:pPr>
        <w:pStyle w:val="Heading3"/>
        <w:rPr>
          <w:sz w:val="22"/>
          <w:szCs w:val="22"/>
        </w:rPr>
      </w:pPr>
      <w:r w:rsidRPr="00E21EA2">
        <w:rPr>
          <w:sz w:val="22"/>
          <w:szCs w:val="22"/>
        </w:rPr>
        <w:t xml:space="preserve">Fiscal Year Beginning July 1, </w:t>
      </w:r>
      <w:r w:rsidR="00740015">
        <w:rPr>
          <w:sz w:val="22"/>
          <w:szCs w:val="22"/>
        </w:rPr>
        <w:t>201</w:t>
      </w:r>
      <w:r w:rsidR="00894B4A">
        <w:rPr>
          <w:sz w:val="22"/>
          <w:szCs w:val="22"/>
        </w:rPr>
        <w:t>8</w:t>
      </w:r>
    </w:p>
    <w:p w:rsidR="00660B55" w:rsidRPr="00E21EA2" w:rsidRDefault="00660B55" w:rsidP="00660B55">
      <w:pPr>
        <w:rPr>
          <w:sz w:val="22"/>
          <w:szCs w:val="22"/>
        </w:rPr>
      </w:pPr>
    </w:p>
    <w:tbl>
      <w:tblPr>
        <w:tblW w:w="5000" w:type="pct"/>
        <w:tblCellMar>
          <w:left w:w="30" w:type="dxa"/>
          <w:right w:w="30" w:type="dxa"/>
        </w:tblCellMar>
        <w:tblLook w:val="0000"/>
      </w:tblPr>
      <w:tblGrid>
        <w:gridCol w:w="4747"/>
        <w:gridCol w:w="3953"/>
      </w:tblGrid>
      <w:tr w:rsidR="00660B55" w:rsidRPr="005E7353" w:rsidTr="00E21EA2">
        <w:trPr>
          <w:trHeight w:val="293"/>
        </w:trPr>
        <w:tc>
          <w:tcPr>
            <w:tcW w:w="2728" w:type="pct"/>
            <w:tcBorders>
              <w:top w:val="single" w:sz="4" w:space="0" w:color="auto"/>
              <w:left w:val="single" w:sz="4" w:space="0" w:color="auto"/>
              <w:right w:val="single" w:sz="4" w:space="0" w:color="auto"/>
            </w:tcBorders>
            <w:shd w:val="clear" w:color="auto" w:fill="D9D9D9"/>
          </w:tcPr>
          <w:p w:rsidR="00660B55" w:rsidRPr="00F00188" w:rsidRDefault="00660B55" w:rsidP="00F00188">
            <w:pPr>
              <w:jc w:val="center"/>
              <w:rPr>
                <w:b/>
                <w:snapToGrid w:val="0"/>
                <w:sz w:val="18"/>
                <w:szCs w:val="18"/>
              </w:rPr>
            </w:pPr>
            <w:r w:rsidRPr="00F00188">
              <w:rPr>
                <w:b/>
                <w:snapToGrid w:val="0"/>
                <w:sz w:val="18"/>
                <w:szCs w:val="18"/>
              </w:rPr>
              <w:t>Activity</w:t>
            </w:r>
          </w:p>
        </w:tc>
        <w:tc>
          <w:tcPr>
            <w:tcW w:w="2272" w:type="pct"/>
            <w:tcBorders>
              <w:top w:val="single" w:sz="4" w:space="0" w:color="auto"/>
              <w:left w:val="single" w:sz="4" w:space="0" w:color="auto"/>
              <w:right w:val="single" w:sz="4" w:space="0" w:color="auto"/>
            </w:tcBorders>
            <w:shd w:val="clear" w:color="auto" w:fill="D9D9D9"/>
          </w:tcPr>
          <w:p w:rsidR="00660B55" w:rsidRPr="00F00188" w:rsidRDefault="00660B55" w:rsidP="00E21EA2">
            <w:pPr>
              <w:jc w:val="center"/>
              <w:rPr>
                <w:b/>
                <w:snapToGrid w:val="0"/>
                <w:sz w:val="18"/>
                <w:szCs w:val="18"/>
              </w:rPr>
            </w:pPr>
            <w:r w:rsidRPr="00F00188">
              <w:rPr>
                <w:b/>
                <w:snapToGrid w:val="0"/>
                <w:sz w:val="18"/>
                <w:szCs w:val="18"/>
              </w:rPr>
              <w:t>Approximate Time</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894B4A" w:rsidP="00E21EA2">
            <w:pPr>
              <w:rPr>
                <w:snapToGrid w:val="0"/>
                <w:sz w:val="18"/>
                <w:szCs w:val="18"/>
              </w:rPr>
            </w:pPr>
            <w:r>
              <w:rPr>
                <w:snapToGrid w:val="0"/>
                <w:sz w:val="18"/>
                <w:szCs w:val="18"/>
              </w:rPr>
              <w:t>2018-19</w:t>
            </w:r>
            <w:r w:rsidR="00660B55" w:rsidRPr="00F00188">
              <w:rPr>
                <w:snapToGrid w:val="0"/>
                <w:sz w:val="18"/>
                <w:szCs w:val="18"/>
              </w:rPr>
              <w:t xml:space="preserve"> Enrollment/ADA Projection</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5143DD">
            <w:pPr>
              <w:autoSpaceDE w:val="0"/>
              <w:autoSpaceDN w:val="0"/>
              <w:adjustRightInd w:val="0"/>
              <w:rPr>
                <w:sz w:val="18"/>
                <w:szCs w:val="18"/>
              </w:rPr>
            </w:pPr>
            <w:r w:rsidRPr="00F00188">
              <w:rPr>
                <w:sz w:val="18"/>
                <w:szCs w:val="18"/>
              </w:rPr>
              <w:t>Reported to Board – December 20</w:t>
            </w:r>
            <w:r w:rsidR="000267A4">
              <w:rPr>
                <w:sz w:val="18"/>
                <w:szCs w:val="18"/>
              </w:rPr>
              <w:t>1</w:t>
            </w:r>
            <w:r w:rsidR="00894B4A">
              <w:rPr>
                <w:sz w:val="18"/>
                <w:szCs w:val="18"/>
              </w:rPr>
              <w:t>7</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894B4A" w:rsidP="00E21EA2">
            <w:pPr>
              <w:rPr>
                <w:snapToGrid w:val="0"/>
                <w:sz w:val="18"/>
                <w:szCs w:val="18"/>
              </w:rPr>
            </w:pPr>
            <w:r>
              <w:rPr>
                <w:snapToGrid w:val="0"/>
                <w:sz w:val="18"/>
                <w:szCs w:val="18"/>
              </w:rPr>
              <w:t>2018-19</w:t>
            </w:r>
            <w:r w:rsidR="00660B55" w:rsidRPr="00F00188">
              <w:rPr>
                <w:snapToGrid w:val="0"/>
                <w:sz w:val="18"/>
                <w:szCs w:val="18"/>
              </w:rPr>
              <w:t xml:space="preserve"> Local/State Revenue Projections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Included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Projected Equipment/Capital Needs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Mandated Personnel Expense</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r w:rsidRPr="00F00188">
                <w:rPr>
                  <w:snapToGrid w:val="0"/>
                  <w:sz w:val="18"/>
                  <w:szCs w:val="18"/>
                </w:rPr>
                <w:t xml:space="preserve"> </w:t>
              </w:r>
              <w:smartTag w:uri="urn:schemas-microsoft-com:office:smarttags" w:element="PlaceName">
                <w:r w:rsidRPr="00F00188">
                  <w:rPr>
                    <w:snapToGrid w:val="0"/>
                    <w:sz w:val="18"/>
                    <w:szCs w:val="18"/>
                  </w:rPr>
                  <w:t>Board</w:t>
                </w:r>
              </w:smartTag>
              <w:r w:rsidRPr="00F00188">
                <w:rPr>
                  <w:snapToGrid w:val="0"/>
                  <w:sz w:val="18"/>
                  <w:szCs w:val="18"/>
                </w:rPr>
                <w:t xml:space="preserve"> </w:t>
              </w:r>
              <w:smartTag w:uri="urn:schemas-microsoft-com:office:smarttags" w:element="PlaceName">
                <w:r w:rsidRPr="00F00188">
                  <w:rPr>
                    <w:snapToGrid w:val="0"/>
                    <w:sz w:val="18"/>
                    <w:szCs w:val="18"/>
                  </w:rPr>
                  <w:t>Reviews</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Preliminary Information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Draft Budget Reviewed by Local Board – (KRS 160.470)</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1F4A63">
            <w:pPr>
              <w:autoSpaceDE w:val="0"/>
              <w:autoSpaceDN w:val="0"/>
              <w:adjustRightInd w:val="0"/>
              <w:rPr>
                <w:sz w:val="18"/>
                <w:szCs w:val="18"/>
              </w:rPr>
            </w:pPr>
            <w:r w:rsidRPr="00F00188">
              <w:rPr>
                <w:sz w:val="18"/>
                <w:szCs w:val="18"/>
              </w:rPr>
              <w:t>By January 31, 20</w:t>
            </w:r>
            <w:r w:rsidR="006D3E7F">
              <w:rPr>
                <w:sz w:val="18"/>
                <w:szCs w:val="18"/>
              </w:rPr>
              <w:t>1</w:t>
            </w:r>
            <w:r w:rsidR="00894B4A">
              <w:rPr>
                <w:sz w:val="18"/>
                <w:szCs w:val="18"/>
              </w:rPr>
              <w:t>8</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Board Approves School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1F4A63">
            <w:pPr>
              <w:autoSpaceDE w:val="0"/>
              <w:autoSpaceDN w:val="0"/>
              <w:adjustRightInd w:val="0"/>
              <w:rPr>
                <w:sz w:val="18"/>
                <w:szCs w:val="18"/>
              </w:rPr>
            </w:pPr>
            <w:r w:rsidRPr="00F00188">
              <w:rPr>
                <w:sz w:val="18"/>
                <w:szCs w:val="18"/>
              </w:rPr>
              <w:t>Complete by March 1, 20</w:t>
            </w:r>
            <w:r w:rsidR="006D3E7F">
              <w:rPr>
                <w:sz w:val="18"/>
                <w:szCs w:val="18"/>
              </w:rPr>
              <w:t>1</w:t>
            </w:r>
            <w:r w:rsidR="00894B4A">
              <w:rPr>
                <w:sz w:val="18"/>
                <w:szCs w:val="18"/>
              </w:rPr>
              <w:t>8</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894B4A" w:rsidP="00F00188">
            <w:pPr>
              <w:rPr>
                <w:snapToGrid w:val="0"/>
                <w:sz w:val="18"/>
                <w:szCs w:val="18"/>
              </w:rPr>
            </w:pPr>
            <w:r>
              <w:rPr>
                <w:snapToGrid w:val="0"/>
                <w:sz w:val="18"/>
                <w:szCs w:val="18"/>
              </w:rPr>
              <w:t>2018-19</w:t>
            </w:r>
            <w:r w:rsidR="00660B55" w:rsidRPr="00F00188">
              <w:rPr>
                <w:snapToGrid w:val="0"/>
                <w:sz w:val="18"/>
                <w:szCs w:val="18"/>
              </w:rPr>
              <w:t xml:space="preserve"> School Budget Development – School Councils Advise Superintendent/Board of Staff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1F4A63">
            <w:pPr>
              <w:autoSpaceDE w:val="0"/>
              <w:autoSpaceDN w:val="0"/>
              <w:adjustRightInd w:val="0"/>
              <w:rPr>
                <w:sz w:val="18"/>
                <w:szCs w:val="18"/>
              </w:rPr>
            </w:pPr>
            <w:r w:rsidRPr="00F00188">
              <w:rPr>
                <w:sz w:val="18"/>
                <w:szCs w:val="18"/>
              </w:rPr>
              <w:t>Complete by March 31, 20</w:t>
            </w:r>
            <w:r w:rsidR="006D3E7F">
              <w:rPr>
                <w:sz w:val="18"/>
                <w:szCs w:val="18"/>
              </w:rPr>
              <w:t>1</w:t>
            </w:r>
            <w:r w:rsidR="00894B4A">
              <w:rPr>
                <w:sz w:val="18"/>
                <w:szCs w:val="18"/>
              </w:rPr>
              <w:t>8</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Notice of Re-employment of Certified Staff – Next School Year</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1F4A63">
            <w:pPr>
              <w:autoSpaceDE w:val="0"/>
              <w:autoSpaceDN w:val="0"/>
              <w:adjustRightInd w:val="0"/>
              <w:rPr>
                <w:sz w:val="18"/>
                <w:szCs w:val="18"/>
              </w:rPr>
            </w:pPr>
            <w:r w:rsidRPr="00F00188">
              <w:rPr>
                <w:sz w:val="18"/>
                <w:szCs w:val="18"/>
              </w:rPr>
              <w:t>No Later than April 30, 20</w:t>
            </w:r>
            <w:r w:rsidR="006D3E7F">
              <w:rPr>
                <w:sz w:val="18"/>
                <w:szCs w:val="18"/>
              </w:rPr>
              <w:t>1</w:t>
            </w:r>
            <w:r w:rsidR="00894B4A">
              <w:rPr>
                <w:sz w:val="18"/>
                <w:szCs w:val="18"/>
              </w:rPr>
              <w:t>8</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Needs Assessment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From Improvement Plans in May</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Staff Positions and Salary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May Tentative Budget or later</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894B4A">
            <w:pPr>
              <w:rPr>
                <w:snapToGrid w:val="0"/>
                <w:sz w:val="18"/>
                <w:szCs w:val="18"/>
              </w:rPr>
            </w:pPr>
            <w:r w:rsidRPr="00F00188">
              <w:rPr>
                <w:snapToGrid w:val="0"/>
                <w:sz w:val="18"/>
                <w:szCs w:val="18"/>
              </w:rPr>
              <w:t xml:space="preserve">Board Adopts </w:t>
            </w:r>
            <w:r w:rsidR="00894B4A">
              <w:rPr>
                <w:snapToGrid w:val="0"/>
                <w:sz w:val="18"/>
                <w:szCs w:val="18"/>
              </w:rPr>
              <w:t>2018-19</w:t>
            </w:r>
            <w:r w:rsidRPr="00F00188">
              <w:rPr>
                <w:snapToGrid w:val="0"/>
                <w:sz w:val="18"/>
                <w:szCs w:val="18"/>
              </w:rPr>
              <w:t xml:space="preserve"> Tentative Budget with 2%</w:t>
            </w:r>
            <w:r w:rsidR="00F00188">
              <w:rPr>
                <w:snapToGrid w:val="0"/>
                <w:sz w:val="18"/>
                <w:szCs w:val="18"/>
              </w:rPr>
              <w:t xml:space="preserve"> </w:t>
            </w:r>
            <w:r w:rsidRPr="00F00188">
              <w:rPr>
                <w:snapToGrid w:val="0"/>
                <w:sz w:val="18"/>
                <w:szCs w:val="18"/>
              </w:rPr>
              <w:t>Reserve of Total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894B4A">
            <w:pPr>
              <w:autoSpaceDE w:val="0"/>
              <w:autoSpaceDN w:val="0"/>
              <w:adjustRightInd w:val="0"/>
              <w:rPr>
                <w:sz w:val="18"/>
                <w:szCs w:val="18"/>
              </w:rPr>
            </w:pPr>
            <w:r w:rsidRPr="00F00188">
              <w:rPr>
                <w:sz w:val="18"/>
                <w:szCs w:val="18"/>
              </w:rPr>
              <w:t>By May 31, 20</w:t>
            </w:r>
            <w:r w:rsidR="006D3E7F">
              <w:rPr>
                <w:sz w:val="18"/>
                <w:szCs w:val="18"/>
              </w:rPr>
              <w:t>1</w:t>
            </w:r>
            <w:r w:rsidR="00894B4A">
              <w:rPr>
                <w:sz w:val="18"/>
                <w:szCs w:val="18"/>
              </w:rPr>
              <w:t>8</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894B4A">
            <w:pPr>
              <w:rPr>
                <w:snapToGrid w:val="0"/>
                <w:sz w:val="18"/>
                <w:szCs w:val="18"/>
              </w:rPr>
            </w:pPr>
            <w:r w:rsidRPr="00F00188">
              <w:rPr>
                <w:snapToGrid w:val="0"/>
                <w:sz w:val="18"/>
                <w:szCs w:val="18"/>
              </w:rPr>
              <w:t xml:space="preserve">Formal Budget Action:  </w:t>
            </w:r>
            <w:r w:rsidR="00894B4A">
              <w:rPr>
                <w:snapToGrid w:val="0"/>
                <w:sz w:val="18"/>
                <w:szCs w:val="18"/>
              </w:rPr>
              <w:t>2018-19</w:t>
            </w:r>
            <w:r w:rsidRPr="00F00188">
              <w:rPr>
                <w:snapToGrid w:val="0"/>
                <w:sz w:val="18"/>
                <w:szCs w:val="18"/>
              </w:rPr>
              <w:t xml:space="preserve"> Tax Levy</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Within 30 days of receipt of certified assessment</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894B4A">
            <w:pPr>
              <w:rPr>
                <w:snapToGrid w:val="0"/>
                <w:sz w:val="18"/>
                <w:szCs w:val="18"/>
              </w:rPr>
            </w:pPr>
            <w:r w:rsidRPr="00F00188">
              <w:rPr>
                <w:snapToGrid w:val="0"/>
                <w:sz w:val="18"/>
                <w:szCs w:val="18"/>
              </w:rPr>
              <w:t xml:space="preserve">Formal Budget Action:  Adopts </w:t>
            </w:r>
            <w:r w:rsidR="006B4804">
              <w:rPr>
                <w:snapToGrid w:val="0"/>
                <w:sz w:val="18"/>
                <w:szCs w:val="18"/>
              </w:rPr>
              <w:t xml:space="preserve"> </w:t>
            </w:r>
            <w:r w:rsidR="00894B4A">
              <w:rPr>
                <w:snapToGrid w:val="0"/>
                <w:sz w:val="18"/>
                <w:szCs w:val="18"/>
              </w:rPr>
              <w:t>2018-19</w:t>
            </w:r>
            <w:r w:rsidR="005143DD">
              <w:rPr>
                <w:snapToGrid w:val="0"/>
                <w:sz w:val="18"/>
                <w:szCs w:val="18"/>
              </w:rPr>
              <w:t xml:space="preserve"> </w:t>
            </w:r>
            <w:r w:rsidRPr="00F00188">
              <w:rPr>
                <w:snapToGrid w:val="0"/>
                <w:sz w:val="18"/>
                <w:szCs w:val="18"/>
              </w:rPr>
              <w:t xml:space="preserve"> Working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894B4A">
            <w:pPr>
              <w:autoSpaceDE w:val="0"/>
              <w:autoSpaceDN w:val="0"/>
              <w:adjustRightInd w:val="0"/>
              <w:rPr>
                <w:sz w:val="18"/>
                <w:szCs w:val="18"/>
              </w:rPr>
            </w:pPr>
            <w:r w:rsidRPr="00F00188">
              <w:rPr>
                <w:sz w:val="18"/>
                <w:szCs w:val="18"/>
              </w:rPr>
              <w:t>By September 30, 20</w:t>
            </w:r>
            <w:r w:rsidR="006D3E7F">
              <w:rPr>
                <w:sz w:val="18"/>
                <w:szCs w:val="18"/>
              </w:rPr>
              <w:t>1</w:t>
            </w:r>
            <w:r w:rsidR="00894B4A">
              <w:rPr>
                <w:sz w:val="18"/>
                <w:szCs w:val="18"/>
              </w:rPr>
              <w:t>8</w:t>
            </w:r>
          </w:p>
        </w:tc>
      </w:tr>
    </w:tbl>
    <w:p w:rsidR="007A0089" w:rsidRPr="00E21EA2" w:rsidRDefault="007A0089">
      <w:pPr>
        <w:rPr>
          <w:sz w:val="22"/>
          <w:szCs w:val="22"/>
        </w:rPr>
      </w:pPr>
    </w:p>
    <w:p w:rsidR="00E21EA2" w:rsidRDefault="00E21EA2">
      <w:pPr>
        <w:rPr>
          <w:b/>
          <w:sz w:val="22"/>
          <w:szCs w:val="22"/>
        </w:rPr>
      </w:pPr>
    </w:p>
    <w:p w:rsidR="007A0089" w:rsidRPr="00E21EA2" w:rsidRDefault="00272610">
      <w:pPr>
        <w:rPr>
          <w:sz w:val="22"/>
          <w:szCs w:val="22"/>
        </w:rPr>
      </w:pPr>
      <w:r w:rsidRPr="00E21EA2">
        <w:rPr>
          <w:b/>
          <w:sz w:val="22"/>
          <w:szCs w:val="22"/>
        </w:rPr>
        <w:t>REVENUE PROJECTIONS</w:t>
      </w:r>
    </w:p>
    <w:p w:rsidR="007A0089" w:rsidRPr="00E21EA2" w:rsidRDefault="007A0089">
      <w:pPr>
        <w:rPr>
          <w:sz w:val="22"/>
          <w:szCs w:val="22"/>
        </w:rPr>
      </w:pPr>
    </w:p>
    <w:p w:rsidR="00D710FB" w:rsidRPr="00E21EA2" w:rsidRDefault="00272610">
      <w:pPr>
        <w:rPr>
          <w:sz w:val="22"/>
          <w:szCs w:val="22"/>
        </w:rPr>
      </w:pPr>
      <w:r w:rsidRPr="00E21EA2">
        <w:rPr>
          <w:b/>
          <w:sz w:val="22"/>
          <w:szCs w:val="22"/>
          <w:u w:val="single"/>
        </w:rPr>
        <w:t>Enrollment and Average Daily Attendance</w:t>
      </w:r>
      <w:r w:rsidRPr="00E21EA2">
        <w:rPr>
          <w:sz w:val="22"/>
          <w:szCs w:val="22"/>
        </w:rPr>
        <w:t>:  The most important information to project local and state revenue is the number of pupils expected.  Most state funds to local school districts are calculated from the full time equivalent (FTE) average daily attendance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Each kindergarten student is counted as one-half FTE for projection of SEEK revenue.</w:t>
      </w:r>
    </w:p>
    <w:p w:rsidR="00D710FB" w:rsidRPr="00E21EA2" w:rsidRDefault="00D710FB">
      <w:pPr>
        <w:rPr>
          <w:sz w:val="22"/>
          <w:szCs w:val="22"/>
        </w:rPr>
      </w:pPr>
    </w:p>
    <w:p w:rsidR="007A0089" w:rsidRDefault="00272610">
      <w:pPr>
        <w:rPr>
          <w:sz w:val="22"/>
          <w:szCs w:val="22"/>
        </w:rPr>
      </w:pPr>
      <w:r w:rsidRPr="00E21EA2">
        <w:rPr>
          <w:sz w:val="22"/>
          <w:szCs w:val="22"/>
        </w:rPr>
        <w:t xml:space="preserve">Even though state revenue through SEEK is based on ADA, staffing needs for schools are based on the number of students enrolled or average daily membership (ADM).  </w:t>
      </w:r>
      <w:r w:rsidR="00D710FB" w:rsidRPr="00E21EA2">
        <w:rPr>
          <w:sz w:val="22"/>
          <w:szCs w:val="22"/>
        </w:rPr>
        <w:t xml:space="preserve">The </w:t>
      </w:r>
      <w:r w:rsidR="00F27CE1" w:rsidRPr="00E21EA2">
        <w:rPr>
          <w:sz w:val="22"/>
          <w:szCs w:val="22"/>
        </w:rPr>
        <w:t>Elizabethtown Independent Schools</w:t>
      </w:r>
      <w:r w:rsidRPr="00E21EA2">
        <w:rPr>
          <w:sz w:val="22"/>
          <w:szCs w:val="22"/>
        </w:rPr>
        <w:t xml:space="preserve"> expect to have </w:t>
      </w:r>
      <w:r w:rsidR="00ED5D28">
        <w:rPr>
          <w:sz w:val="22"/>
          <w:szCs w:val="22"/>
        </w:rPr>
        <w:t>28</w:t>
      </w:r>
      <w:r w:rsidR="00961A45">
        <w:rPr>
          <w:sz w:val="22"/>
          <w:szCs w:val="22"/>
        </w:rPr>
        <w:t xml:space="preserve"> </w:t>
      </w:r>
      <w:r w:rsidR="004D56FB">
        <w:rPr>
          <w:sz w:val="22"/>
          <w:szCs w:val="22"/>
        </w:rPr>
        <w:t>less</w:t>
      </w:r>
      <w:r w:rsidR="00495B7D">
        <w:rPr>
          <w:sz w:val="22"/>
          <w:szCs w:val="22"/>
        </w:rPr>
        <w:t xml:space="preserve"> </w:t>
      </w:r>
      <w:r w:rsidRPr="00E21EA2">
        <w:rPr>
          <w:sz w:val="22"/>
          <w:szCs w:val="22"/>
        </w:rPr>
        <w:t xml:space="preserve">students in overall enrollment compared to </w:t>
      </w:r>
      <w:r w:rsidR="00ED5D28">
        <w:rPr>
          <w:sz w:val="22"/>
          <w:szCs w:val="22"/>
        </w:rPr>
        <w:t>2017-18</w:t>
      </w:r>
      <w:r w:rsidRPr="00E21EA2">
        <w:rPr>
          <w:sz w:val="22"/>
          <w:szCs w:val="22"/>
        </w:rPr>
        <w:t xml:space="preserve">.  </w:t>
      </w:r>
    </w:p>
    <w:p w:rsidR="00522EE0" w:rsidRDefault="00522EE0">
      <w:pPr>
        <w:rPr>
          <w:sz w:val="22"/>
          <w:szCs w:val="22"/>
        </w:rPr>
      </w:pPr>
    </w:p>
    <w:p w:rsidR="00522EE0" w:rsidRDefault="00522EE0">
      <w:pPr>
        <w:rPr>
          <w:sz w:val="22"/>
          <w:szCs w:val="22"/>
        </w:rPr>
      </w:pPr>
      <w:r>
        <w:rPr>
          <w:sz w:val="22"/>
          <w:szCs w:val="22"/>
        </w:rPr>
        <w:t>Per pupil seek is budgeted at $3,981 per ADA with total Seek funding budgeted at $9,891,409 which is the same as the 2017-18 seek projection.</w:t>
      </w:r>
    </w:p>
    <w:p w:rsidR="00681C8D" w:rsidRDefault="00681C8D">
      <w:pPr>
        <w:rPr>
          <w:sz w:val="22"/>
          <w:szCs w:val="22"/>
        </w:rPr>
      </w:pPr>
    </w:p>
    <w:p w:rsidR="00681C8D" w:rsidRDefault="00681C8D">
      <w:pPr>
        <w:rPr>
          <w:sz w:val="22"/>
          <w:szCs w:val="22"/>
        </w:rPr>
      </w:pPr>
    </w:p>
    <w:p w:rsidR="00681C8D" w:rsidRPr="00E21EA2" w:rsidRDefault="00681C8D">
      <w:pPr>
        <w:rPr>
          <w:sz w:val="22"/>
          <w:szCs w:val="22"/>
        </w:rPr>
      </w:pPr>
    </w:p>
    <w:p w:rsidR="007A0089" w:rsidRPr="00E21EA2" w:rsidRDefault="00272610">
      <w:pPr>
        <w:pStyle w:val="Heading3"/>
        <w:rPr>
          <w:sz w:val="22"/>
          <w:szCs w:val="22"/>
        </w:rPr>
      </w:pPr>
      <w:r w:rsidRPr="00E21EA2">
        <w:rPr>
          <w:sz w:val="22"/>
          <w:szCs w:val="22"/>
        </w:rPr>
        <w:t>Table B</w:t>
      </w:r>
    </w:p>
    <w:p w:rsidR="007A0089" w:rsidRPr="00E21EA2" w:rsidRDefault="00272610">
      <w:pPr>
        <w:pStyle w:val="Heading3"/>
        <w:rPr>
          <w:sz w:val="22"/>
          <w:szCs w:val="22"/>
        </w:rPr>
      </w:pPr>
      <w:r w:rsidRPr="00E21EA2">
        <w:rPr>
          <w:sz w:val="22"/>
          <w:szCs w:val="22"/>
        </w:rPr>
        <w:t xml:space="preserve">Projected Enrollment - </w:t>
      </w:r>
      <w:r w:rsidR="00F27CE1" w:rsidRPr="00E21EA2">
        <w:rPr>
          <w:sz w:val="22"/>
          <w:szCs w:val="22"/>
        </w:rPr>
        <w:t>Elizabethtown Independent Schools</w:t>
      </w:r>
    </w:p>
    <w:p w:rsidR="007A0089" w:rsidRPr="00E21EA2" w:rsidRDefault="00272610">
      <w:pPr>
        <w:pStyle w:val="Heading3"/>
        <w:rPr>
          <w:sz w:val="22"/>
          <w:szCs w:val="22"/>
        </w:rPr>
      </w:pPr>
      <w:r w:rsidRPr="00E21EA2">
        <w:rPr>
          <w:sz w:val="22"/>
          <w:szCs w:val="22"/>
        </w:rPr>
        <w:t xml:space="preserve">End of </w:t>
      </w:r>
      <w:r w:rsidR="00A244F9">
        <w:rPr>
          <w:sz w:val="22"/>
          <w:szCs w:val="22"/>
        </w:rPr>
        <w:t>Second</w:t>
      </w:r>
      <w:r w:rsidRPr="00E21EA2">
        <w:rPr>
          <w:sz w:val="22"/>
          <w:szCs w:val="22"/>
        </w:rPr>
        <w:t xml:space="preserve"> School Month</w:t>
      </w:r>
    </w:p>
    <w:p w:rsidR="007A0089" w:rsidRPr="00E21EA2" w:rsidRDefault="007A0089">
      <w:pPr>
        <w:rPr>
          <w:sz w:val="22"/>
          <w:szCs w:val="22"/>
        </w:rPr>
      </w:pPr>
    </w:p>
    <w:tbl>
      <w:tblPr>
        <w:tblW w:w="4361" w:type="pct"/>
        <w:tblCellMar>
          <w:left w:w="30" w:type="dxa"/>
          <w:right w:w="30" w:type="dxa"/>
        </w:tblCellMar>
        <w:tblLook w:val="0000"/>
      </w:tblPr>
      <w:tblGrid>
        <w:gridCol w:w="1690"/>
        <w:gridCol w:w="1009"/>
        <w:gridCol w:w="1011"/>
        <w:gridCol w:w="1011"/>
        <w:gridCol w:w="1043"/>
        <w:gridCol w:w="813"/>
        <w:gridCol w:w="1011"/>
      </w:tblGrid>
      <w:tr w:rsidR="00C15BD1" w:rsidRPr="00842A02" w:rsidTr="00041B4E">
        <w:trPr>
          <w:trHeight w:val="377"/>
        </w:trPr>
        <w:tc>
          <w:tcPr>
            <w:tcW w:w="1114" w:type="pct"/>
            <w:tcBorders>
              <w:top w:val="single" w:sz="4" w:space="0" w:color="auto"/>
              <w:left w:val="single" w:sz="4" w:space="0" w:color="auto"/>
              <w:right w:val="single" w:sz="4" w:space="0" w:color="auto"/>
            </w:tcBorders>
            <w:shd w:val="clear" w:color="auto" w:fill="D9D9D9"/>
          </w:tcPr>
          <w:p w:rsidR="00C15BD1" w:rsidRPr="00F00188" w:rsidRDefault="00C15BD1">
            <w:pPr>
              <w:rPr>
                <w:b/>
                <w:snapToGrid w:val="0"/>
                <w:sz w:val="18"/>
                <w:szCs w:val="18"/>
              </w:rPr>
            </w:pPr>
            <w:r w:rsidRPr="00F00188">
              <w:rPr>
                <w:b/>
                <w:snapToGrid w:val="0"/>
                <w:sz w:val="18"/>
                <w:szCs w:val="18"/>
              </w:rPr>
              <w:t>School</w:t>
            </w:r>
          </w:p>
        </w:tc>
        <w:tc>
          <w:tcPr>
            <w:tcW w:w="665" w:type="pct"/>
            <w:tcBorders>
              <w:top w:val="single" w:sz="4" w:space="0" w:color="auto"/>
              <w:left w:val="single" w:sz="4" w:space="0" w:color="auto"/>
              <w:right w:val="single" w:sz="4" w:space="0" w:color="auto"/>
            </w:tcBorders>
            <w:shd w:val="clear" w:color="auto" w:fill="D9D9D9"/>
          </w:tcPr>
          <w:p w:rsidR="006A23F6" w:rsidRPr="00F00188" w:rsidRDefault="006A23F6" w:rsidP="006A23F6">
            <w:pPr>
              <w:jc w:val="center"/>
              <w:rPr>
                <w:b/>
                <w:snapToGrid w:val="0"/>
                <w:sz w:val="18"/>
                <w:szCs w:val="18"/>
              </w:rPr>
            </w:pPr>
            <w:r>
              <w:rPr>
                <w:b/>
                <w:snapToGrid w:val="0"/>
                <w:sz w:val="18"/>
                <w:szCs w:val="18"/>
              </w:rPr>
              <w:t>Actual</w:t>
            </w:r>
          </w:p>
        </w:tc>
        <w:tc>
          <w:tcPr>
            <w:tcW w:w="666"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Actual</w:t>
            </w:r>
          </w:p>
        </w:tc>
        <w:tc>
          <w:tcPr>
            <w:tcW w:w="666" w:type="pct"/>
            <w:tcBorders>
              <w:top w:val="single" w:sz="4" w:space="0" w:color="auto"/>
              <w:left w:val="single" w:sz="4" w:space="0" w:color="auto"/>
              <w:right w:val="single" w:sz="4" w:space="0" w:color="auto"/>
            </w:tcBorders>
            <w:shd w:val="clear" w:color="auto" w:fill="D9D9D9"/>
          </w:tcPr>
          <w:p w:rsidR="00C15BD1" w:rsidRPr="00F00188" w:rsidRDefault="006A23F6" w:rsidP="00F2408A">
            <w:pPr>
              <w:jc w:val="center"/>
              <w:rPr>
                <w:b/>
                <w:snapToGrid w:val="0"/>
                <w:sz w:val="18"/>
                <w:szCs w:val="18"/>
              </w:rPr>
            </w:pPr>
            <w:r>
              <w:rPr>
                <w:b/>
                <w:snapToGrid w:val="0"/>
                <w:sz w:val="18"/>
                <w:szCs w:val="18"/>
              </w:rPr>
              <w:t>Actual</w:t>
            </w:r>
          </w:p>
        </w:tc>
        <w:tc>
          <w:tcPr>
            <w:tcW w:w="687" w:type="pct"/>
            <w:tcBorders>
              <w:top w:val="single" w:sz="4" w:space="0" w:color="auto"/>
              <w:left w:val="single" w:sz="4" w:space="0" w:color="auto"/>
              <w:right w:val="single" w:sz="4" w:space="0" w:color="auto"/>
            </w:tcBorders>
            <w:shd w:val="clear" w:color="auto" w:fill="D9D9D9"/>
          </w:tcPr>
          <w:p w:rsidR="00C15BD1" w:rsidRPr="00F00188" w:rsidRDefault="006A23F6" w:rsidP="00A7146A">
            <w:pPr>
              <w:jc w:val="center"/>
              <w:rPr>
                <w:b/>
                <w:snapToGrid w:val="0"/>
                <w:sz w:val="18"/>
                <w:szCs w:val="18"/>
              </w:rPr>
            </w:pPr>
            <w:r>
              <w:rPr>
                <w:b/>
                <w:snapToGrid w:val="0"/>
                <w:sz w:val="18"/>
                <w:szCs w:val="18"/>
              </w:rPr>
              <w:t>Actual</w:t>
            </w:r>
          </w:p>
        </w:tc>
        <w:tc>
          <w:tcPr>
            <w:tcW w:w="536" w:type="pct"/>
            <w:tcBorders>
              <w:top w:val="single" w:sz="4" w:space="0" w:color="auto"/>
              <w:left w:val="single" w:sz="4" w:space="0" w:color="auto"/>
              <w:right w:val="single" w:sz="4" w:space="0" w:color="auto"/>
            </w:tcBorders>
            <w:shd w:val="clear" w:color="auto" w:fill="D9D9D9"/>
          </w:tcPr>
          <w:p w:rsidR="00C15BD1" w:rsidRDefault="00C15BD1">
            <w:pPr>
              <w:jc w:val="center"/>
              <w:rPr>
                <w:b/>
                <w:snapToGrid w:val="0"/>
                <w:sz w:val="18"/>
                <w:szCs w:val="18"/>
              </w:rPr>
            </w:pPr>
            <w:r>
              <w:rPr>
                <w:b/>
                <w:snapToGrid w:val="0"/>
                <w:sz w:val="18"/>
                <w:szCs w:val="18"/>
              </w:rPr>
              <w:t>Projected</w:t>
            </w:r>
          </w:p>
          <w:p w:rsidR="00C15BD1" w:rsidRPr="00F00188" w:rsidRDefault="00C15BD1">
            <w:pPr>
              <w:jc w:val="center"/>
              <w:rPr>
                <w:b/>
                <w:snapToGrid w:val="0"/>
                <w:sz w:val="18"/>
                <w:szCs w:val="18"/>
              </w:rPr>
            </w:pPr>
          </w:p>
        </w:tc>
        <w:tc>
          <w:tcPr>
            <w:tcW w:w="666"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Change</w:t>
            </w:r>
          </w:p>
        </w:tc>
      </w:tr>
      <w:tr w:rsidR="008A26B0" w:rsidRPr="00842A02" w:rsidTr="00041B4E">
        <w:trPr>
          <w:trHeight w:val="250"/>
        </w:trPr>
        <w:tc>
          <w:tcPr>
            <w:tcW w:w="1114" w:type="pct"/>
            <w:tcBorders>
              <w:left w:val="single" w:sz="4" w:space="0" w:color="auto"/>
              <w:bottom w:val="single" w:sz="4" w:space="0" w:color="auto"/>
              <w:right w:val="single" w:sz="4" w:space="0" w:color="auto"/>
            </w:tcBorders>
            <w:shd w:val="clear" w:color="auto" w:fill="D9D9D9"/>
          </w:tcPr>
          <w:p w:rsidR="008A26B0" w:rsidRPr="00F00188" w:rsidRDefault="008A26B0">
            <w:pPr>
              <w:jc w:val="right"/>
              <w:rPr>
                <w:snapToGrid w:val="0"/>
                <w:sz w:val="18"/>
                <w:szCs w:val="18"/>
              </w:rPr>
            </w:pPr>
          </w:p>
        </w:tc>
        <w:tc>
          <w:tcPr>
            <w:tcW w:w="665" w:type="pct"/>
            <w:tcBorders>
              <w:left w:val="single" w:sz="4" w:space="0" w:color="auto"/>
              <w:bottom w:val="single" w:sz="4" w:space="0" w:color="auto"/>
              <w:right w:val="single" w:sz="4" w:space="0" w:color="auto"/>
            </w:tcBorders>
            <w:shd w:val="clear" w:color="auto" w:fill="D9D9D9"/>
          </w:tcPr>
          <w:p w:rsidR="008A26B0" w:rsidRPr="00F00188" w:rsidRDefault="006A23F6" w:rsidP="001B3148">
            <w:pPr>
              <w:jc w:val="center"/>
              <w:rPr>
                <w:b/>
                <w:snapToGrid w:val="0"/>
                <w:sz w:val="18"/>
                <w:szCs w:val="18"/>
              </w:rPr>
            </w:pPr>
            <w:r>
              <w:rPr>
                <w:b/>
                <w:snapToGrid w:val="0"/>
                <w:sz w:val="18"/>
                <w:szCs w:val="18"/>
              </w:rPr>
              <w:t>2014-15</w:t>
            </w:r>
          </w:p>
        </w:tc>
        <w:tc>
          <w:tcPr>
            <w:tcW w:w="666" w:type="pct"/>
            <w:tcBorders>
              <w:left w:val="single" w:sz="4" w:space="0" w:color="auto"/>
              <w:bottom w:val="single" w:sz="4" w:space="0" w:color="auto"/>
              <w:right w:val="single" w:sz="4" w:space="0" w:color="auto"/>
            </w:tcBorders>
            <w:shd w:val="clear" w:color="auto" w:fill="D9D9D9"/>
          </w:tcPr>
          <w:p w:rsidR="008A26B0" w:rsidRPr="00F00188" w:rsidRDefault="006A23F6" w:rsidP="001B3148">
            <w:pPr>
              <w:jc w:val="center"/>
              <w:rPr>
                <w:b/>
                <w:snapToGrid w:val="0"/>
                <w:sz w:val="18"/>
                <w:szCs w:val="18"/>
              </w:rPr>
            </w:pPr>
            <w:r>
              <w:rPr>
                <w:b/>
                <w:snapToGrid w:val="0"/>
                <w:sz w:val="18"/>
                <w:szCs w:val="18"/>
              </w:rPr>
              <w:t>2015-16</w:t>
            </w:r>
          </w:p>
        </w:tc>
        <w:tc>
          <w:tcPr>
            <w:tcW w:w="666" w:type="pct"/>
            <w:tcBorders>
              <w:left w:val="single" w:sz="4" w:space="0" w:color="auto"/>
              <w:bottom w:val="single" w:sz="4" w:space="0" w:color="auto"/>
              <w:right w:val="single" w:sz="4" w:space="0" w:color="auto"/>
            </w:tcBorders>
            <w:shd w:val="clear" w:color="auto" w:fill="D9D9D9"/>
          </w:tcPr>
          <w:p w:rsidR="008A26B0" w:rsidRPr="00F00188" w:rsidRDefault="006A23F6" w:rsidP="001B3148">
            <w:pPr>
              <w:jc w:val="center"/>
              <w:rPr>
                <w:b/>
                <w:snapToGrid w:val="0"/>
                <w:sz w:val="18"/>
                <w:szCs w:val="18"/>
              </w:rPr>
            </w:pPr>
            <w:r>
              <w:rPr>
                <w:b/>
                <w:snapToGrid w:val="0"/>
                <w:sz w:val="18"/>
                <w:szCs w:val="18"/>
              </w:rPr>
              <w:t>2016-17</w:t>
            </w:r>
          </w:p>
        </w:tc>
        <w:tc>
          <w:tcPr>
            <w:tcW w:w="687" w:type="pct"/>
            <w:tcBorders>
              <w:left w:val="single" w:sz="4" w:space="0" w:color="auto"/>
              <w:bottom w:val="single" w:sz="4" w:space="0" w:color="auto"/>
              <w:right w:val="single" w:sz="4" w:space="0" w:color="auto"/>
            </w:tcBorders>
            <w:shd w:val="clear" w:color="auto" w:fill="D9D9D9"/>
          </w:tcPr>
          <w:p w:rsidR="008A26B0" w:rsidRPr="00F00188" w:rsidRDefault="006A23F6" w:rsidP="001B3148">
            <w:pPr>
              <w:jc w:val="center"/>
              <w:rPr>
                <w:b/>
                <w:snapToGrid w:val="0"/>
                <w:sz w:val="18"/>
                <w:szCs w:val="18"/>
              </w:rPr>
            </w:pPr>
            <w:r>
              <w:rPr>
                <w:b/>
                <w:snapToGrid w:val="0"/>
                <w:sz w:val="18"/>
                <w:szCs w:val="18"/>
              </w:rPr>
              <w:t>2017-18</w:t>
            </w:r>
          </w:p>
        </w:tc>
        <w:tc>
          <w:tcPr>
            <w:tcW w:w="536" w:type="pct"/>
            <w:tcBorders>
              <w:left w:val="single" w:sz="4" w:space="0" w:color="auto"/>
              <w:bottom w:val="single" w:sz="4" w:space="0" w:color="auto"/>
              <w:right w:val="single" w:sz="4" w:space="0" w:color="auto"/>
            </w:tcBorders>
            <w:shd w:val="clear" w:color="auto" w:fill="D9D9D9"/>
          </w:tcPr>
          <w:p w:rsidR="008A26B0" w:rsidRPr="00F00188" w:rsidRDefault="00EC7D50" w:rsidP="003F312A">
            <w:pPr>
              <w:jc w:val="center"/>
              <w:rPr>
                <w:b/>
                <w:snapToGrid w:val="0"/>
                <w:sz w:val="18"/>
                <w:szCs w:val="18"/>
              </w:rPr>
            </w:pPr>
            <w:r>
              <w:rPr>
                <w:b/>
                <w:snapToGrid w:val="0"/>
                <w:sz w:val="18"/>
                <w:szCs w:val="18"/>
              </w:rPr>
              <w:t>2018-19</w:t>
            </w:r>
          </w:p>
        </w:tc>
        <w:tc>
          <w:tcPr>
            <w:tcW w:w="666" w:type="pct"/>
            <w:tcBorders>
              <w:left w:val="single" w:sz="4" w:space="0" w:color="auto"/>
              <w:bottom w:val="single" w:sz="4" w:space="0" w:color="auto"/>
              <w:right w:val="single" w:sz="4" w:space="0" w:color="auto"/>
            </w:tcBorders>
            <w:shd w:val="clear" w:color="auto" w:fill="D9D9D9"/>
          </w:tcPr>
          <w:p w:rsidR="008A26B0" w:rsidRPr="00F00188" w:rsidRDefault="008A26B0" w:rsidP="00F2408A">
            <w:pPr>
              <w:jc w:val="center"/>
              <w:rPr>
                <w:b/>
                <w:snapToGrid w:val="0"/>
                <w:sz w:val="18"/>
                <w:szCs w:val="18"/>
              </w:rPr>
            </w:pPr>
            <w:r w:rsidRPr="00F00188">
              <w:rPr>
                <w:b/>
                <w:snapToGrid w:val="0"/>
                <w:sz w:val="18"/>
                <w:szCs w:val="18"/>
              </w:rPr>
              <w:t>1 year</w:t>
            </w:r>
          </w:p>
        </w:tc>
      </w:tr>
      <w:tr w:rsidR="008A26B0" w:rsidRPr="00842A02" w:rsidTr="00041B4E">
        <w:trPr>
          <w:trHeight w:val="250"/>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F27CE1">
            <w:pPr>
              <w:rPr>
                <w:snapToGrid w:val="0"/>
                <w:sz w:val="18"/>
                <w:szCs w:val="18"/>
              </w:rPr>
            </w:pPr>
            <w:r>
              <w:rPr>
                <w:snapToGrid w:val="0"/>
                <w:sz w:val="18"/>
                <w:szCs w:val="18"/>
              </w:rPr>
              <w:t>Panther Academy</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175</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153</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145</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147</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pPr>
              <w:autoSpaceDE w:val="0"/>
              <w:autoSpaceDN w:val="0"/>
              <w:adjustRightInd w:val="0"/>
              <w:jc w:val="right"/>
              <w:rPr>
                <w:color w:val="000000"/>
                <w:sz w:val="18"/>
                <w:szCs w:val="18"/>
              </w:rPr>
            </w:pPr>
            <w:r>
              <w:rPr>
                <w:color w:val="000000"/>
                <w:sz w:val="18"/>
                <w:szCs w:val="18"/>
              </w:rPr>
              <w:t>150</w:t>
            </w:r>
          </w:p>
        </w:tc>
        <w:tc>
          <w:tcPr>
            <w:tcW w:w="666" w:type="pct"/>
            <w:tcBorders>
              <w:top w:val="single" w:sz="4" w:space="0" w:color="auto"/>
              <w:left w:val="single" w:sz="4" w:space="0" w:color="auto"/>
              <w:bottom w:val="single" w:sz="4" w:space="0" w:color="auto"/>
              <w:right w:val="single" w:sz="4" w:space="0" w:color="auto"/>
            </w:tcBorders>
            <w:vAlign w:val="center"/>
          </w:tcPr>
          <w:p w:rsidR="00156304" w:rsidRPr="00D35718" w:rsidRDefault="00D30942" w:rsidP="00BB6DF0">
            <w:pPr>
              <w:autoSpaceDE w:val="0"/>
              <w:autoSpaceDN w:val="0"/>
              <w:adjustRightInd w:val="0"/>
              <w:jc w:val="right"/>
              <w:rPr>
                <w:color w:val="000000"/>
                <w:sz w:val="18"/>
                <w:szCs w:val="18"/>
              </w:rPr>
            </w:pPr>
            <w:r>
              <w:rPr>
                <w:color w:val="000000"/>
                <w:sz w:val="18"/>
                <w:szCs w:val="18"/>
              </w:rPr>
              <w:t>3</w:t>
            </w:r>
          </w:p>
        </w:tc>
      </w:tr>
      <w:tr w:rsidR="008A26B0" w:rsidRPr="00842A02" w:rsidTr="00041B4E">
        <w:trPr>
          <w:trHeight w:val="359"/>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F27CE1">
            <w:pPr>
              <w:rPr>
                <w:snapToGrid w:val="0"/>
                <w:sz w:val="18"/>
                <w:szCs w:val="18"/>
              </w:rPr>
            </w:pPr>
            <w:r>
              <w:rPr>
                <w:snapToGrid w:val="0"/>
                <w:sz w:val="18"/>
                <w:szCs w:val="18"/>
              </w:rPr>
              <w:t>Helmwood</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457</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438</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438</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416</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pPr>
              <w:autoSpaceDE w:val="0"/>
              <w:autoSpaceDN w:val="0"/>
              <w:adjustRightInd w:val="0"/>
              <w:jc w:val="right"/>
              <w:rPr>
                <w:color w:val="000000"/>
                <w:sz w:val="18"/>
                <w:szCs w:val="18"/>
              </w:rPr>
            </w:pPr>
            <w:r>
              <w:rPr>
                <w:color w:val="000000"/>
                <w:sz w:val="18"/>
                <w:szCs w:val="18"/>
              </w:rPr>
              <w:t>409</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rsidP="00DA76AA">
            <w:pPr>
              <w:autoSpaceDE w:val="0"/>
              <w:autoSpaceDN w:val="0"/>
              <w:adjustRightInd w:val="0"/>
              <w:jc w:val="right"/>
              <w:rPr>
                <w:color w:val="000000"/>
                <w:sz w:val="18"/>
                <w:szCs w:val="18"/>
              </w:rPr>
            </w:pPr>
            <w:r>
              <w:rPr>
                <w:color w:val="000000"/>
                <w:sz w:val="18"/>
                <w:szCs w:val="18"/>
              </w:rPr>
              <w:t>-</w:t>
            </w:r>
            <w:r w:rsidR="00DA76AA">
              <w:rPr>
                <w:color w:val="000000"/>
                <w:sz w:val="18"/>
                <w:szCs w:val="18"/>
              </w:rPr>
              <w:t>7</w:t>
            </w:r>
          </w:p>
        </w:tc>
      </w:tr>
      <w:tr w:rsidR="008A26B0" w:rsidRPr="00842A02" w:rsidTr="00041B4E">
        <w:trPr>
          <w:trHeight w:val="250"/>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F27CE1">
            <w:pPr>
              <w:rPr>
                <w:snapToGrid w:val="0"/>
                <w:sz w:val="18"/>
                <w:szCs w:val="18"/>
              </w:rPr>
            </w:pPr>
            <w:r w:rsidRPr="00F00188">
              <w:rPr>
                <w:snapToGrid w:val="0"/>
                <w:sz w:val="18"/>
                <w:szCs w:val="18"/>
              </w:rPr>
              <w:t>Morningside</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512</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492</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469</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437</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242D14">
            <w:pPr>
              <w:autoSpaceDE w:val="0"/>
              <w:autoSpaceDN w:val="0"/>
              <w:adjustRightInd w:val="0"/>
              <w:jc w:val="right"/>
              <w:rPr>
                <w:color w:val="000000"/>
                <w:sz w:val="18"/>
                <w:szCs w:val="18"/>
              </w:rPr>
            </w:pPr>
            <w:r>
              <w:rPr>
                <w:color w:val="000000"/>
                <w:sz w:val="18"/>
                <w:szCs w:val="18"/>
              </w:rPr>
              <w:t>405</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242D14" w:rsidP="00F2408A">
            <w:pPr>
              <w:autoSpaceDE w:val="0"/>
              <w:autoSpaceDN w:val="0"/>
              <w:adjustRightInd w:val="0"/>
              <w:jc w:val="right"/>
              <w:rPr>
                <w:color w:val="000000"/>
                <w:sz w:val="18"/>
                <w:szCs w:val="18"/>
              </w:rPr>
            </w:pPr>
            <w:r>
              <w:rPr>
                <w:color w:val="000000"/>
                <w:sz w:val="18"/>
                <w:szCs w:val="18"/>
              </w:rPr>
              <w:t>-32</w:t>
            </w:r>
          </w:p>
        </w:tc>
      </w:tr>
      <w:tr w:rsidR="008A26B0" w:rsidRPr="00842A02" w:rsidTr="00041B4E">
        <w:trPr>
          <w:trHeight w:val="250"/>
        </w:trPr>
        <w:tc>
          <w:tcPr>
            <w:tcW w:w="1114"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F00188" w:rsidRDefault="008A26B0" w:rsidP="00F27CE1">
            <w:pPr>
              <w:rPr>
                <w:snapToGrid w:val="0"/>
                <w:sz w:val="18"/>
                <w:szCs w:val="18"/>
              </w:rPr>
            </w:pPr>
            <w:r w:rsidRPr="00F00188">
              <w:rPr>
                <w:snapToGrid w:val="0"/>
                <w:sz w:val="18"/>
                <w:szCs w:val="18"/>
              </w:rPr>
              <w:t>All Elementary</w:t>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1144</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1083</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1052</w:t>
            </w:r>
          </w:p>
        </w:tc>
        <w:tc>
          <w:tcPr>
            <w:tcW w:w="687"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1000</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242D14">
            <w:pPr>
              <w:autoSpaceDE w:val="0"/>
              <w:autoSpaceDN w:val="0"/>
              <w:adjustRightInd w:val="0"/>
              <w:jc w:val="right"/>
              <w:rPr>
                <w:color w:val="000000"/>
                <w:sz w:val="18"/>
                <w:szCs w:val="18"/>
              </w:rPr>
            </w:pPr>
            <w:r>
              <w:rPr>
                <w:color w:val="000000"/>
                <w:sz w:val="18"/>
                <w:szCs w:val="18"/>
              </w:rPr>
              <w:t>964</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D30942" w:rsidP="00242D14">
            <w:pPr>
              <w:autoSpaceDE w:val="0"/>
              <w:autoSpaceDN w:val="0"/>
              <w:adjustRightInd w:val="0"/>
              <w:jc w:val="right"/>
              <w:rPr>
                <w:color w:val="000000"/>
                <w:sz w:val="18"/>
                <w:szCs w:val="18"/>
              </w:rPr>
            </w:pPr>
            <w:r>
              <w:rPr>
                <w:color w:val="000000"/>
                <w:sz w:val="18"/>
                <w:szCs w:val="18"/>
              </w:rPr>
              <w:t>-</w:t>
            </w:r>
            <w:r w:rsidR="00242D14">
              <w:rPr>
                <w:color w:val="000000"/>
                <w:sz w:val="18"/>
                <w:szCs w:val="18"/>
              </w:rPr>
              <w:t>36</w:t>
            </w:r>
          </w:p>
        </w:tc>
      </w:tr>
      <w:tr w:rsidR="008A26B0" w:rsidRPr="00842A02" w:rsidTr="00041B4E">
        <w:trPr>
          <w:trHeight w:val="264"/>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F27CE1">
            <w:pPr>
              <w:rPr>
                <w:snapToGrid w:val="0"/>
                <w:sz w:val="18"/>
                <w:szCs w:val="18"/>
              </w:rPr>
            </w:pPr>
            <w:r w:rsidRPr="00F00188">
              <w:rPr>
                <w:snapToGrid w:val="0"/>
                <w:sz w:val="18"/>
                <w:szCs w:val="18"/>
              </w:rPr>
              <w:t>TK Stone MS</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574</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526</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552</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579</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242D14">
            <w:pPr>
              <w:autoSpaceDE w:val="0"/>
              <w:autoSpaceDN w:val="0"/>
              <w:adjustRightInd w:val="0"/>
              <w:jc w:val="right"/>
              <w:rPr>
                <w:color w:val="000000"/>
                <w:sz w:val="18"/>
                <w:szCs w:val="18"/>
              </w:rPr>
            </w:pPr>
            <w:r>
              <w:rPr>
                <w:color w:val="000000"/>
                <w:sz w:val="18"/>
                <w:szCs w:val="18"/>
              </w:rPr>
              <w:t>595</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242D14" w:rsidP="00F2408A">
            <w:pPr>
              <w:autoSpaceDE w:val="0"/>
              <w:autoSpaceDN w:val="0"/>
              <w:adjustRightInd w:val="0"/>
              <w:jc w:val="right"/>
              <w:rPr>
                <w:color w:val="000000"/>
                <w:sz w:val="18"/>
                <w:szCs w:val="18"/>
              </w:rPr>
            </w:pPr>
            <w:r>
              <w:rPr>
                <w:color w:val="000000"/>
                <w:sz w:val="18"/>
                <w:szCs w:val="18"/>
              </w:rPr>
              <w:t>16</w:t>
            </w:r>
          </w:p>
        </w:tc>
      </w:tr>
      <w:tr w:rsidR="008A26B0" w:rsidRPr="00842A02" w:rsidTr="00041B4E">
        <w:trPr>
          <w:trHeight w:val="264"/>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F27CE1">
            <w:pPr>
              <w:rPr>
                <w:snapToGrid w:val="0"/>
                <w:sz w:val="18"/>
                <w:szCs w:val="18"/>
              </w:rPr>
            </w:pPr>
            <w:r w:rsidRPr="00F00188">
              <w:rPr>
                <w:snapToGrid w:val="0"/>
                <w:sz w:val="18"/>
                <w:szCs w:val="18"/>
              </w:rPr>
              <w:t>Etown HS</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822</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769</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749</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764</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836FF8" w:rsidP="00D30942">
            <w:pPr>
              <w:autoSpaceDE w:val="0"/>
              <w:autoSpaceDN w:val="0"/>
              <w:adjustRightInd w:val="0"/>
              <w:jc w:val="right"/>
              <w:rPr>
                <w:color w:val="000000"/>
                <w:sz w:val="18"/>
                <w:szCs w:val="18"/>
              </w:rPr>
            </w:pPr>
            <w:r>
              <w:rPr>
                <w:color w:val="000000"/>
                <w:sz w:val="18"/>
                <w:szCs w:val="18"/>
              </w:rPr>
              <w:t>7</w:t>
            </w:r>
            <w:r w:rsidR="00D30942">
              <w:rPr>
                <w:color w:val="000000"/>
                <w:sz w:val="18"/>
                <w:szCs w:val="18"/>
              </w:rPr>
              <w:t>60</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rsidP="0086155A">
            <w:pPr>
              <w:autoSpaceDE w:val="0"/>
              <w:autoSpaceDN w:val="0"/>
              <w:adjustRightInd w:val="0"/>
              <w:jc w:val="right"/>
              <w:rPr>
                <w:color w:val="000000"/>
                <w:sz w:val="18"/>
                <w:szCs w:val="18"/>
              </w:rPr>
            </w:pPr>
            <w:r>
              <w:rPr>
                <w:color w:val="000000"/>
                <w:sz w:val="18"/>
                <w:szCs w:val="18"/>
              </w:rPr>
              <w:t>-4</w:t>
            </w:r>
          </w:p>
        </w:tc>
      </w:tr>
      <w:tr w:rsidR="008A26B0" w:rsidRPr="00842A02" w:rsidTr="00041B4E">
        <w:trPr>
          <w:trHeight w:val="264"/>
        </w:trPr>
        <w:tc>
          <w:tcPr>
            <w:tcW w:w="1114" w:type="pct"/>
            <w:tcBorders>
              <w:top w:val="single" w:sz="4" w:space="0" w:color="auto"/>
              <w:left w:val="single" w:sz="4" w:space="0" w:color="auto"/>
              <w:bottom w:val="single" w:sz="4" w:space="0" w:color="auto"/>
              <w:right w:val="single" w:sz="4" w:space="0" w:color="auto"/>
            </w:tcBorders>
            <w:vAlign w:val="center"/>
          </w:tcPr>
          <w:p w:rsidR="008A26B0" w:rsidRPr="00F00188" w:rsidRDefault="008A26B0" w:rsidP="00082C97">
            <w:pPr>
              <w:rPr>
                <w:snapToGrid w:val="0"/>
                <w:sz w:val="18"/>
                <w:szCs w:val="18"/>
              </w:rPr>
            </w:pPr>
            <w:r w:rsidRPr="00F00188">
              <w:rPr>
                <w:snapToGrid w:val="0"/>
                <w:sz w:val="18"/>
                <w:szCs w:val="18"/>
              </w:rPr>
              <w:t>Homebound</w:t>
            </w:r>
            <w:r>
              <w:rPr>
                <w:snapToGrid w:val="0"/>
                <w:sz w:val="18"/>
                <w:szCs w:val="18"/>
              </w:rPr>
              <w:t>/GDC/VV</w:t>
            </w:r>
          </w:p>
        </w:tc>
        <w:tc>
          <w:tcPr>
            <w:tcW w:w="665"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29</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31</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46</w:t>
            </w:r>
          </w:p>
        </w:tc>
        <w:tc>
          <w:tcPr>
            <w:tcW w:w="687" w:type="pct"/>
            <w:tcBorders>
              <w:top w:val="single" w:sz="4" w:space="0" w:color="auto"/>
              <w:left w:val="single" w:sz="4" w:space="0" w:color="auto"/>
              <w:bottom w:val="single" w:sz="4" w:space="0" w:color="auto"/>
              <w:right w:val="single" w:sz="4" w:space="0" w:color="auto"/>
            </w:tcBorders>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30</w:t>
            </w:r>
          </w:p>
        </w:tc>
        <w:tc>
          <w:tcPr>
            <w:tcW w:w="53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pPr>
              <w:autoSpaceDE w:val="0"/>
              <w:autoSpaceDN w:val="0"/>
              <w:adjustRightInd w:val="0"/>
              <w:jc w:val="right"/>
              <w:rPr>
                <w:color w:val="000000"/>
                <w:sz w:val="18"/>
                <w:szCs w:val="18"/>
              </w:rPr>
            </w:pPr>
            <w:r>
              <w:rPr>
                <w:color w:val="000000"/>
                <w:sz w:val="18"/>
                <w:szCs w:val="18"/>
              </w:rPr>
              <w:t>26</w:t>
            </w:r>
          </w:p>
        </w:tc>
        <w:tc>
          <w:tcPr>
            <w:tcW w:w="666" w:type="pct"/>
            <w:tcBorders>
              <w:top w:val="single" w:sz="4" w:space="0" w:color="auto"/>
              <w:left w:val="single" w:sz="4" w:space="0" w:color="auto"/>
              <w:bottom w:val="single" w:sz="4" w:space="0" w:color="auto"/>
              <w:right w:val="single" w:sz="4" w:space="0" w:color="auto"/>
            </w:tcBorders>
            <w:vAlign w:val="center"/>
          </w:tcPr>
          <w:p w:rsidR="008A26B0" w:rsidRPr="00D35718" w:rsidRDefault="00D30942" w:rsidP="00BB6DF0">
            <w:pPr>
              <w:autoSpaceDE w:val="0"/>
              <w:autoSpaceDN w:val="0"/>
              <w:adjustRightInd w:val="0"/>
              <w:jc w:val="right"/>
              <w:rPr>
                <w:color w:val="000000"/>
                <w:sz w:val="18"/>
                <w:szCs w:val="18"/>
              </w:rPr>
            </w:pPr>
            <w:r>
              <w:rPr>
                <w:color w:val="000000"/>
                <w:sz w:val="18"/>
                <w:szCs w:val="18"/>
              </w:rPr>
              <w:t>-4</w:t>
            </w:r>
          </w:p>
        </w:tc>
      </w:tr>
      <w:tr w:rsidR="008A26B0" w:rsidRPr="00842A02" w:rsidTr="00041B4E">
        <w:trPr>
          <w:trHeight w:val="264"/>
        </w:trPr>
        <w:tc>
          <w:tcPr>
            <w:tcW w:w="1114"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F00188" w:rsidRDefault="008A26B0">
            <w:pPr>
              <w:rPr>
                <w:b/>
                <w:snapToGrid w:val="0"/>
                <w:sz w:val="18"/>
                <w:szCs w:val="18"/>
              </w:rPr>
            </w:pPr>
            <w:r w:rsidRPr="00F00188">
              <w:rPr>
                <w:b/>
                <w:snapToGrid w:val="0"/>
                <w:sz w:val="18"/>
                <w:szCs w:val="18"/>
              </w:rPr>
              <w:t>All K-12</w:t>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2569</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2409</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2399</w:t>
            </w:r>
          </w:p>
        </w:tc>
        <w:tc>
          <w:tcPr>
            <w:tcW w:w="687"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6A23F6" w:rsidP="001B3148">
            <w:pPr>
              <w:autoSpaceDE w:val="0"/>
              <w:autoSpaceDN w:val="0"/>
              <w:adjustRightInd w:val="0"/>
              <w:jc w:val="right"/>
              <w:rPr>
                <w:color w:val="000000"/>
                <w:sz w:val="18"/>
                <w:szCs w:val="18"/>
              </w:rPr>
            </w:pPr>
            <w:r>
              <w:rPr>
                <w:color w:val="000000"/>
                <w:sz w:val="18"/>
                <w:szCs w:val="18"/>
              </w:rPr>
              <w:t>2373</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242D14" w:rsidP="00DA76AA">
            <w:pPr>
              <w:autoSpaceDE w:val="0"/>
              <w:autoSpaceDN w:val="0"/>
              <w:adjustRightInd w:val="0"/>
              <w:jc w:val="right"/>
              <w:rPr>
                <w:color w:val="000000"/>
                <w:sz w:val="18"/>
                <w:szCs w:val="18"/>
              </w:rPr>
            </w:pPr>
            <w:r>
              <w:rPr>
                <w:color w:val="000000"/>
                <w:sz w:val="18"/>
                <w:szCs w:val="18"/>
              </w:rPr>
              <w:t>2345</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8A26B0" w:rsidRPr="00D35718" w:rsidRDefault="00D30942" w:rsidP="00242D14">
            <w:pPr>
              <w:autoSpaceDE w:val="0"/>
              <w:autoSpaceDN w:val="0"/>
              <w:adjustRightInd w:val="0"/>
              <w:jc w:val="right"/>
              <w:rPr>
                <w:color w:val="000000"/>
                <w:sz w:val="18"/>
                <w:szCs w:val="18"/>
              </w:rPr>
            </w:pPr>
            <w:r>
              <w:rPr>
                <w:color w:val="000000"/>
                <w:sz w:val="18"/>
                <w:szCs w:val="18"/>
              </w:rPr>
              <w:t>-</w:t>
            </w:r>
            <w:r w:rsidR="00242D14">
              <w:rPr>
                <w:color w:val="000000"/>
                <w:sz w:val="18"/>
                <w:szCs w:val="18"/>
              </w:rPr>
              <w:t>28</w:t>
            </w:r>
          </w:p>
        </w:tc>
      </w:tr>
    </w:tbl>
    <w:p w:rsidR="007A0089" w:rsidRDefault="007A0089">
      <w:pPr>
        <w:rPr>
          <w:i/>
          <w:sz w:val="22"/>
          <w:szCs w:val="22"/>
        </w:rPr>
      </w:pPr>
    </w:p>
    <w:p w:rsidR="0075371B" w:rsidRPr="00E21EA2" w:rsidRDefault="00272610">
      <w:pPr>
        <w:pStyle w:val="BodyText"/>
        <w:rPr>
          <w:sz w:val="22"/>
          <w:szCs w:val="22"/>
        </w:rPr>
      </w:pPr>
      <w:r w:rsidRPr="00E21EA2">
        <w:rPr>
          <w:b/>
          <w:sz w:val="22"/>
          <w:szCs w:val="22"/>
          <w:u w:val="single"/>
        </w:rPr>
        <w:t>Assessment of Taxable Property</w:t>
      </w:r>
      <w:r w:rsidRPr="00E21EA2">
        <w:rPr>
          <w:sz w:val="22"/>
          <w:szCs w:val="22"/>
        </w:rPr>
        <w:t xml:space="preserve">:  Local/State revenue projections for </w:t>
      </w:r>
      <w:r w:rsidR="00E13B43">
        <w:rPr>
          <w:sz w:val="22"/>
          <w:szCs w:val="22"/>
        </w:rPr>
        <w:t>2018-19</w:t>
      </w:r>
      <w:r w:rsidRPr="00E21EA2">
        <w:rPr>
          <w:sz w:val="22"/>
          <w:szCs w:val="22"/>
        </w:rPr>
        <w:t xml:space="preserve"> are based on the projected number of pupils in ADA and a projection of assessed value of property subject to school taxation at the </w:t>
      </w:r>
      <w:r w:rsidR="00E13B43">
        <w:rPr>
          <w:sz w:val="22"/>
          <w:szCs w:val="22"/>
        </w:rPr>
        <w:t>2017-18</w:t>
      </w:r>
      <w:r w:rsidRPr="00E21EA2">
        <w:rPr>
          <w:sz w:val="22"/>
          <w:szCs w:val="22"/>
        </w:rPr>
        <w:t xml:space="preserve"> tax rate.  The state SEEK funding program was designed to equalize funding based on the assessed value of taxable property per pupil.</w:t>
      </w:r>
      <w:r w:rsidR="00E91D33">
        <w:rPr>
          <w:sz w:val="22"/>
          <w:szCs w:val="22"/>
        </w:rPr>
        <w:t xml:space="preserve"> The revenue generated from local property and motor vehicle taxes are budgeted at $4,850,209 in the general fund and </w:t>
      </w:r>
      <w:r w:rsidR="00BF27DC">
        <w:rPr>
          <w:sz w:val="22"/>
          <w:szCs w:val="22"/>
        </w:rPr>
        <w:t>$</w:t>
      </w:r>
      <w:bookmarkStart w:id="0" w:name="_GoBack"/>
      <w:bookmarkEnd w:id="0"/>
      <w:r w:rsidR="00E91D33">
        <w:rPr>
          <w:sz w:val="22"/>
          <w:szCs w:val="22"/>
        </w:rPr>
        <w:t xml:space="preserve">725,778 in the building fund, which is the same as 2017-18. </w:t>
      </w:r>
    </w:p>
    <w:p w:rsidR="0075371B" w:rsidRPr="00E21EA2" w:rsidRDefault="0075371B">
      <w:pPr>
        <w:pStyle w:val="BodyText"/>
        <w:rPr>
          <w:sz w:val="22"/>
          <w:szCs w:val="22"/>
        </w:rPr>
      </w:pPr>
    </w:p>
    <w:p w:rsidR="00876BE2" w:rsidRDefault="00876BE2" w:rsidP="00876BE2">
      <w:pPr>
        <w:pStyle w:val="BodyText"/>
        <w:rPr>
          <w:sz w:val="22"/>
          <w:szCs w:val="22"/>
        </w:rPr>
      </w:pPr>
    </w:p>
    <w:p w:rsidR="007A0089" w:rsidRPr="00E21EA2" w:rsidRDefault="00272610">
      <w:pPr>
        <w:pStyle w:val="Heading5"/>
        <w:rPr>
          <w:sz w:val="22"/>
          <w:szCs w:val="22"/>
        </w:rPr>
      </w:pPr>
      <w:r w:rsidRPr="00E21EA2">
        <w:rPr>
          <w:sz w:val="22"/>
          <w:szCs w:val="22"/>
        </w:rPr>
        <w:t>PROJECTED REVENUE – GENERAL FUND</w:t>
      </w:r>
    </w:p>
    <w:p w:rsidR="00820395" w:rsidRPr="00E21EA2" w:rsidRDefault="00820395" w:rsidP="00820395">
      <w:pPr>
        <w:rPr>
          <w:sz w:val="22"/>
          <w:szCs w:val="22"/>
        </w:rPr>
      </w:pPr>
    </w:p>
    <w:p w:rsidR="009461FD" w:rsidRPr="00361952" w:rsidRDefault="009461FD" w:rsidP="009461FD">
      <w:pPr>
        <w:rPr>
          <w:sz w:val="22"/>
          <w:szCs w:val="22"/>
        </w:rPr>
      </w:pPr>
      <w:r w:rsidRPr="00E21EA2">
        <w:rPr>
          <w:b/>
          <w:sz w:val="22"/>
          <w:szCs w:val="22"/>
          <w:u w:val="single"/>
        </w:rPr>
        <w:t>Beginning General Fund Balance</w:t>
      </w:r>
      <w:r w:rsidRPr="00E21EA2">
        <w:rPr>
          <w:sz w:val="22"/>
          <w:szCs w:val="22"/>
        </w:rPr>
        <w:t xml:space="preserve">:  The unreserved General Fund beginning balance in </w:t>
      </w:r>
      <w:r>
        <w:rPr>
          <w:sz w:val="22"/>
          <w:szCs w:val="22"/>
        </w:rPr>
        <w:t>2018-19</w:t>
      </w:r>
      <w:r w:rsidRPr="00E21EA2">
        <w:rPr>
          <w:sz w:val="22"/>
          <w:szCs w:val="22"/>
        </w:rPr>
        <w:t xml:space="preserve"> is expected to be at </w:t>
      </w:r>
      <w:r w:rsidRPr="00361952">
        <w:rPr>
          <w:sz w:val="22"/>
          <w:szCs w:val="22"/>
        </w:rPr>
        <w:t>least $</w:t>
      </w:r>
      <w:r>
        <w:rPr>
          <w:sz w:val="22"/>
          <w:szCs w:val="22"/>
        </w:rPr>
        <w:t>4,966,410</w:t>
      </w:r>
      <w:r w:rsidRPr="00361952">
        <w:rPr>
          <w:sz w:val="22"/>
          <w:szCs w:val="22"/>
        </w:rPr>
        <w:t xml:space="preserve">.  This estimate of the </w:t>
      </w:r>
      <w:r>
        <w:rPr>
          <w:sz w:val="22"/>
          <w:szCs w:val="22"/>
        </w:rPr>
        <w:t>2018-19</w:t>
      </w:r>
      <w:r w:rsidRPr="00361952">
        <w:rPr>
          <w:sz w:val="22"/>
          <w:szCs w:val="22"/>
        </w:rPr>
        <w:t xml:space="preserve"> beginning General Fund balance is based on the assumption that all of the funds budgeted in </w:t>
      </w:r>
      <w:r>
        <w:rPr>
          <w:sz w:val="22"/>
          <w:szCs w:val="22"/>
        </w:rPr>
        <w:t xml:space="preserve">2017-18 </w:t>
      </w:r>
      <w:r w:rsidRPr="00361952">
        <w:rPr>
          <w:sz w:val="22"/>
          <w:szCs w:val="22"/>
        </w:rPr>
        <w:t>for revenue would be received and expenses including accumulated sick leave at retirement would be spent.</w:t>
      </w:r>
    </w:p>
    <w:p w:rsidR="009461FD" w:rsidRPr="00361952" w:rsidRDefault="009461FD" w:rsidP="009461FD">
      <w:pPr>
        <w:rPr>
          <w:sz w:val="22"/>
          <w:szCs w:val="22"/>
        </w:rPr>
      </w:pPr>
    </w:p>
    <w:p w:rsidR="009461FD" w:rsidRPr="00E21EA2" w:rsidRDefault="009461FD" w:rsidP="009461FD">
      <w:pPr>
        <w:rPr>
          <w:sz w:val="22"/>
          <w:szCs w:val="22"/>
        </w:rPr>
      </w:pPr>
      <w:r w:rsidRPr="00361952">
        <w:rPr>
          <w:sz w:val="22"/>
          <w:szCs w:val="22"/>
        </w:rPr>
        <w:t>The projected carry forward balance is $</w:t>
      </w:r>
      <w:r>
        <w:rPr>
          <w:sz w:val="22"/>
          <w:szCs w:val="22"/>
        </w:rPr>
        <w:t>762,878</w:t>
      </w:r>
      <w:r w:rsidRPr="00361952">
        <w:rPr>
          <w:sz w:val="22"/>
          <w:szCs w:val="22"/>
        </w:rPr>
        <w:t xml:space="preserve"> lower than the prior year.  However, if revenues for </w:t>
      </w:r>
      <w:r>
        <w:rPr>
          <w:sz w:val="22"/>
          <w:szCs w:val="22"/>
        </w:rPr>
        <w:t>2017-18</w:t>
      </w:r>
      <w:r w:rsidRPr="00361952">
        <w:rPr>
          <w:sz w:val="22"/>
          <w:szCs w:val="22"/>
        </w:rPr>
        <w:t xml:space="preserve"> are higher than projected or if all allocated</w:t>
      </w:r>
      <w:r w:rsidRPr="00E21EA2">
        <w:rPr>
          <w:sz w:val="22"/>
          <w:szCs w:val="22"/>
        </w:rPr>
        <w:t xml:space="preserve"> expenses are not made, a higher carry forward beginning General Fund balance may be expected for </w:t>
      </w:r>
      <w:r>
        <w:rPr>
          <w:sz w:val="22"/>
          <w:szCs w:val="22"/>
        </w:rPr>
        <w:t>2018-19</w:t>
      </w:r>
      <w:r w:rsidRPr="00E21EA2">
        <w:rPr>
          <w:sz w:val="22"/>
          <w:szCs w:val="22"/>
        </w:rPr>
        <w:t>.</w:t>
      </w:r>
    </w:p>
    <w:p w:rsidR="009461FD" w:rsidRPr="00E21EA2" w:rsidRDefault="009461FD" w:rsidP="009461FD">
      <w:pPr>
        <w:rPr>
          <w:b/>
          <w:sz w:val="22"/>
          <w:szCs w:val="22"/>
          <w:u w:val="single"/>
        </w:rPr>
      </w:pPr>
    </w:p>
    <w:p w:rsidR="009461FD" w:rsidRDefault="00820395" w:rsidP="009461FD">
      <w:pPr>
        <w:rPr>
          <w:sz w:val="22"/>
          <w:szCs w:val="22"/>
        </w:rPr>
      </w:pPr>
      <w:r w:rsidRPr="00E21EA2">
        <w:rPr>
          <w:b/>
          <w:sz w:val="22"/>
          <w:szCs w:val="22"/>
          <w:u w:val="single"/>
        </w:rPr>
        <w:t>Overall General Fund Receipts</w:t>
      </w:r>
      <w:r w:rsidRPr="00E21EA2">
        <w:rPr>
          <w:sz w:val="22"/>
          <w:szCs w:val="22"/>
        </w:rPr>
        <w:t xml:space="preserve">: </w:t>
      </w:r>
    </w:p>
    <w:p w:rsidR="009461FD" w:rsidRDefault="00820395" w:rsidP="009461FD">
      <w:pPr>
        <w:rPr>
          <w:sz w:val="22"/>
          <w:szCs w:val="22"/>
        </w:rPr>
      </w:pPr>
      <w:r w:rsidRPr="00E21EA2">
        <w:rPr>
          <w:sz w:val="22"/>
          <w:szCs w:val="22"/>
        </w:rPr>
        <w:t xml:space="preserve"> </w:t>
      </w:r>
    </w:p>
    <w:p w:rsidR="007A0089" w:rsidRDefault="00E045E1">
      <w:pPr>
        <w:rPr>
          <w:sz w:val="22"/>
          <w:szCs w:val="22"/>
        </w:rPr>
      </w:pPr>
      <w:r>
        <w:rPr>
          <w:sz w:val="22"/>
          <w:szCs w:val="22"/>
        </w:rPr>
        <w:t xml:space="preserve">All </w:t>
      </w:r>
      <w:r w:rsidR="009461FD">
        <w:rPr>
          <w:sz w:val="22"/>
          <w:szCs w:val="22"/>
        </w:rPr>
        <w:t xml:space="preserve">general fund </w:t>
      </w:r>
      <w:r>
        <w:rPr>
          <w:sz w:val="22"/>
          <w:szCs w:val="22"/>
        </w:rPr>
        <w:t>revenue</w:t>
      </w:r>
      <w:r w:rsidR="009461FD">
        <w:rPr>
          <w:sz w:val="22"/>
          <w:szCs w:val="22"/>
        </w:rPr>
        <w:t xml:space="preserve">s except beginning balance are </w:t>
      </w:r>
      <w:r>
        <w:rPr>
          <w:sz w:val="22"/>
          <w:szCs w:val="22"/>
        </w:rPr>
        <w:t xml:space="preserve">budgeted at </w:t>
      </w:r>
      <w:r w:rsidR="00E13B43">
        <w:rPr>
          <w:sz w:val="22"/>
          <w:szCs w:val="22"/>
        </w:rPr>
        <w:t>17-18</w:t>
      </w:r>
      <w:r>
        <w:rPr>
          <w:sz w:val="22"/>
          <w:szCs w:val="22"/>
        </w:rPr>
        <w:t xml:space="preserve"> levels.</w:t>
      </w:r>
    </w:p>
    <w:p w:rsidR="00E045E1" w:rsidRPr="00E21EA2" w:rsidRDefault="00E045E1">
      <w:pPr>
        <w:rPr>
          <w:b/>
          <w:i/>
          <w:sz w:val="22"/>
          <w:szCs w:val="22"/>
          <w:u w:val="single"/>
        </w:rPr>
      </w:pPr>
    </w:p>
    <w:p w:rsidR="002B7B77" w:rsidRPr="00E21EA2" w:rsidRDefault="002B7B77">
      <w:pPr>
        <w:rPr>
          <w:sz w:val="22"/>
          <w:szCs w:val="22"/>
        </w:rPr>
      </w:pPr>
    </w:p>
    <w:p w:rsidR="007A0089" w:rsidRPr="00E21EA2" w:rsidRDefault="00272610">
      <w:pPr>
        <w:pStyle w:val="Heading5"/>
        <w:rPr>
          <w:sz w:val="22"/>
          <w:szCs w:val="22"/>
        </w:rPr>
      </w:pPr>
      <w:r w:rsidRPr="00E21EA2">
        <w:rPr>
          <w:sz w:val="22"/>
          <w:szCs w:val="22"/>
        </w:rPr>
        <w:t>PROJECTED REVENUE - OTHER FUNDS</w:t>
      </w:r>
    </w:p>
    <w:p w:rsidR="007A0089" w:rsidRPr="00E21EA2" w:rsidRDefault="007A0089">
      <w:pPr>
        <w:rPr>
          <w:sz w:val="22"/>
          <w:szCs w:val="22"/>
        </w:rPr>
      </w:pPr>
    </w:p>
    <w:p w:rsidR="007A0089" w:rsidRDefault="00272610">
      <w:pPr>
        <w:rPr>
          <w:sz w:val="22"/>
          <w:szCs w:val="22"/>
        </w:rPr>
      </w:pPr>
      <w:r w:rsidRPr="00E21EA2">
        <w:rPr>
          <w:b/>
          <w:sz w:val="22"/>
          <w:szCs w:val="22"/>
          <w:u w:val="single"/>
        </w:rPr>
        <w:t>Special Revenue Fund</w:t>
      </w:r>
      <w:r w:rsidRPr="00E21EA2">
        <w:rPr>
          <w:sz w:val="22"/>
          <w:szCs w:val="22"/>
        </w:rPr>
        <w:t xml:space="preserve">:  The Draft Budget does not include any funding levels of any state or federal categorical programs.  As notice of </w:t>
      </w:r>
      <w:r w:rsidR="00E13B43">
        <w:rPr>
          <w:sz w:val="22"/>
          <w:szCs w:val="22"/>
        </w:rPr>
        <w:t>2018-19</w:t>
      </w:r>
      <w:r w:rsidRPr="00E21EA2">
        <w:rPr>
          <w:sz w:val="22"/>
          <w:szCs w:val="22"/>
        </w:rPr>
        <w:t xml:space="preserve"> state and federal funding is provided, these amounts will be inserted into the </w:t>
      </w:r>
      <w:r w:rsidR="004337AD">
        <w:rPr>
          <w:sz w:val="22"/>
          <w:szCs w:val="22"/>
        </w:rPr>
        <w:t>2017-18</w:t>
      </w:r>
      <w:r w:rsidRPr="00E21EA2">
        <w:rPr>
          <w:sz w:val="22"/>
          <w:szCs w:val="22"/>
        </w:rPr>
        <w:t xml:space="preserve"> budget as the board makes subsequent reviews.</w:t>
      </w:r>
      <w:r w:rsidR="00EC580A">
        <w:rPr>
          <w:sz w:val="22"/>
          <w:szCs w:val="22"/>
        </w:rPr>
        <w:t xml:space="preserve">  </w:t>
      </w:r>
      <w:r w:rsidRPr="00E21EA2">
        <w:rPr>
          <w:sz w:val="22"/>
          <w:szCs w:val="22"/>
        </w:rPr>
        <w:t>Hopefully, by the May Tentative Budget considerable more information will be available about special revenue funding</w:t>
      </w:r>
      <w:r w:rsidR="00EC580A">
        <w:rPr>
          <w:sz w:val="22"/>
          <w:szCs w:val="22"/>
        </w:rPr>
        <w:t>.</w:t>
      </w:r>
    </w:p>
    <w:p w:rsidR="00EC580A" w:rsidRPr="00E21EA2" w:rsidRDefault="00EC580A">
      <w:pPr>
        <w:rPr>
          <w:sz w:val="22"/>
          <w:szCs w:val="22"/>
        </w:rPr>
      </w:pPr>
    </w:p>
    <w:p w:rsidR="00404511" w:rsidRDefault="00272610">
      <w:pPr>
        <w:rPr>
          <w:sz w:val="22"/>
          <w:szCs w:val="22"/>
        </w:rPr>
      </w:pPr>
      <w:r w:rsidRPr="00E21EA2">
        <w:rPr>
          <w:b/>
          <w:sz w:val="22"/>
          <w:szCs w:val="22"/>
          <w:u w:val="single"/>
        </w:rPr>
        <w:lastRenderedPageBreak/>
        <w:t>Capital Funds</w:t>
      </w:r>
      <w:r w:rsidRPr="00E21EA2">
        <w:rPr>
          <w:sz w:val="22"/>
          <w:szCs w:val="22"/>
        </w:rPr>
        <w:t xml:space="preserve">:  SEEK Capital Outlay revenue </w:t>
      </w:r>
      <w:r w:rsidR="003A2E88">
        <w:rPr>
          <w:sz w:val="22"/>
          <w:szCs w:val="22"/>
        </w:rPr>
        <w:t xml:space="preserve">is projected </w:t>
      </w:r>
      <w:r w:rsidR="00585B74">
        <w:rPr>
          <w:sz w:val="22"/>
          <w:szCs w:val="22"/>
        </w:rPr>
        <w:t>the same as</w:t>
      </w:r>
      <w:r w:rsidRPr="00982A33">
        <w:rPr>
          <w:sz w:val="22"/>
          <w:szCs w:val="22"/>
        </w:rPr>
        <w:t xml:space="preserve"> </w:t>
      </w:r>
      <w:r w:rsidR="0029689E">
        <w:rPr>
          <w:sz w:val="22"/>
          <w:szCs w:val="22"/>
        </w:rPr>
        <w:t>2017-18</w:t>
      </w:r>
      <w:r w:rsidRPr="00982A33">
        <w:rPr>
          <w:sz w:val="22"/>
          <w:szCs w:val="22"/>
        </w:rPr>
        <w:t xml:space="preserve">.  Projected local revenue to the Building Fund shows </w:t>
      </w:r>
      <w:r w:rsidR="00DC4DC5">
        <w:rPr>
          <w:sz w:val="22"/>
          <w:szCs w:val="22"/>
        </w:rPr>
        <w:t>no change in revenue</w:t>
      </w:r>
      <w:r w:rsidRPr="00982A33">
        <w:rPr>
          <w:sz w:val="22"/>
          <w:szCs w:val="22"/>
        </w:rPr>
        <w:t xml:space="preserve">.  </w:t>
      </w:r>
      <w:r w:rsidR="00D5401A" w:rsidRPr="00982A33">
        <w:rPr>
          <w:sz w:val="22"/>
          <w:szCs w:val="22"/>
        </w:rPr>
        <w:t>State revenue</w:t>
      </w:r>
      <w:r w:rsidRPr="00982A33">
        <w:rPr>
          <w:sz w:val="22"/>
          <w:szCs w:val="22"/>
        </w:rPr>
        <w:t xml:space="preserve"> to the Building Fund is expected</w:t>
      </w:r>
      <w:r w:rsidR="00D5401A" w:rsidRPr="00982A33">
        <w:rPr>
          <w:sz w:val="22"/>
          <w:szCs w:val="22"/>
        </w:rPr>
        <w:t xml:space="preserve"> </w:t>
      </w:r>
      <w:r w:rsidR="00DD2AC5">
        <w:rPr>
          <w:sz w:val="22"/>
          <w:szCs w:val="22"/>
        </w:rPr>
        <w:t>increase</w:t>
      </w:r>
      <w:r w:rsidRPr="00982A33">
        <w:rPr>
          <w:sz w:val="22"/>
          <w:szCs w:val="22"/>
        </w:rPr>
        <w:t>.</w:t>
      </w:r>
      <w:r w:rsidR="0018182E" w:rsidRPr="00982A33">
        <w:rPr>
          <w:sz w:val="22"/>
          <w:szCs w:val="22"/>
        </w:rPr>
        <w:t xml:space="preserve">  </w:t>
      </w:r>
      <w:r w:rsidR="002F57E1" w:rsidRPr="00982A33">
        <w:rPr>
          <w:sz w:val="22"/>
          <w:szCs w:val="22"/>
        </w:rPr>
        <w:t>T</w:t>
      </w:r>
      <w:r w:rsidR="0018182E" w:rsidRPr="00982A33">
        <w:rPr>
          <w:sz w:val="22"/>
          <w:szCs w:val="22"/>
        </w:rPr>
        <w:t>he General Assembly</w:t>
      </w:r>
      <w:r w:rsidR="0018182E" w:rsidRPr="00E21EA2">
        <w:rPr>
          <w:sz w:val="22"/>
          <w:szCs w:val="22"/>
        </w:rPr>
        <w:t xml:space="preserve"> is charged by state law to set the equalization at 150% of the state average assessment per pupil for each biennium</w:t>
      </w:r>
      <w:r w:rsidR="002F57E1">
        <w:rPr>
          <w:sz w:val="22"/>
          <w:szCs w:val="22"/>
        </w:rPr>
        <w:t>.</w:t>
      </w:r>
      <w:r w:rsidR="0018182E" w:rsidRPr="00E21EA2">
        <w:rPr>
          <w:sz w:val="22"/>
          <w:szCs w:val="22"/>
        </w:rPr>
        <w:t xml:space="preserve"> </w:t>
      </w:r>
      <w:r w:rsidR="002F57E1">
        <w:rPr>
          <w:sz w:val="22"/>
          <w:szCs w:val="22"/>
        </w:rPr>
        <w:t xml:space="preserve"> T</w:t>
      </w:r>
      <w:r w:rsidR="0018182E" w:rsidRPr="00E21EA2">
        <w:rPr>
          <w:sz w:val="22"/>
          <w:szCs w:val="22"/>
        </w:rPr>
        <w:t xml:space="preserve">he state equalization level </w:t>
      </w:r>
      <w:r w:rsidR="00EC580A">
        <w:rPr>
          <w:sz w:val="22"/>
          <w:szCs w:val="22"/>
        </w:rPr>
        <w:t xml:space="preserve">for the </w:t>
      </w:r>
      <w:r w:rsidR="005C7168">
        <w:rPr>
          <w:sz w:val="22"/>
          <w:szCs w:val="22"/>
        </w:rPr>
        <w:t>budget for 2018-19</w:t>
      </w:r>
      <w:r w:rsidR="00EC580A">
        <w:rPr>
          <w:sz w:val="22"/>
          <w:szCs w:val="22"/>
        </w:rPr>
        <w:t xml:space="preserve"> is </w:t>
      </w:r>
      <w:r w:rsidR="00DD2AC5">
        <w:rPr>
          <w:sz w:val="22"/>
          <w:szCs w:val="22"/>
        </w:rPr>
        <w:t>$</w:t>
      </w:r>
      <w:r w:rsidR="0029689E">
        <w:rPr>
          <w:sz w:val="22"/>
          <w:szCs w:val="22"/>
        </w:rPr>
        <w:t>783,000</w:t>
      </w:r>
      <w:r w:rsidR="00DC4DC5">
        <w:rPr>
          <w:sz w:val="22"/>
          <w:szCs w:val="22"/>
        </w:rPr>
        <w:t xml:space="preserve">.  </w:t>
      </w:r>
    </w:p>
    <w:p w:rsidR="0029689E" w:rsidRDefault="0029689E">
      <w:pPr>
        <w:rPr>
          <w:sz w:val="22"/>
          <w:szCs w:val="22"/>
        </w:rPr>
      </w:pPr>
    </w:p>
    <w:p w:rsidR="0029689E" w:rsidRPr="00E21EA2" w:rsidRDefault="0029689E">
      <w:pPr>
        <w:rPr>
          <w:sz w:val="22"/>
          <w:szCs w:val="22"/>
        </w:rPr>
      </w:pPr>
    </w:p>
    <w:p w:rsidR="007A0089" w:rsidRPr="00E21EA2" w:rsidRDefault="00272610">
      <w:pPr>
        <w:pStyle w:val="Heading2"/>
        <w:rPr>
          <w:sz w:val="22"/>
          <w:szCs w:val="22"/>
        </w:rPr>
      </w:pPr>
      <w:r w:rsidRPr="00E21EA2">
        <w:rPr>
          <w:sz w:val="22"/>
          <w:szCs w:val="22"/>
        </w:rPr>
        <w:t>EXPENSE PROJECTIONS</w:t>
      </w:r>
    </w:p>
    <w:p w:rsidR="007A0089" w:rsidRPr="00E868E8" w:rsidRDefault="007A0089">
      <w:pPr>
        <w:rPr>
          <w:sz w:val="22"/>
          <w:szCs w:val="22"/>
        </w:rPr>
      </w:pPr>
    </w:p>
    <w:p w:rsidR="007A0089" w:rsidRPr="00E21EA2" w:rsidRDefault="00272610">
      <w:pPr>
        <w:rPr>
          <w:sz w:val="22"/>
          <w:szCs w:val="22"/>
        </w:rPr>
      </w:pPr>
      <w:r w:rsidRPr="00E21EA2">
        <w:rPr>
          <w:b/>
          <w:sz w:val="22"/>
          <w:szCs w:val="22"/>
        </w:rPr>
        <w:t>Obligations</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The Draft Budget must provide for all obligations of the Board.  </w:t>
      </w:r>
      <w:r w:rsidR="001F1CB7" w:rsidRPr="00E21EA2">
        <w:rPr>
          <w:sz w:val="22"/>
          <w:szCs w:val="22"/>
        </w:rPr>
        <w:t xml:space="preserve">The </w:t>
      </w:r>
      <w:r w:rsidR="00F27CE1" w:rsidRPr="00E21EA2">
        <w:rPr>
          <w:sz w:val="22"/>
          <w:szCs w:val="22"/>
        </w:rPr>
        <w:t>Elizabethtown Independent Schools</w:t>
      </w:r>
      <w:r w:rsidRPr="00E21EA2">
        <w:rPr>
          <w:sz w:val="22"/>
          <w:szCs w:val="22"/>
        </w:rPr>
        <w:t xml:space="preserve"> have two (2) major obligations for priority consideration in the </w:t>
      </w:r>
      <w:r w:rsidR="00494001">
        <w:rPr>
          <w:sz w:val="22"/>
          <w:szCs w:val="22"/>
        </w:rPr>
        <w:t>2018-19</w:t>
      </w:r>
      <w:r w:rsidRPr="00E21EA2">
        <w:rPr>
          <w:sz w:val="22"/>
          <w:szCs w:val="22"/>
        </w:rPr>
        <w:t xml:space="preserve"> budget.</w:t>
      </w:r>
    </w:p>
    <w:p w:rsidR="007A0089" w:rsidRPr="00E21EA2" w:rsidRDefault="007A0089">
      <w:pPr>
        <w:rPr>
          <w:sz w:val="22"/>
          <w:szCs w:val="22"/>
        </w:rPr>
      </w:pPr>
    </w:p>
    <w:p w:rsidR="007A0089" w:rsidRPr="001B319E" w:rsidRDefault="00272610">
      <w:pPr>
        <w:rPr>
          <w:sz w:val="22"/>
          <w:szCs w:val="22"/>
        </w:rPr>
      </w:pPr>
      <w:r w:rsidRPr="00E21EA2">
        <w:rPr>
          <w:b/>
          <w:sz w:val="22"/>
          <w:szCs w:val="22"/>
          <w:u w:val="single"/>
        </w:rPr>
        <w:t>Debt Service</w:t>
      </w:r>
      <w:r w:rsidRPr="00E21EA2">
        <w:rPr>
          <w:sz w:val="22"/>
          <w:szCs w:val="22"/>
        </w:rPr>
        <w:t xml:space="preserve">:  First, debt service on bond issues must be funded.  The </w:t>
      </w:r>
      <w:r w:rsidR="00373448" w:rsidRPr="00E21EA2">
        <w:rPr>
          <w:sz w:val="22"/>
          <w:szCs w:val="22"/>
        </w:rPr>
        <w:t>Elizabethtown</w:t>
      </w:r>
      <w:r w:rsidRPr="00E21EA2">
        <w:rPr>
          <w:sz w:val="22"/>
          <w:szCs w:val="22"/>
        </w:rPr>
        <w:t xml:space="preserve"> School</w:t>
      </w:r>
      <w:r w:rsidR="001F1CB7" w:rsidRPr="00E21EA2">
        <w:rPr>
          <w:sz w:val="22"/>
          <w:szCs w:val="22"/>
        </w:rPr>
        <w:t xml:space="preserve"> District’</w:t>
      </w:r>
      <w:r w:rsidRPr="00E21EA2">
        <w:rPr>
          <w:sz w:val="22"/>
          <w:szCs w:val="22"/>
        </w:rPr>
        <w:t xml:space="preserve">s scheduled debt service for </w:t>
      </w:r>
      <w:r w:rsidR="00494001">
        <w:rPr>
          <w:sz w:val="22"/>
          <w:szCs w:val="22"/>
        </w:rPr>
        <w:t>2018-19</w:t>
      </w:r>
      <w:r w:rsidRPr="00E21EA2">
        <w:rPr>
          <w:sz w:val="22"/>
          <w:szCs w:val="22"/>
        </w:rPr>
        <w:t xml:space="preserve"> is </w:t>
      </w:r>
      <w:r w:rsidRPr="001B319E">
        <w:rPr>
          <w:sz w:val="22"/>
          <w:szCs w:val="22"/>
        </w:rPr>
        <w:t>$</w:t>
      </w:r>
      <w:r w:rsidR="00EC6D11">
        <w:rPr>
          <w:sz w:val="22"/>
          <w:szCs w:val="22"/>
        </w:rPr>
        <w:t>1,</w:t>
      </w:r>
      <w:r w:rsidR="00DC431B">
        <w:rPr>
          <w:sz w:val="22"/>
          <w:szCs w:val="22"/>
        </w:rPr>
        <w:t>629.394.42</w:t>
      </w:r>
      <w:r w:rsidRPr="001B319E">
        <w:rPr>
          <w:sz w:val="22"/>
          <w:szCs w:val="22"/>
        </w:rPr>
        <w:t xml:space="preserve">.  </w:t>
      </w:r>
      <w:r w:rsidR="00373448" w:rsidRPr="001B319E">
        <w:rPr>
          <w:sz w:val="22"/>
          <w:szCs w:val="22"/>
        </w:rPr>
        <w:t>T</w:t>
      </w:r>
      <w:r w:rsidRPr="001B319E">
        <w:rPr>
          <w:sz w:val="22"/>
          <w:szCs w:val="22"/>
        </w:rPr>
        <w:t xml:space="preserve">his obligation is budgeted for payment from the </w:t>
      </w:r>
      <w:r w:rsidR="00E34922">
        <w:rPr>
          <w:sz w:val="22"/>
          <w:szCs w:val="22"/>
        </w:rPr>
        <w:t>Debt Service</w:t>
      </w:r>
      <w:r w:rsidRPr="001B319E">
        <w:rPr>
          <w:sz w:val="22"/>
          <w:szCs w:val="22"/>
        </w:rPr>
        <w:t xml:space="preserve"> </w:t>
      </w:r>
      <w:r w:rsidR="00373448" w:rsidRPr="001B319E">
        <w:rPr>
          <w:sz w:val="22"/>
          <w:szCs w:val="22"/>
        </w:rPr>
        <w:t>F</w:t>
      </w:r>
      <w:r w:rsidR="00E34922">
        <w:rPr>
          <w:sz w:val="22"/>
          <w:szCs w:val="22"/>
        </w:rPr>
        <w:t>und, however, the source of payment will be transferred from the</w:t>
      </w:r>
      <w:r w:rsidR="00320470">
        <w:rPr>
          <w:sz w:val="22"/>
          <w:szCs w:val="22"/>
        </w:rPr>
        <w:t xml:space="preserve"> General</w:t>
      </w:r>
      <w:r w:rsidR="00DC431B">
        <w:rPr>
          <w:sz w:val="22"/>
          <w:szCs w:val="22"/>
        </w:rPr>
        <w:t xml:space="preserve"> Fund at $236,331.52</w:t>
      </w:r>
      <w:r w:rsidR="00320470">
        <w:rPr>
          <w:sz w:val="22"/>
          <w:szCs w:val="22"/>
        </w:rPr>
        <w:t xml:space="preserve">, </w:t>
      </w:r>
      <w:r w:rsidR="00E34922">
        <w:rPr>
          <w:sz w:val="22"/>
          <w:szCs w:val="22"/>
        </w:rPr>
        <w:t>Bu</w:t>
      </w:r>
      <w:r w:rsidR="00DC431B">
        <w:rPr>
          <w:sz w:val="22"/>
          <w:szCs w:val="22"/>
        </w:rPr>
        <w:t>ilding and Capital Outlay Funds at $1,393,062.90</w:t>
      </w:r>
    </w:p>
    <w:p w:rsidR="007A0089" w:rsidRPr="001B319E" w:rsidRDefault="007A0089">
      <w:pPr>
        <w:rPr>
          <w:sz w:val="22"/>
          <w:szCs w:val="22"/>
        </w:rPr>
      </w:pPr>
    </w:p>
    <w:p w:rsidR="007A0089" w:rsidRDefault="009D716B">
      <w:pPr>
        <w:rPr>
          <w:sz w:val="22"/>
          <w:szCs w:val="22"/>
        </w:rPr>
      </w:pPr>
      <w:r w:rsidRPr="001B319E">
        <w:rPr>
          <w:sz w:val="22"/>
          <w:szCs w:val="22"/>
        </w:rPr>
        <w:t xml:space="preserve">The </w:t>
      </w:r>
      <w:r w:rsidR="00373448" w:rsidRPr="001B319E">
        <w:rPr>
          <w:sz w:val="22"/>
          <w:szCs w:val="22"/>
        </w:rPr>
        <w:t>Elizabethtown Independent</w:t>
      </w:r>
      <w:r w:rsidR="00272610" w:rsidRPr="001B319E">
        <w:rPr>
          <w:sz w:val="22"/>
          <w:szCs w:val="22"/>
        </w:rPr>
        <w:t xml:space="preserve"> Schools </w:t>
      </w:r>
      <w:r w:rsidR="000431CB">
        <w:rPr>
          <w:sz w:val="22"/>
          <w:szCs w:val="22"/>
        </w:rPr>
        <w:t xml:space="preserve">will </w:t>
      </w:r>
      <w:r w:rsidR="00272610" w:rsidRPr="001B319E">
        <w:rPr>
          <w:sz w:val="22"/>
          <w:szCs w:val="22"/>
        </w:rPr>
        <w:t xml:space="preserve">have sufficient capability from the </w:t>
      </w:r>
      <w:r w:rsidR="00AE262E">
        <w:rPr>
          <w:sz w:val="22"/>
          <w:szCs w:val="22"/>
        </w:rPr>
        <w:t xml:space="preserve">General, </w:t>
      </w:r>
      <w:r w:rsidR="00EC580A" w:rsidRPr="001B319E">
        <w:rPr>
          <w:sz w:val="22"/>
          <w:szCs w:val="22"/>
        </w:rPr>
        <w:t>B</w:t>
      </w:r>
      <w:r w:rsidR="00272610" w:rsidRPr="001B319E">
        <w:rPr>
          <w:sz w:val="22"/>
          <w:szCs w:val="22"/>
        </w:rPr>
        <w:t xml:space="preserve">uilding and </w:t>
      </w:r>
      <w:r w:rsidR="00EC580A" w:rsidRPr="001B319E">
        <w:rPr>
          <w:sz w:val="22"/>
          <w:szCs w:val="22"/>
        </w:rPr>
        <w:t>C</w:t>
      </w:r>
      <w:r w:rsidR="00272610" w:rsidRPr="001B319E">
        <w:rPr>
          <w:sz w:val="22"/>
          <w:szCs w:val="22"/>
        </w:rPr>
        <w:t xml:space="preserve">apital </w:t>
      </w:r>
      <w:r w:rsidR="00EC580A" w:rsidRPr="001B319E">
        <w:rPr>
          <w:sz w:val="22"/>
          <w:szCs w:val="22"/>
        </w:rPr>
        <w:t>O</w:t>
      </w:r>
      <w:r w:rsidR="00272610" w:rsidRPr="001B319E">
        <w:rPr>
          <w:sz w:val="22"/>
          <w:szCs w:val="22"/>
        </w:rPr>
        <w:t xml:space="preserve">utlay </w:t>
      </w:r>
      <w:r w:rsidR="00EC580A" w:rsidRPr="001B319E">
        <w:rPr>
          <w:sz w:val="22"/>
          <w:szCs w:val="22"/>
        </w:rPr>
        <w:t xml:space="preserve">Funds </w:t>
      </w:r>
      <w:r w:rsidR="00272610" w:rsidRPr="001B319E">
        <w:rPr>
          <w:sz w:val="22"/>
          <w:szCs w:val="22"/>
        </w:rPr>
        <w:t xml:space="preserve">to pay scheduled </w:t>
      </w:r>
      <w:r w:rsidR="00D70067">
        <w:rPr>
          <w:sz w:val="22"/>
          <w:szCs w:val="22"/>
        </w:rPr>
        <w:t>2018-19</w:t>
      </w:r>
      <w:r w:rsidRPr="001B319E">
        <w:rPr>
          <w:sz w:val="22"/>
          <w:szCs w:val="22"/>
        </w:rPr>
        <w:t xml:space="preserve"> </w:t>
      </w:r>
      <w:r w:rsidR="00272610" w:rsidRPr="001B319E">
        <w:rPr>
          <w:sz w:val="22"/>
          <w:szCs w:val="22"/>
        </w:rPr>
        <w:t>debt service</w:t>
      </w:r>
      <w:r w:rsidRPr="001B319E">
        <w:rPr>
          <w:sz w:val="22"/>
          <w:szCs w:val="22"/>
        </w:rPr>
        <w:t>.  P</w:t>
      </w:r>
      <w:r w:rsidR="00272610" w:rsidRPr="001B319E">
        <w:rPr>
          <w:sz w:val="22"/>
          <w:szCs w:val="22"/>
        </w:rPr>
        <w:t xml:space="preserve">rojected </w:t>
      </w:r>
      <w:r w:rsidR="00D70067">
        <w:rPr>
          <w:sz w:val="22"/>
          <w:szCs w:val="22"/>
        </w:rPr>
        <w:t>2017-18</w:t>
      </w:r>
      <w:r w:rsidR="00272610" w:rsidRPr="001B319E">
        <w:rPr>
          <w:sz w:val="22"/>
          <w:szCs w:val="22"/>
        </w:rPr>
        <w:t xml:space="preserve"> revenue in the Building and Capital Outlay funds </w:t>
      </w:r>
      <w:r w:rsidRPr="001B319E">
        <w:rPr>
          <w:sz w:val="22"/>
          <w:szCs w:val="22"/>
        </w:rPr>
        <w:t>is projected to be</w:t>
      </w:r>
      <w:r w:rsidR="00272610" w:rsidRPr="001B319E">
        <w:rPr>
          <w:sz w:val="22"/>
          <w:szCs w:val="22"/>
        </w:rPr>
        <w:t xml:space="preserve"> $</w:t>
      </w:r>
      <w:r w:rsidR="00D70067">
        <w:rPr>
          <w:sz w:val="22"/>
          <w:szCs w:val="22"/>
        </w:rPr>
        <w:t>1,</w:t>
      </w:r>
      <w:r w:rsidR="00326AF1">
        <w:rPr>
          <w:sz w:val="22"/>
          <w:szCs w:val="22"/>
        </w:rPr>
        <w:t>897,708</w:t>
      </w:r>
      <w:r w:rsidR="00EC6D11">
        <w:rPr>
          <w:sz w:val="22"/>
          <w:szCs w:val="22"/>
        </w:rPr>
        <w:t xml:space="preserve"> not</w:t>
      </w:r>
      <w:r w:rsidR="00272610" w:rsidRPr="001B319E">
        <w:rPr>
          <w:sz w:val="22"/>
          <w:szCs w:val="22"/>
        </w:rPr>
        <w:t xml:space="preserve"> counting any beginning balances in these funds.</w:t>
      </w:r>
    </w:p>
    <w:p w:rsidR="0043724B" w:rsidRPr="00E21EA2" w:rsidRDefault="0043724B">
      <w:pPr>
        <w:rPr>
          <w:sz w:val="22"/>
          <w:szCs w:val="22"/>
        </w:rPr>
      </w:pPr>
    </w:p>
    <w:p w:rsidR="0043724B" w:rsidRPr="00E21EA2" w:rsidRDefault="0043724B" w:rsidP="0043724B">
      <w:pPr>
        <w:rPr>
          <w:sz w:val="22"/>
          <w:szCs w:val="22"/>
        </w:rPr>
      </w:pPr>
      <w:r w:rsidRPr="00E21EA2">
        <w:rPr>
          <w:b/>
          <w:sz w:val="22"/>
          <w:szCs w:val="22"/>
          <w:u w:val="single"/>
        </w:rPr>
        <w:t>Personnel Expense</w:t>
      </w:r>
      <w:r w:rsidRPr="00E21EA2">
        <w:rPr>
          <w:sz w:val="22"/>
          <w:szCs w:val="22"/>
        </w:rPr>
        <w:t>:  Second, the cost for salaries and benefits will increase due to experience increments in current salary schedules</w:t>
      </w:r>
      <w:r>
        <w:rPr>
          <w:sz w:val="22"/>
          <w:szCs w:val="22"/>
        </w:rPr>
        <w:t xml:space="preserve">. </w:t>
      </w:r>
      <w:r w:rsidRPr="00E21EA2">
        <w:rPr>
          <w:sz w:val="22"/>
          <w:szCs w:val="22"/>
        </w:rPr>
        <w:t xml:space="preserve"> The Draft Budget </w:t>
      </w:r>
      <w:r>
        <w:rPr>
          <w:sz w:val="22"/>
          <w:szCs w:val="22"/>
        </w:rPr>
        <w:t>includes the cost of each staff member advancing one year in experience on current salary schedules</w:t>
      </w:r>
      <w:r w:rsidR="005D4890">
        <w:rPr>
          <w:sz w:val="22"/>
          <w:szCs w:val="22"/>
        </w:rPr>
        <w:t>.</w:t>
      </w:r>
      <w:r w:rsidRPr="00E21EA2">
        <w:rPr>
          <w:sz w:val="22"/>
          <w:szCs w:val="22"/>
        </w:rPr>
        <w:t xml:space="preserve">  Substitutes and any salaries without experience increments are excluded.</w:t>
      </w:r>
    </w:p>
    <w:p w:rsidR="0043724B" w:rsidRPr="00E21EA2" w:rsidRDefault="0043724B" w:rsidP="0043724B">
      <w:pPr>
        <w:rPr>
          <w:sz w:val="22"/>
          <w:szCs w:val="22"/>
        </w:rPr>
      </w:pPr>
    </w:p>
    <w:p w:rsidR="0043724B" w:rsidRDefault="0043724B" w:rsidP="0043724B">
      <w:pPr>
        <w:rPr>
          <w:sz w:val="22"/>
          <w:szCs w:val="22"/>
        </w:rPr>
      </w:pPr>
      <w:r w:rsidRPr="00D62BE9">
        <w:rPr>
          <w:sz w:val="22"/>
          <w:szCs w:val="22"/>
        </w:rPr>
        <w:t>The estimated cost of these salary improvements (including benefits) is $</w:t>
      </w:r>
      <w:r w:rsidR="00AD4DAD">
        <w:rPr>
          <w:sz w:val="22"/>
          <w:szCs w:val="22"/>
        </w:rPr>
        <w:t>575,767</w:t>
      </w:r>
      <w:r w:rsidR="005D4890">
        <w:rPr>
          <w:sz w:val="22"/>
          <w:szCs w:val="22"/>
        </w:rPr>
        <w:t xml:space="preserve"> or about an </w:t>
      </w:r>
      <w:r w:rsidR="00AD4DAD">
        <w:rPr>
          <w:sz w:val="22"/>
          <w:szCs w:val="22"/>
        </w:rPr>
        <w:t xml:space="preserve">4.08 </w:t>
      </w:r>
      <w:r w:rsidRPr="00D62BE9">
        <w:rPr>
          <w:sz w:val="22"/>
          <w:szCs w:val="22"/>
        </w:rPr>
        <w:t>% increase above the current expense for salaries and benefits.</w:t>
      </w:r>
      <w:r w:rsidR="00D62BE9" w:rsidRPr="00D62BE9">
        <w:rPr>
          <w:sz w:val="22"/>
          <w:szCs w:val="22"/>
        </w:rPr>
        <w:t xml:space="preserve"> </w:t>
      </w:r>
      <w:r w:rsidRPr="00D62BE9">
        <w:rPr>
          <w:sz w:val="22"/>
          <w:szCs w:val="22"/>
        </w:rPr>
        <w:t xml:space="preserve">  </w:t>
      </w:r>
      <w:r w:rsidR="00DF117B">
        <w:rPr>
          <w:sz w:val="22"/>
          <w:szCs w:val="22"/>
        </w:rPr>
        <w:t xml:space="preserve">This projection allocates personnel expense at </w:t>
      </w:r>
      <w:r w:rsidR="00AD4DAD">
        <w:rPr>
          <w:sz w:val="22"/>
          <w:szCs w:val="22"/>
        </w:rPr>
        <w:t>84.44</w:t>
      </w:r>
      <w:r w:rsidR="00DF117B">
        <w:rPr>
          <w:sz w:val="22"/>
          <w:szCs w:val="22"/>
        </w:rPr>
        <w:t>% of the total General Fund Budget.</w:t>
      </w:r>
    </w:p>
    <w:p w:rsidR="00C45E0F" w:rsidRDefault="00C45E0F" w:rsidP="0043724B">
      <w:pPr>
        <w:rPr>
          <w:sz w:val="22"/>
          <w:szCs w:val="22"/>
        </w:rPr>
      </w:pPr>
    </w:p>
    <w:p w:rsidR="0043724B" w:rsidRDefault="00F1417A" w:rsidP="0043724B">
      <w:pPr>
        <w:rPr>
          <w:sz w:val="22"/>
          <w:szCs w:val="22"/>
        </w:rPr>
      </w:pPr>
      <w:r>
        <w:rPr>
          <w:sz w:val="22"/>
          <w:szCs w:val="22"/>
        </w:rPr>
        <w:t>I</w:t>
      </w:r>
      <w:r w:rsidR="0043724B" w:rsidRPr="00D62BE9">
        <w:rPr>
          <w:sz w:val="22"/>
          <w:szCs w:val="22"/>
        </w:rPr>
        <w:t xml:space="preserve">n addition, the Draft Budget provides a set aside of $100,000 to pay accumulated benefits at the time of retirement for all eligible staff members.  </w:t>
      </w:r>
      <w:r w:rsidR="000431CB">
        <w:rPr>
          <w:sz w:val="22"/>
          <w:szCs w:val="22"/>
        </w:rPr>
        <w:t>I</w:t>
      </w:r>
      <w:r w:rsidR="0043724B" w:rsidRPr="00D62BE9">
        <w:rPr>
          <w:sz w:val="22"/>
          <w:szCs w:val="22"/>
        </w:rPr>
        <w:t>t is very unlikely that all eligible staff members will choose to retire at the same time,</w:t>
      </w:r>
      <w:r w:rsidR="000431CB">
        <w:rPr>
          <w:sz w:val="22"/>
          <w:szCs w:val="22"/>
        </w:rPr>
        <w:t xml:space="preserve"> however,</w:t>
      </w:r>
      <w:r w:rsidR="0043724B" w:rsidRPr="00D62BE9">
        <w:rPr>
          <w:sz w:val="22"/>
          <w:szCs w:val="22"/>
        </w:rPr>
        <w:t xml:space="preserve"> this amount </w:t>
      </w:r>
      <w:r w:rsidR="000431CB">
        <w:rPr>
          <w:sz w:val="22"/>
          <w:szCs w:val="22"/>
        </w:rPr>
        <w:t xml:space="preserve">will be reviewed upon receipt of staff intent forms for </w:t>
      </w:r>
      <w:r w:rsidR="00AD4DAD">
        <w:rPr>
          <w:sz w:val="22"/>
          <w:szCs w:val="22"/>
        </w:rPr>
        <w:t>2017-18</w:t>
      </w:r>
      <w:r w:rsidR="000431CB">
        <w:rPr>
          <w:sz w:val="22"/>
          <w:szCs w:val="22"/>
        </w:rPr>
        <w:t xml:space="preserve"> school year. </w:t>
      </w:r>
    </w:p>
    <w:p w:rsidR="0043724B" w:rsidRPr="00E21EA2" w:rsidRDefault="0043724B" w:rsidP="0043724B">
      <w:pPr>
        <w:rPr>
          <w:sz w:val="22"/>
          <w:szCs w:val="22"/>
        </w:rPr>
      </w:pPr>
    </w:p>
    <w:p w:rsidR="007A0089" w:rsidRPr="00E21EA2" w:rsidRDefault="00272610">
      <w:pPr>
        <w:rPr>
          <w:b/>
          <w:sz w:val="22"/>
          <w:szCs w:val="22"/>
        </w:rPr>
      </w:pPr>
      <w:r w:rsidRPr="00E21EA2">
        <w:rPr>
          <w:b/>
          <w:sz w:val="22"/>
          <w:szCs w:val="22"/>
        </w:rPr>
        <w:t>Staffing Allocation and School Equity</w:t>
      </w:r>
    </w:p>
    <w:p w:rsidR="007A0089" w:rsidRPr="00E21EA2" w:rsidRDefault="007A0089">
      <w:pPr>
        <w:rPr>
          <w:sz w:val="22"/>
          <w:szCs w:val="22"/>
        </w:rPr>
      </w:pPr>
    </w:p>
    <w:p w:rsidR="007A0089" w:rsidRPr="00E21EA2" w:rsidRDefault="00272610">
      <w:pPr>
        <w:pStyle w:val="BodyText"/>
        <w:rPr>
          <w:sz w:val="22"/>
          <w:szCs w:val="22"/>
        </w:rPr>
      </w:pPr>
      <w:r w:rsidRPr="00E21EA2">
        <w:rPr>
          <w:sz w:val="22"/>
          <w:szCs w:val="22"/>
        </w:rPr>
        <w:t>The Board is to approve allocations to school councils by March 1, 20</w:t>
      </w:r>
      <w:r w:rsidR="00303CEE">
        <w:rPr>
          <w:sz w:val="22"/>
          <w:szCs w:val="22"/>
        </w:rPr>
        <w:t>1</w:t>
      </w:r>
      <w:r w:rsidR="00AD4DAD">
        <w:rPr>
          <w:sz w:val="22"/>
          <w:szCs w:val="22"/>
        </w:rPr>
        <w:t>8</w:t>
      </w:r>
      <w:r w:rsidRPr="00E21EA2">
        <w:rPr>
          <w:sz w:val="22"/>
          <w:szCs w:val="22"/>
        </w:rPr>
        <w:t xml:space="preserve">.  The allocation is to provide sufficient funds to staff each school and provide for teaching materials, supplies, travel, and equipment.  The projected </w:t>
      </w:r>
      <w:r w:rsidR="00AD4DAD">
        <w:rPr>
          <w:sz w:val="22"/>
          <w:szCs w:val="22"/>
        </w:rPr>
        <w:t>2018-19</w:t>
      </w:r>
      <w:r w:rsidRPr="00E21EA2">
        <w:rPr>
          <w:sz w:val="22"/>
          <w:szCs w:val="22"/>
        </w:rPr>
        <w:t xml:space="preserve"> staffing allocation provides for </w:t>
      </w:r>
      <w:r w:rsidR="00C30D40" w:rsidRPr="00E21EA2">
        <w:rPr>
          <w:sz w:val="22"/>
          <w:szCs w:val="22"/>
        </w:rPr>
        <w:t>full</w:t>
      </w:r>
      <w:r w:rsidRPr="00E21EA2">
        <w:rPr>
          <w:sz w:val="22"/>
          <w:szCs w:val="22"/>
        </w:rPr>
        <w:t xml:space="preserve">-day kindergarten at </w:t>
      </w:r>
      <w:r w:rsidR="00F1417A">
        <w:rPr>
          <w:sz w:val="22"/>
          <w:szCs w:val="22"/>
        </w:rPr>
        <w:t>Panther Academy</w:t>
      </w:r>
      <w:r w:rsidRPr="00E21EA2">
        <w:rPr>
          <w:sz w:val="22"/>
          <w:szCs w:val="22"/>
        </w:rPr>
        <w:t xml:space="preserve">.  </w:t>
      </w:r>
      <w:smartTag w:uri="urn:schemas-microsoft-com:office:smarttags" w:element="City">
        <w:smartTag w:uri="urn:schemas-microsoft-com:office:smarttags" w:element="place">
          <w:r w:rsidR="006E0A79" w:rsidRPr="00E21EA2">
            <w:rPr>
              <w:sz w:val="22"/>
              <w:szCs w:val="22"/>
            </w:rPr>
            <w:t>Elizabethtown</w:t>
          </w:r>
        </w:smartTag>
      </w:smartTag>
      <w:r w:rsidRPr="00E21EA2">
        <w:rPr>
          <w:sz w:val="22"/>
          <w:szCs w:val="22"/>
        </w:rPr>
        <w:t>’s staffing is above the minimum number of staff members needed to meet the maximum class size standard.  Local district revenue is the primary source of funding staffing above the minimum level.</w:t>
      </w:r>
    </w:p>
    <w:p w:rsidR="007A0089" w:rsidRPr="00E21EA2" w:rsidRDefault="007A0089">
      <w:pPr>
        <w:pStyle w:val="BodyText"/>
        <w:rPr>
          <w:sz w:val="22"/>
          <w:szCs w:val="22"/>
        </w:rPr>
      </w:pPr>
    </w:p>
    <w:p w:rsidR="007A0089" w:rsidRPr="00E21EA2" w:rsidRDefault="00272610">
      <w:pPr>
        <w:pStyle w:val="BodyText"/>
        <w:rPr>
          <w:sz w:val="22"/>
          <w:szCs w:val="22"/>
        </w:rPr>
      </w:pPr>
      <w:r w:rsidRPr="00E21EA2">
        <w:rPr>
          <w:sz w:val="22"/>
          <w:szCs w:val="22"/>
        </w:rPr>
        <w:t xml:space="preserve">Current staffing levels are based on a consistent standard that assures fair treatment for all schools.  Fair treatment means that pupil-teacher ratios are similar for schools that serve similar grades or levels.  Further, the level of staffing beyond the minimum required is dictated by available revenue.  The Board will consider staffing levels for </w:t>
      </w:r>
      <w:r w:rsidR="00AD4DAD">
        <w:rPr>
          <w:sz w:val="22"/>
          <w:szCs w:val="22"/>
        </w:rPr>
        <w:t>2018-19</w:t>
      </w:r>
      <w:r w:rsidRPr="00E21EA2">
        <w:rPr>
          <w:sz w:val="22"/>
          <w:szCs w:val="22"/>
        </w:rPr>
        <w:t xml:space="preserve"> in the</w:t>
      </w:r>
      <w:r w:rsidR="00A80F73" w:rsidRPr="00E21EA2">
        <w:rPr>
          <w:sz w:val="22"/>
          <w:szCs w:val="22"/>
        </w:rPr>
        <w:t xml:space="preserve"> </w:t>
      </w:r>
      <w:r w:rsidRPr="00E21EA2">
        <w:rPr>
          <w:sz w:val="22"/>
          <w:szCs w:val="22"/>
        </w:rPr>
        <w:t xml:space="preserve">school allocations at </w:t>
      </w:r>
      <w:r w:rsidRPr="00E21EA2">
        <w:rPr>
          <w:sz w:val="22"/>
          <w:szCs w:val="22"/>
        </w:rPr>
        <w:lastRenderedPageBreak/>
        <w:t>a February Board meeting.  Equitable staffing among the schools should be an important part of this consideration.</w:t>
      </w:r>
    </w:p>
    <w:p w:rsidR="00C30D40" w:rsidRPr="00E21EA2" w:rsidRDefault="00C30D40">
      <w:pPr>
        <w:pStyle w:val="BodyText"/>
        <w:rPr>
          <w:sz w:val="22"/>
          <w:szCs w:val="22"/>
        </w:rPr>
      </w:pPr>
    </w:p>
    <w:p w:rsidR="007A0089" w:rsidRDefault="00272610">
      <w:pPr>
        <w:rPr>
          <w:sz w:val="22"/>
          <w:szCs w:val="22"/>
        </w:rPr>
      </w:pPr>
      <w:r w:rsidRPr="00E21EA2">
        <w:rPr>
          <w:sz w:val="22"/>
          <w:szCs w:val="22"/>
        </w:rPr>
        <w:t xml:space="preserve">There are two other components of the school allocation process.  First, the allocation for teaching supplies, materials, and instructional travel based on the state regulation requiring a per-pupil allocation of at least 3.5% of the base SEEK for each FTE pupil in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xml:space="preserve">. </w:t>
      </w:r>
      <w:r w:rsidR="00724037">
        <w:rPr>
          <w:sz w:val="22"/>
          <w:szCs w:val="22"/>
        </w:rPr>
        <w:t>This provision in the budget language has been waived in previous budget cycles.</w:t>
      </w:r>
      <w:r w:rsidRPr="00E21EA2">
        <w:rPr>
          <w:sz w:val="22"/>
          <w:szCs w:val="22"/>
        </w:rPr>
        <w:t xml:space="preserve"> This Draft Budget provides the mini</w:t>
      </w:r>
      <w:r w:rsidR="00F1417A">
        <w:rPr>
          <w:sz w:val="22"/>
          <w:szCs w:val="22"/>
        </w:rPr>
        <w:t>mum allocation for this section at $</w:t>
      </w:r>
      <w:r w:rsidR="00F944B9">
        <w:rPr>
          <w:sz w:val="22"/>
          <w:szCs w:val="22"/>
        </w:rPr>
        <w:t>110.00</w:t>
      </w:r>
      <w:r w:rsidR="00F1417A">
        <w:rPr>
          <w:sz w:val="22"/>
          <w:szCs w:val="22"/>
        </w:rPr>
        <w:t xml:space="preserve"> per ADA.</w:t>
      </w:r>
      <w:r w:rsidRPr="00E21EA2">
        <w:rPr>
          <w:sz w:val="22"/>
          <w:szCs w:val="22"/>
        </w:rPr>
        <w:t xml:space="preserve">  </w:t>
      </w:r>
    </w:p>
    <w:p w:rsidR="00F1417A" w:rsidRPr="00E21EA2" w:rsidRDefault="00F1417A">
      <w:pPr>
        <w:rPr>
          <w:sz w:val="22"/>
          <w:szCs w:val="22"/>
        </w:rPr>
      </w:pPr>
    </w:p>
    <w:p w:rsidR="007A0089" w:rsidRPr="00E21EA2" w:rsidRDefault="00272610">
      <w:pPr>
        <w:rPr>
          <w:sz w:val="22"/>
          <w:szCs w:val="22"/>
        </w:rPr>
      </w:pPr>
      <w:r w:rsidRPr="00E21EA2">
        <w:rPr>
          <w:sz w:val="22"/>
          <w:szCs w:val="22"/>
        </w:rPr>
        <w:t xml:space="preserve">Second, the Board may allocate any additional funds to schools to address unmet needs.  If there are differences in student learning needs from school to school the Board may allocate additional funds based on the differences.  For example, if one school has a unique need, the Board may allocate additional funds to that school only.  Any discretionary funds the Board may decide to allocate to schools should be placed in this component of the allocation. </w:t>
      </w:r>
    </w:p>
    <w:p w:rsidR="007A0089" w:rsidRPr="00E21EA2" w:rsidRDefault="007A0089">
      <w:pPr>
        <w:rPr>
          <w:sz w:val="22"/>
          <w:szCs w:val="22"/>
        </w:rPr>
      </w:pPr>
    </w:p>
    <w:p w:rsidR="00E868E8" w:rsidRDefault="00272610" w:rsidP="00E868E8">
      <w:pPr>
        <w:rPr>
          <w:sz w:val="22"/>
          <w:szCs w:val="22"/>
        </w:rPr>
      </w:pPr>
      <w:r w:rsidRPr="00E21EA2">
        <w:rPr>
          <w:sz w:val="22"/>
          <w:szCs w:val="22"/>
        </w:rPr>
        <w:t xml:space="preserve">Equipment and capital needs are normally found in the maintenance series of the General Fund budget and the Capital Outlay and Building funds.  Unmet facility needs are found in the district facility plan.  The Capital Funds budgets provide for the cost of scheduled debt service.  Funds received above the amount needed for debt service are held in reserve for </w:t>
      </w:r>
      <w:r w:rsidR="00AC1639" w:rsidRPr="00E21EA2">
        <w:rPr>
          <w:sz w:val="22"/>
          <w:szCs w:val="22"/>
        </w:rPr>
        <w:t>new</w:t>
      </w:r>
      <w:r w:rsidRPr="00E21EA2">
        <w:rPr>
          <w:sz w:val="22"/>
          <w:szCs w:val="22"/>
        </w:rPr>
        <w:t xml:space="preserve"> facility </w:t>
      </w:r>
      <w:r w:rsidR="00AC1639" w:rsidRPr="00E21EA2">
        <w:rPr>
          <w:sz w:val="22"/>
          <w:szCs w:val="22"/>
        </w:rPr>
        <w:t xml:space="preserve">construction or and/or renovation </w:t>
      </w:r>
      <w:r w:rsidRPr="00E21EA2">
        <w:rPr>
          <w:sz w:val="22"/>
          <w:szCs w:val="22"/>
        </w:rPr>
        <w:t>project</w:t>
      </w:r>
      <w:r w:rsidR="00AC1639" w:rsidRPr="00E21EA2">
        <w:rPr>
          <w:sz w:val="22"/>
          <w:szCs w:val="22"/>
        </w:rPr>
        <w:t>s</w:t>
      </w:r>
      <w:r w:rsidR="002F57E1">
        <w:rPr>
          <w:sz w:val="22"/>
          <w:szCs w:val="22"/>
        </w:rPr>
        <w:t>.</w:t>
      </w:r>
    </w:p>
    <w:p w:rsidR="00F1417A" w:rsidRDefault="00F1417A" w:rsidP="00E868E8">
      <w:pPr>
        <w:rPr>
          <w:b/>
          <w:sz w:val="22"/>
          <w:szCs w:val="22"/>
          <w:u w:val="single"/>
        </w:rPr>
      </w:pPr>
    </w:p>
    <w:p w:rsidR="007A0089" w:rsidRPr="00E868E8" w:rsidRDefault="00E868E8" w:rsidP="00E868E8">
      <w:pPr>
        <w:rPr>
          <w:sz w:val="22"/>
          <w:szCs w:val="22"/>
        </w:rPr>
      </w:pPr>
      <w:r w:rsidRPr="00E868E8">
        <w:rPr>
          <w:b/>
          <w:sz w:val="22"/>
          <w:szCs w:val="22"/>
          <w:u w:val="single"/>
        </w:rPr>
        <w:t>Summary of Projected Expense</w:t>
      </w:r>
      <w:r w:rsidRPr="00E868E8">
        <w:rPr>
          <w:b/>
          <w:sz w:val="22"/>
          <w:szCs w:val="22"/>
        </w:rPr>
        <w:t>:</w:t>
      </w:r>
      <w:r w:rsidRPr="00E868E8">
        <w:rPr>
          <w:sz w:val="22"/>
          <w:szCs w:val="22"/>
        </w:rPr>
        <w:t xml:space="preserve">  An increase of $</w:t>
      </w:r>
      <w:r w:rsidR="00A46F79">
        <w:rPr>
          <w:sz w:val="22"/>
          <w:szCs w:val="22"/>
        </w:rPr>
        <w:t>266,146</w:t>
      </w:r>
      <w:r w:rsidRPr="00E868E8">
        <w:rPr>
          <w:sz w:val="22"/>
          <w:szCs w:val="22"/>
        </w:rPr>
        <w:t xml:space="preserve"> is projected for expense from </w:t>
      </w:r>
      <w:r w:rsidR="0019213D">
        <w:rPr>
          <w:sz w:val="22"/>
          <w:szCs w:val="22"/>
        </w:rPr>
        <w:t xml:space="preserve">the general </w:t>
      </w:r>
      <w:r w:rsidRPr="00E868E8">
        <w:rPr>
          <w:sz w:val="22"/>
          <w:szCs w:val="22"/>
        </w:rPr>
        <w:t>fund</w:t>
      </w:r>
      <w:r w:rsidR="00271556">
        <w:rPr>
          <w:sz w:val="22"/>
          <w:szCs w:val="22"/>
        </w:rPr>
        <w:t xml:space="preserve"> </w:t>
      </w:r>
      <w:r w:rsidRPr="00E868E8">
        <w:rPr>
          <w:sz w:val="22"/>
          <w:szCs w:val="22"/>
        </w:rPr>
        <w:t xml:space="preserve">during </w:t>
      </w:r>
      <w:r w:rsidR="00A46F79">
        <w:rPr>
          <w:sz w:val="22"/>
          <w:szCs w:val="22"/>
        </w:rPr>
        <w:t>2018-19</w:t>
      </w:r>
      <w:r w:rsidRPr="00E868E8">
        <w:rPr>
          <w:sz w:val="22"/>
          <w:szCs w:val="22"/>
        </w:rPr>
        <w:t>.  This does not include funds held in contingency as a reserve for unknown</w:t>
      </w:r>
      <w:r w:rsidR="00272610" w:rsidRPr="00E21EA2">
        <w:rPr>
          <w:b/>
          <w:sz w:val="22"/>
          <w:szCs w:val="22"/>
        </w:rPr>
        <w:t xml:space="preserve"> </w:t>
      </w:r>
      <w:r w:rsidR="00272610" w:rsidRPr="00E868E8">
        <w:rPr>
          <w:sz w:val="22"/>
          <w:szCs w:val="22"/>
        </w:rPr>
        <w:t xml:space="preserve">or future needs.  </w:t>
      </w:r>
    </w:p>
    <w:p w:rsidR="007A0089" w:rsidRPr="00E21EA2" w:rsidRDefault="007A0089">
      <w:pPr>
        <w:rPr>
          <w:sz w:val="22"/>
          <w:szCs w:val="22"/>
        </w:rPr>
      </w:pPr>
    </w:p>
    <w:p w:rsidR="00F37C20" w:rsidRDefault="00272610" w:rsidP="00F37C20">
      <w:pPr>
        <w:pStyle w:val="BodyText"/>
        <w:rPr>
          <w:sz w:val="22"/>
          <w:szCs w:val="22"/>
        </w:rPr>
      </w:pPr>
      <w:r w:rsidRPr="00E21EA2">
        <w:rPr>
          <w:sz w:val="22"/>
          <w:szCs w:val="22"/>
        </w:rPr>
        <w:t xml:space="preserve">Table </w:t>
      </w:r>
      <w:r w:rsidR="00EB196C">
        <w:rPr>
          <w:sz w:val="22"/>
          <w:szCs w:val="22"/>
        </w:rPr>
        <w:t>D</w:t>
      </w:r>
      <w:r w:rsidRPr="00E21EA2">
        <w:rPr>
          <w:sz w:val="22"/>
          <w:szCs w:val="22"/>
        </w:rPr>
        <w:t xml:space="preserve"> presents a summary of projected General Fund expense by object (code).  Appendix A contains brief descriptions of the object codes utilized</w:t>
      </w:r>
      <w:r w:rsidR="00EB196C">
        <w:rPr>
          <w:sz w:val="22"/>
          <w:szCs w:val="22"/>
        </w:rPr>
        <w:t>.</w:t>
      </w:r>
      <w:r w:rsidRPr="00E21EA2">
        <w:rPr>
          <w:sz w:val="22"/>
          <w:szCs w:val="22"/>
        </w:rPr>
        <w:t xml:space="preserve">   </w:t>
      </w:r>
    </w:p>
    <w:p w:rsidR="00EB196C" w:rsidRDefault="00EB196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D00A1F" w:rsidRDefault="00D00A1F" w:rsidP="00F37C20">
      <w:pPr>
        <w:pStyle w:val="BodyText"/>
        <w:rPr>
          <w:b/>
          <w:bCs/>
          <w:sz w:val="22"/>
          <w:szCs w:val="22"/>
        </w:rPr>
      </w:pPr>
    </w:p>
    <w:p w:rsidR="00D00A1F" w:rsidRDefault="00D00A1F" w:rsidP="00F37C20">
      <w:pPr>
        <w:pStyle w:val="BodyText"/>
        <w:rPr>
          <w:b/>
          <w:bCs/>
          <w:sz w:val="22"/>
          <w:szCs w:val="22"/>
        </w:rPr>
      </w:pPr>
    </w:p>
    <w:p w:rsidR="00D00A1F" w:rsidRDefault="00D00A1F" w:rsidP="00F37C20">
      <w:pPr>
        <w:pStyle w:val="BodyText"/>
        <w:rPr>
          <w:b/>
          <w:bCs/>
          <w:sz w:val="22"/>
          <w:szCs w:val="22"/>
        </w:rPr>
      </w:pPr>
    </w:p>
    <w:p w:rsidR="00D00A1F" w:rsidRDefault="00D00A1F"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7A0089" w:rsidRPr="00E21EA2" w:rsidRDefault="00272610">
      <w:pPr>
        <w:pStyle w:val="BodyText"/>
        <w:jc w:val="center"/>
        <w:rPr>
          <w:b/>
          <w:bCs/>
          <w:sz w:val="22"/>
          <w:szCs w:val="22"/>
        </w:rPr>
      </w:pPr>
      <w:r w:rsidRPr="00E21EA2">
        <w:rPr>
          <w:b/>
          <w:bCs/>
          <w:sz w:val="22"/>
          <w:szCs w:val="22"/>
        </w:rPr>
        <w:t xml:space="preserve">Table </w:t>
      </w:r>
      <w:r w:rsidR="00EB196C">
        <w:rPr>
          <w:b/>
          <w:bCs/>
          <w:sz w:val="22"/>
          <w:szCs w:val="22"/>
        </w:rPr>
        <w:t>D</w:t>
      </w:r>
    </w:p>
    <w:p w:rsidR="007A0089" w:rsidRPr="00E21EA2" w:rsidRDefault="00272610">
      <w:pPr>
        <w:pStyle w:val="Heading2"/>
        <w:jc w:val="center"/>
        <w:rPr>
          <w:sz w:val="22"/>
          <w:szCs w:val="22"/>
        </w:rPr>
      </w:pPr>
      <w:r w:rsidRPr="00E21EA2">
        <w:rPr>
          <w:bCs/>
          <w:sz w:val="22"/>
          <w:szCs w:val="22"/>
        </w:rPr>
        <w:t>Projected G</w:t>
      </w:r>
      <w:r w:rsidR="004A2D98" w:rsidRPr="00E21EA2">
        <w:rPr>
          <w:bCs/>
          <w:sz w:val="22"/>
          <w:szCs w:val="22"/>
        </w:rPr>
        <w:t xml:space="preserve">eneral </w:t>
      </w:r>
      <w:r w:rsidRPr="00E21EA2">
        <w:rPr>
          <w:bCs/>
          <w:sz w:val="22"/>
          <w:szCs w:val="22"/>
        </w:rPr>
        <w:t>F</w:t>
      </w:r>
      <w:r w:rsidR="004A2D98" w:rsidRPr="00E21EA2">
        <w:rPr>
          <w:bCs/>
          <w:sz w:val="22"/>
          <w:szCs w:val="22"/>
        </w:rPr>
        <w:t>und</w:t>
      </w:r>
      <w:r w:rsidRPr="00E21EA2">
        <w:rPr>
          <w:bCs/>
          <w:sz w:val="22"/>
          <w:szCs w:val="22"/>
        </w:rPr>
        <w:t xml:space="preserve"> Expense by Object</w:t>
      </w:r>
      <w:r w:rsidR="00042A7E" w:rsidRPr="00E21EA2">
        <w:rPr>
          <w:bCs/>
          <w:sz w:val="22"/>
          <w:szCs w:val="22"/>
        </w:rPr>
        <w:t xml:space="preserve"> Code</w:t>
      </w:r>
    </w:p>
    <w:p w:rsidR="007A0089" w:rsidRPr="003B4B07" w:rsidRDefault="007A0089">
      <w:pPr>
        <w:rPr>
          <w:rFonts w:ascii="Tms Rmn" w:hAnsi="Tms Rmn"/>
          <w:sz w:val="22"/>
          <w:szCs w:val="22"/>
        </w:rPr>
      </w:pPr>
    </w:p>
    <w:tbl>
      <w:tblPr>
        <w:tblW w:w="5000" w:type="pct"/>
        <w:tblCellMar>
          <w:left w:w="30" w:type="dxa"/>
          <w:right w:w="30" w:type="dxa"/>
        </w:tblCellMar>
        <w:tblLook w:val="0000"/>
      </w:tblPr>
      <w:tblGrid>
        <w:gridCol w:w="622"/>
        <w:gridCol w:w="2641"/>
        <w:gridCol w:w="1166"/>
        <w:gridCol w:w="1166"/>
        <w:gridCol w:w="1242"/>
        <w:gridCol w:w="1009"/>
        <w:gridCol w:w="854"/>
      </w:tblGrid>
      <w:tr w:rsidR="007A0089" w:rsidRPr="00842A02" w:rsidTr="004A2D98">
        <w:trPr>
          <w:trHeight w:val="245"/>
        </w:trPr>
        <w:tc>
          <w:tcPr>
            <w:tcW w:w="357" w:type="pct"/>
            <w:tcBorders>
              <w:top w:val="single" w:sz="4" w:space="0" w:color="auto"/>
              <w:left w:val="single" w:sz="4" w:space="0" w:color="auto"/>
              <w:bottom w:val="single" w:sz="4" w:space="0" w:color="auto"/>
            </w:tcBorders>
            <w:shd w:val="clear" w:color="auto" w:fill="D9D9D9"/>
          </w:tcPr>
          <w:p w:rsidR="007A0089" w:rsidRPr="003B4B07" w:rsidRDefault="007A0089">
            <w:pPr>
              <w:jc w:val="center"/>
              <w:rPr>
                <w:snapToGrid w:val="0"/>
                <w:sz w:val="18"/>
                <w:szCs w:val="18"/>
              </w:rPr>
            </w:pPr>
          </w:p>
        </w:tc>
        <w:tc>
          <w:tcPr>
            <w:tcW w:w="1518" w:type="pct"/>
            <w:tcBorders>
              <w:top w:val="single" w:sz="4" w:space="0" w:color="auto"/>
              <w:bottom w:val="single" w:sz="4" w:space="0" w:color="auto"/>
              <w:right w:val="single" w:sz="4" w:space="0" w:color="auto"/>
            </w:tcBorders>
            <w:shd w:val="clear" w:color="auto" w:fill="D9D9D9"/>
          </w:tcPr>
          <w:p w:rsidR="007A0089" w:rsidRPr="003B4B07" w:rsidRDefault="00E7149E" w:rsidP="00042A7E">
            <w:pPr>
              <w:rPr>
                <w:b/>
                <w:snapToGrid w:val="0"/>
                <w:sz w:val="18"/>
                <w:szCs w:val="18"/>
              </w:rPr>
            </w:pPr>
            <w:r w:rsidRPr="004A2D98">
              <w:rPr>
                <w:b/>
                <w:sz w:val="18"/>
                <w:szCs w:val="18"/>
              </w:rPr>
              <w:t>G</w:t>
            </w:r>
            <w:r w:rsidR="00042A7E">
              <w:rPr>
                <w:b/>
                <w:sz w:val="18"/>
                <w:szCs w:val="18"/>
              </w:rPr>
              <w:t>ENERAL FUND PROJECTED EXPENSES</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3B4B07" w:rsidRDefault="00272610">
            <w:pPr>
              <w:jc w:val="center"/>
              <w:rPr>
                <w:b/>
                <w:snapToGrid w:val="0"/>
                <w:sz w:val="18"/>
                <w:szCs w:val="18"/>
              </w:rPr>
            </w:pPr>
            <w:r w:rsidRPr="003B4B07">
              <w:rPr>
                <w:b/>
                <w:snapToGrid w:val="0"/>
                <w:sz w:val="18"/>
                <w:szCs w:val="18"/>
              </w:rPr>
              <w:t>Actual</w:t>
            </w:r>
            <w:r w:rsidR="00E7149E" w:rsidRPr="003B4B07">
              <w:rPr>
                <w:b/>
                <w:snapToGrid w:val="0"/>
                <w:sz w:val="18"/>
                <w:szCs w:val="18"/>
              </w:rPr>
              <w:t xml:space="preserve"> </w:t>
            </w:r>
          </w:p>
          <w:p w:rsidR="007A0089" w:rsidRPr="003B4B07" w:rsidRDefault="00A46F79">
            <w:pPr>
              <w:jc w:val="center"/>
              <w:rPr>
                <w:b/>
                <w:snapToGrid w:val="0"/>
                <w:sz w:val="18"/>
                <w:szCs w:val="18"/>
              </w:rPr>
            </w:pPr>
            <w:r>
              <w:rPr>
                <w:b/>
                <w:snapToGrid w:val="0"/>
                <w:sz w:val="18"/>
                <w:szCs w:val="18"/>
              </w:rPr>
              <w:t>2016-17</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3B4B07" w:rsidRDefault="00272610">
            <w:pPr>
              <w:jc w:val="center"/>
              <w:rPr>
                <w:b/>
                <w:snapToGrid w:val="0"/>
                <w:sz w:val="18"/>
                <w:szCs w:val="18"/>
              </w:rPr>
            </w:pPr>
            <w:r w:rsidRPr="003B4B07">
              <w:rPr>
                <w:b/>
                <w:snapToGrid w:val="0"/>
                <w:sz w:val="18"/>
                <w:szCs w:val="18"/>
              </w:rPr>
              <w:t>Budget</w:t>
            </w:r>
            <w:r w:rsidR="00E7149E" w:rsidRPr="003B4B07">
              <w:rPr>
                <w:b/>
                <w:snapToGrid w:val="0"/>
                <w:sz w:val="18"/>
                <w:szCs w:val="18"/>
              </w:rPr>
              <w:t xml:space="preserve"> </w:t>
            </w:r>
          </w:p>
          <w:p w:rsidR="007A0089" w:rsidRPr="003B4B07" w:rsidRDefault="00A46F79">
            <w:pPr>
              <w:jc w:val="center"/>
              <w:rPr>
                <w:b/>
                <w:snapToGrid w:val="0"/>
                <w:sz w:val="18"/>
                <w:szCs w:val="18"/>
              </w:rPr>
            </w:pPr>
            <w:r>
              <w:rPr>
                <w:b/>
                <w:snapToGrid w:val="0"/>
                <w:sz w:val="18"/>
                <w:szCs w:val="18"/>
              </w:rPr>
              <w:t>2017-18</w:t>
            </w:r>
          </w:p>
        </w:tc>
        <w:tc>
          <w:tcPr>
            <w:tcW w:w="714" w:type="pct"/>
            <w:tcBorders>
              <w:top w:val="single" w:sz="4" w:space="0" w:color="auto"/>
              <w:left w:val="single" w:sz="4" w:space="0" w:color="auto"/>
              <w:bottom w:val="single" w:sz="4" w:space="0" w:color="auto"/>
              <w:right w:val="single" w:sz="4" w:space="0" w:color="auto"/>
            </w:tcBorders>
            <w:shd w:val="clear" w:color="auto" w:fill="D9D9D9"/>
          </w:tcPr>
          <w:p w:rsidR="007A0089" w:rsidRDefault="00272610" w:rsidP="00321A6D">
            <w:pPr>
              <w:jc w:val="center"/>
              <w:rPr>
                <w:b/>
                <w:snapToGrid w:val="0"/>
                <w:sz w:val="18"/>
                <w:szCs w:val="18"/>
              </w:rPr>
            </w:pPr>
            <w:r w:rsidRPr="003B4B07">
              <w:rPr>
                <w:b/>
                <w:snapToGrid w:val="0"/>
                <w:sz w:val="18"/>
                <w:szCs w:val="18"/>
              </w:rPr>
              <w:t>Projected</w:t>
            </w:r>
            <w:r w:rsidR="00E7149E" w:rsidRPr="003B4B07">
              <w:rPr>
                <w:b/>
                <w:snapToGrid w:val="0"/>
                <w:sz w:val="18"/>
                <w:szCs w:val="18"/>
              </w:rPr>
              <w:t xml:space="preserve"> </w:t>
            </w:r>
          </w:p>
          <w:p w:rsidR="00321A6D" w:rsidRPr="003B4B07" w:rsidRDefault="00A46F79" w:rsidP="00321A6D">
            <w:pPr>
              <w:jc w:val="center"/>
              <w:rPr>
                <w:b/>
                <w:snapToGrid w:val="0"/>
                <w:sz w:val="18"/>
                <w:szCs w:val="18"/>
              </w:rPr>
            </w:pPr>
            <w:r>
              <w:rPr>
                <w:b/>
                <w:snapToGrid w:val="0"/>
                <w:sz w:val="18"/>
                <w:szCs w:val="18"/>
              </w:rPr>
              <w:t>2018-19</w:t>
            </w:r>
          </w:p>
        </w:tc>
        <w:tc>
          <w:tcPr>
            <w:tcW w:w="580" w:type="pct"/>
            <w:tcBorders>
              <w:top w:val="single" w:sz="4" w:space="0" w:color="auto"/>
              <w:left w:val="single" w:sz="4" w:space="0" w:color="auto"/>
              <w:bottom w:val="single" w:sz="4" w:space="0" w:color="auto"/>
              <w:right w:val="single" w:sz="4" w:space="0" w:color="auto"/>
            </w:tcBorders>
            <w:shd w:val="clear" w:color="auto" w:fill="D9D9D9"/>
          </w:tcPr>
          <w:p w:rsidR="00E7149E" w:rsidRPr="003B4B07" w:rsidRDefault="00272610" w:rsidP="00C65437">
            <w:pPr>
              <w:jc w:val="center"/>
              <w:rPr>
                <w:b/>
                <w:snapToGrid w:val="0"/>
                <w:sz w:val="18"/>
                <w:szCs w:val="18"/>
              </w:rPr>
            </w:pPr>
            <w:r w:rsidRPr="003B4B07">
              <w:rPr>
                <w:b/>
                <w:snapToGrid w:val="0"/>
                <w:sz w:val="18"/>
                <w:szCs w:val="18"/>
              </w:rPr>
              <w:t>$</w:t>
            </w:r>
            <w:r w:rsidR="00E7149E" w:rsidRPr="003B4B07">
              <w:rPr>
                <w:b/>
                <w:snapToGrid w:val="0"/>
                <w:sz w:val="18"/>
                <w:szCs w:val="18"/>
              </w:rPr>
              <w:t xml:space="preserve"> </w:t>
            </w:r>
          </w:p>
          <w:p w:rsidR="007A0089" w:rsidRPr="003B4B07" w:rsidRDefault="00E7149E" w:rsidP="00C65437">
            <w:pPr>
              <w:jc w:val="center"/>
              <w:rPr>
                <w:b/>
                <w:snapToGrid w:val="0"/>
                <w:sz w:val="18"/>
                <w:szCs w:val="18"/>
              </w:rPr>
            </w:pPr>
            <w:r w:rsidRPr="003B4B07">
              <w:rPr>
                <w:b/>
                <w:snapToGrid w:val="0"/>
                <w:sz w:val="18"/>
                <w:szCs w:val="18"/>
              </w:rPr>
              <w:t>Change</w:t>
            </w:r>
          </w:p>
        </w:tc>
        <w:tc>
          <w:tcPr>
            <w:tcW w:w="491" w:type="pct"/>
            <w:tcBorders>
              <w:top w:val="single" w:sz="4" w:space="0" w:color="auto"/>
              <w:left w:val="single" w:sz="4" w:space="0" w:color="auto"/>
              <w:bottom w:val="single" w:sz="4" w:space="0" w:color="auto"/>
              <w:right w:val="single" w:sz="4" w:space="0" w:color="auto"/>
            </w:tcBorders>
            <w:shd w:val="clear" w:color="auto" w:fill="D9D9D9"/>
          </w:tcPr>
          <w:p w:rsidR="007A0089" w:rsidRPr="003B4B07" w:rsidRDefault="00272610" w:rsidP="00C65437">
            <w:pPr>
              <w:jc w:val="center"/>
              <w:rPr>
                <w:b/>
                <w:snapToGrid w:val="0"/>
                <w:sz w:val="18"/>
                <w:szCs w:val="18"/>
              </w:rPr>
            </w:pPr>
            <w:r w:rsidRPr="003B4B07">
              <w:rPr>
                <w:b/>
                <w:snapToGrid w:val="0"/>
                <w:sz w:val="18"/>
                <w:szCs w:val="18"/>
              </w:rPr>
              <w:t>%</w:t>
            </w:r>
            <w:r w:rsidR="00E7149E" w:rsidRPr="003B4B07">
              <w:rPr>
                <w:b/>
                <w:snapToGrid w:val="0"/>
                <w:sz w:val="18"/>
                <w:szCs w:val="18"/>
              </w:rPr>
              <w:t xml:space="preserve"> Change</w:t>
            </w:r>
          </w:p>
        </w:tc>
      </w:tr>
      <w:tr w:rsidR="009439AB" w:rsidRPr="00842A02" w:rsidTr="00543652">
        <w:trPr>
          <w:trHeight w:val="539"/>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0100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SALARIES PERSONNEL SERVICES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12,464,048</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12,962,923</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13,246,017</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283,094</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2.2</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77.0%</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75.7%</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76.1%</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rsidP="00A40B4C">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0200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EMPLOYEE BENEFITS (*)</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1,211,508</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1,152,545</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1,445,217</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292,673</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25.4</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7.5%</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6.7%</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321A6D">
            <w:pPr>
              <w:autoSpaceDE w:val="0"/>
              <w:autoSpaceDN w:val="0"/>
              <w:adjustRightInd w:val="0"/>
              <w:jc w:val="right"/>
              <w:rPr>
                <w:color w:val="000000"/>
                <w:sz w:val="18"/>
                <w:szCs w:val="18"/>
              </w:rPr>
            </w:pPr>
            <w:r>
              <w:rPr>
                <w:color w:val="000000"/>
                <w:sz w:val="18"/>
                <w:szCs w:val="18"/>
              </w:rPr>
              <w:t>8.3%</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B026F7">
        <w:trPr>
          <w:trHeight w:val="458"/>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0300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PURCHASED PROFESSIONAL &amp; TECHNICAL SERVICES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173,064</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224,218</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224,218</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0</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1.1</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1.3</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1.3</w:t>
            </w:r>
          </w:p>
        </w:tc>
        <w:tc>
          <w:tcPr>
            <w:tcW w:w="580"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0400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PURCHASED PROPERTY SERVICES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475,454</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580,075</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350,075</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(230,000)</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-39.7</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2.9</w:t>
            </w:r>
          </w:p>
        </w:tc>
        <w:tc>
          <w:tcPr>
            <w:tcW w:w="670" w:type="pct"/>
            <w:tcBorders>
              <w:left w:val="single" w:sz="4" w:space="0" w:color="auto"/>
              <w:bottom w:val="single" w:sz="4" w:space="0" w:color="auto"/>
              <w:right w:val="single" w:sz="4" w:space="0" w:color="auto"/>
            </w:tcBorders>
            <w:vAlign w:val="center"/>
          </w:tcPr>
          <w:p w:rsidR="009D1486" w:rsidRPr="009439AB" w:rsidRDefault="00A46F79" w:rsidP="009D1486">
            <w:pPr>
              <w:autoSpaceDE w:val="0"/>
              <w:autoSpaceDN w:val="0"/>
              <w:adjustRightInd w:val="0"/>
              <w:jc w:val="right"/>
              <w:rPr>
                <w:color w:val="000000"/>
                <w:sz w:val="18"/>
                <w:szCs w:val="18"/>
              </w:rPr>
            </w:pPr>
            <w:r>
              <w:rPr>
                <w:color w:val="000000"/>
                <w:sz w:val="18"/>
                <w:szCs w:val="18"/>
              </w:rPr>
              <w:t>3.4</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2.0</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A40B4C">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0500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OTHER PURCHASED SERVICES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296,842</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270,672</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270,672</w:t>
            </w:r>
          </w:p>
        </w:tc>
        <w:tc>
          <w:tcPr>
            <w:tcW w:w="580" w:type="pct"/>
            <w:tcBorders>
              <w:top w:val="single" w:sz="4" w:space="0" w:color="auto"/>
              <w:left w:val="single" w:sz="4" w:space="0" w:color="auto"/>
              <w:right w:val="single" w:sz="4" w:space="0" w:color="auto"/>
            </w:tcBorders>
            <w:vAlign w:val="center"/>
          </w:tcPr>
          <w:p w:rsidR="009439AB" w:rsidRPr="009439AB" w:rsidRDefault="00A46F79" w:rsidP="00543652">
            <w:pPr>
              <w:autoSpaceDE w:val="0"/>
              <w:autoSpaceDN w:val="0"/>
              <w:adjustRightInd w:val="0"/>
              <w:jc w:val="right"/>
              <w:rPr>
                <w:color w:val="000000"/>
                <w:sz w:val="18"/>
                <w:szCs w:val="18"/>
              </w:rPr>
            </w:pPr>
            <w:r>
              <w:rPr>
                <w:color w:val="000000"/>
                <w:sz w:val="18"/>
                <w:szCs w:val="18"/>
              </w:rPr>
              <w:t>0</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1.8</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1.6</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1.6</w:t>
            </w:r>
          </w:p>
        </w:tc>
        <w:tc>
          <w:tcPr>
            <w:tcW w:w="580"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0600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SUPPLIES &amp; MATERIALS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1,100,987</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1,416,226</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1,402,460</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(13,766)</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-1.0</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6.8</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8.3</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8.1</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0700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PROPERTY</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144,774</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165,900</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70,900</w:t>
            </w:r>
          </w:p>
        </w:tc>
        <w:tc>
          <w:tcPr>
            <w:tcW w:w="580" w:type="pct"/>
            <w:tcBorders>
              <w:top w:val="single" w:sz="4" w:space="0" w:color="auto"/>
              <w:left w:val="single" w:sz="4" w:space="0" w:color="auto"/>
              <w:right w:val="single" w:sz="4" w:space="0" w:color="auto"/>
            </w:tcBorders>
            <w:vAlign w:val="center"/>
          </w:tcPr>
          <w:p w:rsidR="009439AB" w:rsidRPr="009439AB" w:rsidRDefault="00A46F79" w:rsidP="00243832">
            <w:pPr>
              <w:autoSpaceDE w:val="0"/>
              <w:autoSpaceDN w:val="0"/>
              <w:adjustRightInd w:val="0"/>
              <w:jc w:val="right"/>
              <w:rPr>
                <w:color w:val="000000"/>
                <w:sz w:val="18"/>
                <w:szCs w:val="18"/>
              </w:rPr>
            </w:pPr>
            <w:r>
              <w:rPr>
                <w:color w:val="000000"/>
                <w:sz w:val="18"/>
                <w:szCs w:val="18"/>
              </w:rPr>
              <w:t>(95,000)</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-57.3</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.9</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1.0</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.4</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0800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MISCELLANEOUS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74,723</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98,077</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98,044</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(33)</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.5</w:t>
            </w:r>
          </w:p>
        </w:tc>
        <w:tc>
          <w:tcPr>
            <w:tcW w:w="670"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.6</w:t>
            </w:r>
          </w:p>
        </w:tc>
        <w:tc>
          <w:tcPr>
            <w:tcW w:w="714" w:type="pct"/>
            <w:tcBorders>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.6</w:t>
            </w:r>
          </w:p>
        </w:tc>
        <w:tc>
          <w:tcPr>
            <w:tcW w:w="580"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3B4B07" w:rsidRDefault="009439AB">
            <w:pPr>
              <w:jc w:val="center"/>
              <w:rPr>
                <w:snapToGrid w:val="0"/>
                <w:sz w:val="18"/>
                <w:szCs w:val="18"/>
              </w:rPr>
            </w:pPr>
            <w:r w:rsidRPr="003B4B07">
              <w:rPr>
                <w:snapToGrid w:val="0"/>
                <w:sz w:val="18"/>
                <w:szCs w:val="18"/>
              </w:rPr>
              <w:t>0900</w:t>
            </w:r>
          </w:p>
        </w:tc>
        <w:tc>
          <w:tcPr>
            <w:tcW w:w="1518" w:type="pct"/>
            <w:tcBorders>
              <w:top w:val="single" w:sz="4" w:space="0" w:color="auto"/>
              <w:left w:val="single" w:sz="4" w:space="0" w:color="auto"/>
              <w:right w:val="single" w:sz="4" w:space="0" w:color="auto"/>
            </w:tcBorders>
            <w:vAlign w:val="center"/>
          </w:tcPr>
          <w:p w:rsidR="009439AB" w:rsidRPr="003B4B07" w:rsidRDefault="009439AB">
            <w:pPr>
              <w:rPr>
                <w:snapToGrid w:val="0"/>
                <w:sz w:val="18"/>
                <w:szCs w:val="18"/>
              </w:rPr>
            </w:pPr>
            <w:r w:rsidRPr="003B4B07">
              <w:rPr>
                <w:snapToGrid w:val="0"/>
                <w:sz w:val="18"/>
                <w:szCs w:val="18"/>
              </w:rPr>
              <w:t>OTHER USES OF FUNDS</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244,761</w:t>
            </w:r>
          </w:p>
        </w:tc>
        <w:tc>
          <w:tcPr>
            <w:tcW w:w="67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262,154</w:t>
            </w:r>
          </w:p>
        </w:tc>
        <w:tc>
          <w:tcPr>
            <w:tcW w:w="714"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291,332</w:t>
            </w:r>
          </w:p>
        </w:tc>
        <w:tc>
          <w:tcPr>
            <w:tcW w:w="580"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29,178</w:t>
            </w:r>
          </w:p>
        </w:tc>
        <w:tc>
          <w:tcPr>
            <w:tcW w:w="491" w:type="pct"/>
            <w:tcBorders>
              <w:top w:val="single" w:sz="4" w:space="0" w:color="auto"/>
              <w:left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11.1</w:t>
            </w:r>
          </w:p>
        </w:tc>
      </w:tr>
      <w:tr w:rsidR="009439AB" w:rsidRPr="00842A02" w:rsidTr="00B026F7">
        <w:trPr>
          <w:trHeight w:val="360"/>
        </w:trPr>
        <w:tc>
          <w:tcPr>
            <w:tcW w:w="357" w:type="pct"/>
            <w:tcBorders>
              <w:top w:val="nil"/>
              <w:left w:val="single" w:sz="4" w:space="0" w:color="auto"/>
              <w:bottom w:val="single" w:sz="4" w:space="0" w:color="auto"/>
              <w:right w:val="single" w:sz="4" w:space="0" w:color="auto"/>
            </w:tcBorders>
          </w:tcPr>
          <w:p w:rsidR="009439AB" w:rsidRPr="003B4B07" w:rsidRDefault="009439AB">
            <w:pPr>
              <w:jc w:val="center"/>
              <w:rPr>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3B4B07" w:rsidRDefault="009439AB">
            <w:pPr>
              <w:rPr>
                <w:i/>
                <w:snapToGrid w:val="0"/>
                <w:sz w:val="18"/>
                <w:szCs w:val="18"/>
              </w:rPr>
            </w:pPr>
          </w:p>
        </w:tc>
        <w:tc>
          <w:tcPr>
            <w:tcW w:w="670" w:type="pct"/>
            <w:tcBorders>
              <w:top w:val="nil"/>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1.5</w:t>
            </w:r>
          </w:p>
        </w:tc>
        <w:tc>
          <w:tcPr>
            <w:tcW w:w="670" w:type="pct"/>
            <w:tcBorders>
              <w:top w:val="nil"/>
              <w:left w:val="single" w:sz="4" w:space="0" w:color="auto"/>
              <w:bottom w:val="single" w:sz="4" w:space="0" w:color="auto"/>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1.5</w:t>
            </w:r>
          </w:p>
        </w:tc>
        <w:tc>
          <w:tcPr>
            <w:tcW w:w="714" w:type="pct"/>
            <w:tcBorders>
              <w:top w:val="nil"/>
              <w:left w:val="single" w:sz="4" w:space="0" w:color="auto"/>
              <w:bottom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1.7</w:t>
            </w:r>
          </w:p>
        </w:tc>
        <w:tc>
          <w:tcPr>
            <w:tcW w:w="580" w:type="pct"/>
            <w:tcBorders>
              <w:top w:val="nil"/>
              <w:left w:val="single" w:sz="4" w:space="0" w:color="auto"/>
              <w:bottom w:val="single" w:sz="4" w:space="0" w:color="auto"/>
              <w:right w:val="single" w:sz="4" w:space="0" w:color="auto"/>
            </w:tcBorders>
            <w:vAlign w:val="center"/>
          </w:tcPr>
          <w:p w:rsidR="009439AB" w:rsidRPr="009439AB" w:rsidRDefault="009439AB" w:rsidP="00B026F7">
            <w:pPr>
              <w:autoSpaceDE w:val="0"/>
              <w:autoSpaceDN w:val="0"/>
              <w:adjustRightInd w:val="0"/>
              <w:jc w:val="right"/>
              <w:rPr>
                <w:color w:val="000000"/>
                <w:sz w:val="18"/>
                <w:szCs w:val="18"/>
              </w:rPr>
            </w:pPr>
          </w:p>
        </w:tc>
        <w:tc>
          <w:tcPr>
            <w:tcW w:w="491"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single" w:sz="4" w:space="0" w:color="auto"/>
              <w:left w:val="single" w:sz="4" w:space="0" w:color="auto"/>
              <w:bottom w:val="single" w:sz="4" w:space="0" w:color="auto"/>
              <w:right w:val="single" w:sz="4" w:space="0" w:color="auto"/>
            </w:tcBorders>
            <w:shd w:val="clear" w:color="auto" w:fill="D9D9D9"/>
          </w:tcPr>
          <w:p w:rsidR="009439AB" w:rsidRPr="003B4B07" w:rsidRDefault="009439AB">
            <w:pPr>
              <w:jc w:val="center"/>
              <w:rPr>
                <w:snapToGrid w:val="0"/>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3B4B07" w:rsidRDefault="009439AB">
            <w:pPr>
              <w:rPr>
                <w:b/>
                <w:snapToGrid w:val="0"/>
                <w:sz w:val="18"/>
                <w:szCs w:val="18"/>
              </w:rPr>
            </w:pPr>
            <w:r w:rsidRPr="003B4B07">
              <w:rPr>
                <w:b/>
                <w:snapToGrid w:val="0"/>
                <w:sz w:val="18"/>
                <w:szCs w:val="18"/>
              </w:rPr>
              <w:t>Subtotal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16,186,162</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17,132,789</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17,398,935</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266,146</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pPr>
              <w:autoSpaceDE w:val="0"/>
              <w:autoSpaceDN w:val="0"/>
              <w:adjustRightInd w:val="0"/>
              <w:jc w:val="right"/>
              <w:rPr>
                <w:color w:val="000000"/>
                <w:sz w:val="18"/>
                <w:szCs w:val="18"/>
              </w:rPr>
            </w:pPr>
            <w:r>
              <w:rPr>
                <w:color w:val="000000"/>
                <w:sz w:val="18"/>
                <w:szCs w:val="18"/>
              </w:rPr>
              <w:t>1.6</w:t>
            </w:r>
          </w:p>
        </w:tc>
      </w:tr>
      <w:tr w:rsidR="009439AB" w:rsidRPr="00842A02" w:rsidTr="009439AB">
        <w:trPr>
          <w:trHeight w:val="245"/>
        </w:trPr>
        <w:tc>
          <w:tcPr>
            <w:tcW w:w="357" w:type="pct"/>
            <w:tcBorders>
              <w:top w:val="single" w:sz="4" w:space="0" w:color="auto"/>
              <w:left w:val="single" w:sz="4" w:space="0" w:color="auto"/>
              <w:bottom w:val="nil"/>
              <w:right w:val="single" w:sz="4" w:space="0" w:color="auto"/>
            </w:tcBorders>
          </w:tcPr>
          <w:p w:rsidR="009439AB" w:rsidRPr="003B4B07" w:rsidRDefault="009439AB">
            <w:pPr>
              <w:jc w:val="center"/>
              <w:rPr>
                <w:snapToGrid w:val="0"/>
                <w:sz w:val="18"/>
                <w:szCs w:val="18"/>
              </w:rPr>
            </w:pPr>
            <w:r w:rsidRPr="003B4B07">
              <w:rPr>
                <w:snapToGrid w:val="0"/>
                <w:sz w:val="18"/>
                <w:szCs w:val="18"/>
              </w:rPr>
              <w:t>0840</w:t>
            </w:r>
          </w:p>
        </w:tc>
        <w:tc>
          <w:tcPr>
            <w:tcW w:w="1518" w:type="pct"/>
            <w:tcBorders>
              <w:top w:val="single" w:sz="4" w:space="0" w:color="auto"/>
              <w:left w:val="single" w:sz="4" w:space="0" w:color="auto"/>
              <w:bottom w:val="nil"/>
              <w:right w:val="single" w:sz="4" w:space="0" w:color="auto"/>
            </w:tcBorders>
            <w:vAlign w:val="center"/>
          </w:tcPr>
          <w:p w:rsidR="009439AB" w:rsidRPr="003B4B07" w:rsidRDefault="009439AB">
            <w:pPr>
              <w:autoSpaceDE w:val="0"/>
              <w:autoSpaceDN w:val="0"/>
              <w:adjustRightInd w:val="0"/>
              <w:rPr>
                <w:sz w:val="18"/>
                <w:szCs w:val="18"/>
              </w:rPr>
            </w:pPr>
            <w:r w:rsidRPr="003B4B07">
              <w:rPr>
                <w:sz w:val="18"/>
                <w:szCs w:val="18"/>
              </w:rPr>
              <w:t>CONTINGENCY</w:t>
            </w:r>
          </w:p>
        </w:tc>
        <w:tc>
          <w:tcPr>
            <w:tcW w:w="670" w:type="pct"/>
            <w:tcBorders>
              <w:top w:val="single" w:sz="4" w:space="0" w:color="auto"/>
              <w:left w:val="single" w:sz="4" w:space="0" w:color="auto"/>
              <w:bottom w:val="nil"/>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bottom w:val="nil"/>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4,966,411</w:t>
            </w:r>
          </w:p>
        </w:tc>
        <w:tc>
          <w:tcPr>
            <w:tcW w:w="714" w:type="pct"/>
            <w:tcBorders>
              <w:top w:val="single" w:sz="4" w:space="0" w:color="auto"/>
              <w:left w:val="single" w:sz="4" w:space="0" w:color="auto"/>
              <w:bottom w:val="nil"/>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3,937,387</w:t>
            </w:r>
          </w:p>
        </w:tc>
        <w:tc>
          <w:tcPr>
            <w:tcW w:w="580" w:type="pct"/>
            <w:tcBorders>
              <w:top w:val="single" w:sz="4" w:space="0" w:color="auto"/>
              <w:left w:val="single" w:sz="4" w:space="0" w:color="auto"/>
              <w:bottom w:val="nil"/>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(1,029,024)</w:t>
            </w:r>
          </w:p>
        </w:tc>
        <w:tc>
          <w:tcPr>
            <w:tcW w:w="491" w:type="pct"/>
            <w:tcBorders>
              <w:top w:val="single" w:sz="4" w:space="0" w:color="auto"/>
              <w:left w:val="single" w:sz="4" w:space="0" w:color="auto"/>
              <w:bottom w:val="nil"/>
              <w:right w:val="single" w:sz="4" w:space="0" w:color="auto"/>
            </w:tcBorders>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-20.7</w:t>
            </w:r>
          </w:p>
        </w:tc>
      </w:tr>
      <w:tr w:rsidR="009439AB" w:rsidRPr="00842A02" w:rsidTr="009439AB">
        <w:trPr>
          <w:trHeight w:val="259"/>
        </w:trPr>
        <w:tc>
          <w:tcPr>
            <w:tcW w:w="357" w:type="pct"/>
            <w:tcBorders>
              <w:top w:val="nil"/>
              <w:left w:val="single" w:sz="4" w:space="0" w:color="auto"/>
              <w:bottom w:val="single" w:sz="4" w:space="0" w:color="auto"/>
              <w:right w:val="single" w:sz="4" w:space="0" w:color="auto"/>
            </w:tcBorders>
          </w:tcPr>
          <w:p w:rsidR="009439AB" w:rsidRPr="003B4B07" w:rsidRDefault="009439AB">
            <w:pPr>
              <w:jc w:val="right"/>
              <w:rPr>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3B4B07" w:rsidRDefault="009439AB">
            <w:pPr>
              <w:autoSpaceDE w:val="0"/>
              <w:autoSpaceDN w:val="0"/>
              <w:adjustRightInd w:val="0"/>
              <w:rPr>
                <w:sz w:val="18"/>
                <w:szCs w:val="18"/>
              </w:rPr>
            </w:pPr>
            <w:r w:rsidRPr="003B4B07">
              <w:rPr>
                <w:i/>
                <w:snapToGrid w:val="0"/>
                <w:sz w:val="18"/>
                <w:szCs w:val="18"/>
              </w:rPr>
              <w:t>Percent of General Fund Expense</w:t>
            </w:r>
          </w:p>
        </w:tc>
        <w:tc>
          <w:tcPr>
            <w:tcW w:w="670"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nil"/>
              <w:left w:val="single" w:sz="4" w:space="0" w:color="auto"/>
              <w:bottom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29,0</w:t>
            </w:r>
          </w:p>
        </w:tc>
        <w:tc>
          <w:tcPr>
            <w:tcW w:w="714" w:type="pct"/>
            <w:tcBorders>
              <w:top w:val="nil"/>
              <w:left w:val="single" w:sz="4" w:space="0" w:color="auto"/>
              <w:bottom w:val="single" w:sz="4" w:space="0" w:color="auto"/>
              <w:right w:val="single" w:sz="4" w:space="0" w:color="auto"/>
            </w:tcBorders>
            <w:vAlign w:val="center"/>
          </w:tcPr>
          <w:p w:rsidR="009439AB" w:rsidRPr="009439AB" w:rsidRDefault="00A46F79">
            <w:pPr>
              <w:autoSpaceDE w:val="0"/>
              <w:autoSpaceDN w:val="0"/>
              <w:adjustRightInd w:val="0"/>
              <w:jc w:val="right"/>
              <w:rPr>
                <w:color w:val="000000"/>
                <w:sz w:val="18"/>
                <w:szCs w:val="18"/>
              </w:rPr>
            </w:pPr>
            <w:r>
              <w:rPr>
                <w:color w:val="000000"/>
                <w:sz w:val="18"/>
                <w:szCs w:val="18"/>
              </w:rPr>
              <w:t>22.6</w:t>
            </w:r>
          </w:p>
        </w:tc>
        <w:tc>
          <w:tcPr>
            <w:tcW w:w="580" w:type="pct"/>
            <w:tcBorders>
              <w:top w:val="nil"/>
              <w:left w:val="single" w:sz="4" w:space="0" w:color="auto"/>
              <w:bottom w:val="single" w:sz="4" w:space="0" w:color="auto"/>
              <w:right w:val="single" w:sz="4" w:space="0" w:color="auto"/>
            </w:tcBorders>
            <w:vAlign w:val="center"/>
          </w:tcPr>
          <w:p w:rsidR="009439AB" w:rsidRPr="009439AB" w:rsidRDefault="009439AB" w:rsidP="00543652">
            <w:pPr>
              <w:autoSpaceDE w:val="0"/>
              <w:autoSpaceDN w:val="0"/>
              <w:adjustRightInd w:val="0"/>
              <w:jc w:val="right"/>
              <w:rPr>
                <w:color w:val="000000"/>
                <w:sz w:val="18"/>
                <w:szCs w:val="18"/>
              </w:rPr>
            </w:pPr>
          </w:p>
        </w:tc>
        <w:tc>
          <w:tcPr>
            <w:tcW w:w="491" w:type="pct"/>
            <w:tcBorders>
              <w:top w:val="nil"/>
              <w:left w:val="single" w:sz="4" w:space="0" w:color="auto"/>
              <w:bottom w:val="single" w:sz="4" w:space="0" w:color="auto"/>
              <w:right w:val="single" w:sz="4" w:space="0" w:color="auto"/>
            </w:tcBorders>
            <w:vAlign w:val="center"/>
          </w:tcPr>
          <w:p w:rsidR="009439AB" w:rsidRPr="009439AB" w:rsidRDefault="009439AB" w:rsidP="00543652">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single" w:sz="4" w:space="0" w:color="auto"/>
              <w:left w:val="single" w:sz="4" w:space="0" w:color="auto"/>
              <w:bottom w:val="single" w:sz="4" w:space="0" w:color="auto"/>
              <w:right w:val="nil"/>
            </w:tcBorders>
            <w:shd w:val="clear" w:color="auto" w:fill="D9D9D9"/>
            <w:vAlign w:val="center"/>
          </w:tcPr>
          <w:p w:rsidR="009439AB" w:rsidRPr="003B4B07" w:rsidRDefault="009439AB">
            <w:pPr>
              <w:jc w:val="right"/>
              <w:rPr>
                <w:snapToGrid w:val="0"/>
                <w:sz w:val="18"/>
                <w:szCs w:val="18"/>
              </w:rPr>
            </w:pPr>
          </w:p>
        </w:tc>
        <w:tc>
          <w:tcPr>
            <w:tcW w:w="1518" w:type="pct"/>
            <w:tcBorders>
              <w:top w:val="single" w:sz="4" w:space="0" w:color="auto"/>
              <w:left w:val="nil"/>
              <w:bottom w:val="single" w:sz="4" w:space="0" w:color="auto"/>
              <w:right w:val="single" w:sz="4" w:space="0" w:color="auto"/>
            </w:tcBorders>
            <w:shd w:val="clear" w:color="auto" w:fill="D9D9D9"/>
            <w:vAlign w:val="center"/>
          </w:tcPr>
          <w:p w:rsidR="009439AB" w:rsidRPr="003B4B07" w:rsidRDefault="009439AB">
            <w:pPr>
              <w:autoSpaceDE w:val="0"/>
              <w:autoSpaceDN w:val="0"/>
              <w:adjustRightInd w:val="0"/>
              <w:rPr>
                <w:i/>
                <w:snapToGrid w:val="0"/>
                <w:sz w:val="18"/>
                <w:szCs w:val="18"/>
              </w:rPr>
            </w:pPr>
            <w:r w:rsidRPr="003B4B07">
              <w:rPr>
                <w:b/>
                <w:snapToGrid w:val="0"/>
                <w:sz w:val="18"/>
                <w:szCs w:val="18"/>
              </w:rPr>
              <w:t>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16,186,162</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22,099,200</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B026F7">
            <w:pPr>
              <w:autoSpaceDE w:val="0"/>
              <w:autoSpaceDN w:val="0"/>
              <w:adjustRightInd w:val="0"/>
              <w:jc w:val="right"/>
              <w:rPr>
                <w:color w:val="000000"/>
                <w:sz w:val="18"/>
                <w:szCs w:val="18"/>
              </w:rPr>
            </w:pPr>
            <w:r>
              <w:rPr>
                <w:color w:val="000000"/>
                <w:sz w:val="18"/>
                <w:szCs w:val="18"/>
              </w:rPr>
              <w:t>21,336,322</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543652">
            <w:pPr>
              <w:autoSpaceDE w:val="0"/>
              <w:autoSpaceDN w:val="0"/>
              <w:adjustRightInd w:val="0"/>
              <w:jc w:val="right"/>
              <w:rPr>
                <w:color w:val="000000"/>
                <w:sz w:val="18"/>
                <w:szCs w:val="18"/>
              </w:rPr>
            </w:pPr>
            <w:r>
              <w:rPr>
                <w:color w:val="000000"/>
                <w:sz w:val="18"/>
                <w:szCs w:val="18"/>
              </w:rPr>
              <w:t>(762,878)</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A46F79" w:rsidP="00543652">
            <w:pPr>
              <w:autoSpaceDE w:val="0"/>
              <w:autoSpaceDN w:val="0"/>
              <w:adjustRightInd w:val="0"/>
              <w:jc w:val="right"/>
              <w:rPr>
                <w:color w:val="000000"/>
                <w:sz w:val="18"/>
                <w:szCs w:val="18"/>
              </w:rPr>
            </w:pPr>
            <w:r>
              <w:rPr>
                <w:color w:val="000000"/>
                <w:sz w:val="18"/>
                <w:szCs w:val="18"/>
              </w:rPr>
              <w:t>-3.5</w:t>
            </w:r>
          </w:p>
        </w:tc>
      </w:tr>
    </w:tbl>
    <w:p w:rsidR="007A0089" w:rsidRPr="00842A02" w:rsidRDefault="00272610">
      <w:pPr>
        <w:rPr>
          <w:bCs/>
          <w:i/>
          <w:sz w:val="18"/>
        </w:rPr>
      </w:pPr>
      <w:r w:rsidRPr="00842A02">
        <w:rPr>
          <w:bCs/>
          <w:i/>
          <w:sz w:val="18"/>
        </w:rPr>
        <w:t>* “Actual” excludes state payments on-behalf of the school district, which are unbudgeted as per state instructions.</w:t>
      </w:r>
    </w:p>
    <w:p w:rsidR="00EB196C" w:rsidRDefault="00EB196C">
      <w:pPr>
        <w:pStyle w:val="Heading2"/>
        <w:rPr>
          <w:sz w:val="22"/>
          <w:szCs w:val="22"/>
          <w:u w:val="single"/>
        </w:rPr>
      </w:pPr>
    </w:p>
    <w:p w:rsidR="00EB196C" w:rsidRDefault="00EB196C">
      <w:pPr>
        <w:pStyle w:val="Heading2"/>
        <w:rPr>
          <w:sz w:val="22"/>
          <w:szCs w:val="22"/>
          <w:u w:val="single"/>
        </w:rPr>
      </w:pPr>
    </w:p>
    <w:p w:rsidR="002A774D" w:rsidRDefault="002A774D" w:rsidP="00FB0924">
      <w:pPr>
        <w:rPr>
          <w:b/>
          <w:sz w:val="22"/>
          <w:szCs w:val="22"/>
          <w:u w:val="single"/>
        </w:rPr>
      </w:pPr>
    </w:p>
    <w:p w:rsidR="00FB0924" w:rsidRPr="00E21EA2" w:rsidRDefault="002737F9" w:rsidP="00FB0924">
      <w:pPr>
        <w:rPr>
          <w:sz w:val="22"/>
          <w:szCs w:val="22"/>
        </w:rPr>
      </w:pPr>
      <w:r w:rsidRPr="00E21EA2">
        <w:rPr>
          <w:b/>
          <w:sz w:val="22"/>
          <w:szCs w:val="22"/>
          <w:u w:val="single"/>
        </w:rPr>
        <w:t>Budget Reserve:</w:t>
      </w:r>
      <w:r w:rsidRPr="00E21EA2">
        <w:rPr>
          <w:b/>
          <w:sz w:val="22"/>
          <w:szCs w:val="22"/>
        </w:rPr>
        <w:t xml:space="preserve">  </w:t>
      </w:r>
      <w:r w:rsidR="00FB0924" w:rsidRPr="00E21EA2">
        <w:rPr>
          <w:sz w:val="22"/>
          <w:szCs w:val="22"/>
        </w:rPr>
        <w:t>KDE defines “total budget” as the budgeted expenditures in the General, Special Revenue, Capital Outlay, Building and Food Service Funds excluding the Contingency.  The budgeted reserve (Contingency) in the Draft Budget has been determined accordingly.</w:t>
      </w:r>
    </w:p>
    <w:p w:rsidR="00444FB2" w:rsidRPr="00E21EA2" w:rsidRDefault="00444FB2">
      <w:pPr>
        <w:rPr>
          <w:sz w:val="22"/>
          <w:szCs w:val="22"/>
        </w:rPr>
      </w:pPr>
    </w:p>
    <w:p w:rsidR="00FB0924" w:rsidRPr="00EE10EC" w:rsidRDefault="00FB0924" w:rsidP="00FB0924">
      <w:pPr>
        <w:rPr>
          <w:sz w:val="22"/>
          <w:szCs w:val="22"/>
        </w:rPr>
      </w:pPr>
      <w:r w:rsidRPr="00E21EA2">
        <w:rPr>
          <w:sz w:val="22"/>
          <w:szCs w:val="22"/>
        </w:rPr>
        <w:t xml:space="preserve">A local school district budget must include a reserve of at least 2.0% of the total budget.  The attached summary of General Fund expenditures includes a projected unrestricted reserve of </w:t>
      </w:r>
      <w:r w:rsidR="008C77E8">
        <w:rPr>
          <w:sz w:val="22"/>
          <w:szCs w:val="22"/>
        </w:rPr>
        <w:t>$</w:t>
      </w:r>
      <w:r w:rsidR="00A46F79">
        <w:rPr>
          <w:sz w:val="22"/>
          <w:szCs w:val="22"/>
        </w:rPr>
        <w:t>3,937,387</w:t>
      </w:r>
      <w:r w:rsidRPr="00EE10EC">
        <w:rPr>
          <w:sz w:val="22"/>
          <w:szCs w:val="22"/>
        </w:rPr>
        <w:t xml:space="preserve"> of the total budget</w:t>
      </w:r>
      <w:r w:rsidR="002A774D" w:rsidRPr="00EE10EC">
        <w:rPr>
          <w:sz w:val="22"/>
          <w:szCs w:val="22"/>
        </w:rPr>
        <w:t>.</w:t>
      </w:r>
    </w:p>
    <w:p w:rsidR="00FB0924" w:rsidRPr="00EE10EC" w:rsidRDefault="00FB0924" w:rsidP="00FB0924">
      <w:pPr>
        <w:rPr>
          <w:sz w:val="22"/>
          <w:szCs w:val="22"/>
        </w:rPr>
      </w:pPr>
    </w:p>
    <w:p w:rsidR="007A0089" w:rsidRPr="00E21EA2" w:rsidRDefault="00444FB2">
      <w:pPr>
        <w:rPr>
          <w:sz w:val="22"/>
          <w:szCs w:val="22"/>
        </w:rPr>
      </w:pPr>
      <w:r w:rsidRPr="00EE10EC">
        <w:rPr>
          <w:sz w:val="22"/>
          <w:szCs w:val="22"/>
        </w:rPr>
        <w:t xml:space="preserve">The </w:t>
      </w:r>
      <w:r w:rsidR="003662A7" w:rsidRPr="00EE10EC">
        <w:rPr>
          <w:sz w:val="22"/>
          <w:szCs w:val="22"/>
        </w:rPr>
        <w:t xml:space="preserve">projected </w:t>
      </w:r>
      <w:r w:rsidRPr="00EE10EC">
        <w:rPr>
          <w:sz w:val="22"/>
          <w:szCs w:val="22"/>
        </w:rPr>
        <w:t>reserve</w:t>
      </w:r>
      <w:r w:rsidR="00272610" w:rsidRPr="00EE10EC">
        <w:rPr>
          <w:sz w:val="22"/>
          <w:szCs w:val="22"/>
        </w:rPr>
        <w:t xml:space="preserve"> exceeds the minimum 2.0% </w:t>
      </w:r>
      <w:r w:rsidR="003662A7" w:rsidRPr="00EE10EC">
        <w:rPr>
          <w:sz w:val="22"/>
          <w:szCs w:val="22"/>
        </w:rPr>
        <w:t>requirement</w:t>
      </w:r>
      <w:r w:rsidR="00272610" w:rsidRPr="00EE10EC">
        <w:rPr>
          <w:sz w:val="22"/>
          <w:szCs w:val="22"/>
        </w:rPr>
        <w:t xml:space="preserve"> of $</w:t>
      </w:r>
      <w:r w:rsidR="00A46F79">
        <w:rPr>
          <w:sz w:val="22"/>
          <w:szCs w:val="22"/>
        </w:rPr>
        <w:t>492,627</w:t>
      </w:r>
      <w:r w:rsidR="00272610" w:rsidRPr="00EE10EC">
        <w:rPr>
          <w:sz w:val="22"/>
          <w:szCs w:val="22"/>
        </w:rPr>
        <w:t xml:space="preserve">.  The projected unrestricted reserve is </w:t>
      </w:r>
      <w:r w:rsidR="00A46F79">
        <w:rPr>
          <w:sz w:val="22"/>
          <w:szCs w:val="22"/>
        </w:rPr>
        <w:t>16.0</w:t>
      </w:r>
      <w:r w:rsidR="00272610" w:rsidRPr="00EE10EC">
        <w:rPr>
          <w:sz w:val="22"/>
          <w:szCs w:val="22"/>
        </w:rPr>
        <w:t>% of the amount projected for all funds.  The desired level of reserve for the budget after approval of</w:t>
      </w:r>
      <w:r w:rsidR="00272610" w:rsidRPr="00E21EA2">
        <w:rPr>
          <w:sz w:val="22"/>
          <w:szCs w:val="22"/>
        </w:rPr>
        <w:t xml:space="preserve"> all expenses, including salary improvements, is a</w:t>
      </w:r>
      <w:r w:rsidR="002F57E1">
        <w:rPr>
          <w:sz w:val="22"/>
          <w:szCs w:val="22"/>
        </w:rPr>
        <w:t>pproximately</w:t>
      </w:r>
      <w:r w:rsidR="00272610" w:rsidRPr="00E21EA2">
        <w:rPr>
          <w:sz w:val="22"/>
          <w:szCs w:val="22"/>
        </w:rPr>
        <w:t xml:space="preserve"> eight percent (8.0%) of the total budget.</w:t>
      </w:r>
    </w:p>
    <w:p w:rsidR="00444FB2" w:rsidRPr="00E21EA2" w:rsidRDefault="00444FB2">
      <w:pPr>
        <w:rPr>
          <w:sz w:val="22"/>
          <w:szCs w:val="22"/>
        </w:rPr>
      </w:pPr>
    </w:p>
    <w:p w:rsidR="003662A7" w:rsidRDefault="00FB0924" w:rsidP="00FB0924">
      <w:pPr>
        <w:pStyle w:val="BodyText"/>
        <w:rPr>
          <w:sz w:val="22"/>
          <w:szCs w:val="22"/>
        </w:rPr>
      </w:pPr>
      <w:r w:rsidRPr="00E21EA2">
        <w:rPr>
          <w:sz w:val="22"/>
          <w:szCs w:val="22"/>
        </w:rPr>
        <w:lastRenderedPageBreak/>
        <w:t xml:space="preserve">It is important to remember that the purpose of an adequate reserve is to provide a “buffer” to </w:t>
      </w:r>
      <w:r w:rsidR="002F57E1">
        <w:rPr>
          <w:sz w:val="22"/>
          <w:szCs w:val="22"/>
        </w:rPr>
        <w:t xml:space="preserve">minimize the disruption of </w:t>
      </w:r>
      <w:r w:rsidRPr="00E21EA2">
        <w:rPr>
          <w:sz w:val="22"/>
          <w:szCs w:val="22"/>
        </w:rPr>
        <w:t xml:space="preserve">instructional </w:t>
      </w:r>
      <w:r w:rsidR="003662A7">
        <w:rPr>
          <w:sz w:val="22"/>
          <w:szCs w:val="22"/>
        </w:rPr>
        <w:t xml:space="preserve">programs </w:t>
      </w:r>
      <w:r w:rsidR="002F57E1">
        <w:rPr>
          <w:sz w:val="22"/>
          <w:szCs w:val="22"/>
        </w:rPr>
        <w:t xml:space="preserve">deemed critical by the Board </w:t>
      </w:r>
      <w:r w:rsidRPr="00E21EA2">
        <w:rPr>
          <w:sz w:val="22"/>
          <w:szCs w:val="22"/>
        </w:rPr>
        <w:t xml:space="preserve">during times of negative shifts </w:t>
      </w:r>
      <w:r w:rsidR="00220A89" w:rsidRPr="00E21EA2">
        <w:rPr>
          <w:sz w:val="22"/>
          <w:szCs w:val="22"/>
        </w:rPr>
        <w:t>in state revenue</w:t>
      </w:r>
      <w:r w:rsidR="008C77E8">
        <w:rPr>
          <w:sz w:val="22"/>
          <w:szCs w:val="22"/>
        </w:rPr>
        <w:t>.</w:t>
      </w:r>
    </w:p>
    <w:p w:rsidR="008C77E8" w:rsidRDefault="008C77E8" w:rsidP="00FB0924">
      <w:pPr>
        <w:pStyle w:val="BodyText"/>
        <w:rPr>
          <w:sz w:val="22"/>
          <w:szCs w:val="22"/>
        </w:rPr>
      </w:pPr>
    </w:p>
    <w:p w:rsidR="00210040" w:rsidRPr="00E21EA2" w:rsidRDefault="00210040" w:rsidP="00210040">
      <w:pPr>
        <w:pStyle w:val="BodyText"/>
        <w:rPr>
          <w:sz w:val="22"/>
          <w:szCs w:val="22"/>
        </w:rPr>
      </w:pPr>
      <w:r w:rsidRPr="00E21EA2">
        <w:rPr>
          <w:sz w:val="22"/>
          <w:szCs w:val="22"/>
        </w:rPr>
        <w:t xml:space="preserve">The Board </w:t>
      </w:r>
      <w:r>
        <w:rPr>
          <w:sz w:val="22"/>
          <w:szCs w:val="22"/>
        </w:rPr>
        <w:t>is strongly urged to develop a strategy that would use</w:t>
      </w:r>
      <w:r w:rsidRPr="00E21EA2">
        <w:rPr>
          <w:sz w:val="22"/>
          <w:szCs w:val="22"/>
        </w:rPr>
        <w:t xml:space="preserve"> both the unrestricted reserve and General Fund Escrow in conjunction with reduction of expenses during the next two (2) years to offset </w:t>
      </w:r>
      <w:r>
        <w:rPr>
          <w:sz w:val="22"/>
          <w:szCs w:val="22"/>
        </w:rPr>
        <w:t>any</w:t>
      </w:r>
      <w:r w:rsidRPr="00E21EA2">
        <w:rPr>
          <w:sz w:val="22"/>
          <w:szCs w:val="22"/>
        </w:rPr>
        <w:t xml:space="preserve"> reduction in state funding for SEEK General Fund instructional programs.  It is imperative that if reduced revenue for Special Revenue programs happen that comparable reductions in expense for these programs occur.</w:t>
      </w:r>
    </w:p>
    <w:p w:rsidR="00444FB2" w:rsidRPr="00E21EA2" w:rsidRDefault="00444FB2">
      <w:pPr>
        <w:rPr>
          <w:sz w:val="22"/>
          <w:szCs w:val="22"/>
        </w:rPr>
      </w:pPr>
    </w:p>
    <w:p w:rsidR="008F7AAD" w:rsidRDefault="00272610">
      <w:pPr>
        <w:rPr>
          <w:sz w:val="22"/>
          <w:szCs w:val="22"/>
        </w:rPr>
      </w:pPr>
      <w:r w:rsidRPr="00E21EA2">
        <w:rPr>
          <w:sz w:val="22"/>
          <w:szCs w:val="22"/>
        </w:rPr>
        <w:t xml:space="preserve">This Draft Budget includes higher projected expense than projected </w:t>
      </w:r>
      <w:r w:rsidRPr="00EE10EC">
        <w:rPr>
          <w:sz w:val="22"/>
          <w:szCs w:val="22"/>
        </w:rPr>
        <w:t>revenue</w:t>
      </w:r>
      <w:r w:rsidR="005D1939">
        <w:rPr>
          <w:sz w:val="22"/>
          <w:szCs w:val="22"/>
        </w:rPr>
        <w:t xml:space="preserve">.  </w:t>
      </w:r>
      <w:r w:rsidR="008F7AAD">
        <w:rPr>
          <w:sz w:val="22"/>
          <w:szCs w:val="22"/>
        </w:rPr>
        <w:t>During the next two (2) fiscal years, i</w:t>
      </w:r>
      <w:r w:rsidRPr="00E21EA2">
        <w:rPr>
          <w:sz w:val="22"/>
          <w:szCs w:val="22"/>
        </w:rPr>
        <w:t xml:space="preserve">t is important for the Board to maintain </w:t>
      </w:r>
      <w:r w:rsidR="008F7AAD">
        <w:rPr>
          <w:sz w:val="22"/>
          <w:szCs w:val="22"/>
        </w:rPr>
        <w:t xml:space="preserve">as much as possible </w:t>
      </w:r>
      <w:r w:rsidRPr="00E21EA2">
        <w:rPr>
          <w:sz w:val="22"/>
          <w:szCs w:val="22"/>
        </w:rPr>
        <w:t xml:space="preserve">a pattern of </w:t>
      </w:r>
      <w:r w:rsidR="008F7AAD">
        <w:rPr>
          <w:sz w:val="22"/>
          <w:szCs w:val="22"/>
        </w:rPr>
        <w:t xml:space="preserve">General Fund </w:t>
      </w:r>
      <w:r w:rsidRPr="00E21EA2">
        <w:rPr>
          <w:sz w:val="22"/>
          <w:szCs w:val="22"/>
        </w:rPr>
        <w:t xml:space="preserve">expenditures that are not more than </w:t>
      </w:r>
      <w:r w:rsidR="008F7AAD">
        <w:rPr>
          <w:sz w:val="22"/>
          <w:szCs w:val="22"/>
        </w:rPr>
        <w:t xml:space="preserve">General Fund </w:t>
      </w:r>
      <w:r w:rsidRPr="00E21EA2">
        <w:rPr>
          <w:sz w:val="22"/>
          <w:szCs w:val="22"/>
        </w:rPr>
        <w:t>receipts, excluding the budget reserve.</w:t>
      </w:r>
      <w:r w:rsidR="008F7AAD">
        <w:rPr>
          <w:sz w:val="22"/>
          <w:szCs w:val="22"/>
        </w:rPr>
        <w:t xml:space="preserve">  However, given what little is known about SEEK funding for the next two (2) years, this may prove difficult to achieve.</w:t>
      </w:r>
    </w:p>
    <w:p w:rsidR="008F7AAD" w:rsidRDefault="008F7AAD">
      <w:pPr>
        <w:rPr>
          <w:sz w:val="22"/>
          <w:szCs w:val="22"/>
        </w:rPr>
      </w:pPr>
    </w:p>
    <w:p w:rsidR="003662A7" w:rsidRDefault="00272610">
      <w:pPr>
        <w:rPr>
          <w:sz w:val="22"/>
          <w:szCs w:val="22"/>
        </w:rPr>
      </w:pPr>
      <w:r w:rsidRPr="00E21EA2">
        <w:rPr>
          <w:sz w:val="22"/>
          <w:szCs w:val="22"/>
        </w:rPr>
        <w:t xml:space="preserve">Expenses in all other funds are projected to be equal to projected receipts.  The major part of the higher expense projected for </w:t>
      </w:r>
      <w:r w:rsidR="00A46F79">
        <w:rPr>
          <w:sz w:val="22"/>
          <w:szCs w:val="22"/>
        </w:rPr>
        <w:t>2018-19</w:t>
      </w:r>
      <w:r w:rsidRPr="00E21EA2">
        <w:rPr>
          <w:sz w:val="22"/>
          <w:szCs w:val="22"/>
        </w:rPr>
        <w:t xml:space="preserve"> is increased personnel costs.  The other important factor is the cost of continuing Board initiated programs</w:t>
      </w:r>
    </w:p>
    <w:p w:rsidR="003662A7" w:rsidRDefault="003662A7">
      <w:pPr>
        <w:rPr>
          <w:sz w:val="22"/>
          <w:szCs w:val="22"/>
        </w:rPr>
      </w:pPr>
    </w:p>
    <w:p w:rsidR="007A0089" w:rsidRPr="003662A7" w:rsidRDefault="00272610">
      <w:pPr>
        <w:rPr>
          <w:bCs/>
          <w:sz w:val="22"/>
          <w:szCs w:val="22"/>
        </w:rPr>
      </w:pPr>
      <w:r w:rsidRPr="003662A7">
        <w:rPr>
          <w:bCs/>
          <w:sz w:val="22"/>
          <w:szCs w:val="22"/>
        </w:rPr>
        <w:t xml:space="preserve">If SEEK revenue is subsequently higher than projected in this narrative, the Board should not increase expense.  </w:t>
      </w:r>
      <w:r w:rsidR="008F7AAD">
        <w:rPr>
          <w:bCs/>
          <w:sz w:val="22"/>
          <w:szCs w:val="22"/>
        </w:rPr>
        <w:t xml:space="preserve">The top priority </w:t>
      </w:r>
      <w:r w:rsidRPr="003662A7">
        <w:rPr>
          <w:bCs/>
          <w:sz w:val="22"/>
          <w:szCs w:val="22"/>
        </w:rPr>
        <w:t xml:space="preserve">should </w:t>
      </w:r>
      <w:r w:rsidR="008F7AAD">
        <w:rPr>
          <w:bCs/>
          <w:sz w:val="22"/>
          <w:szCs w:val="22"/>
        </w:rPr>
        <w:t xml:space="preserve">be to </w:t>
      </w:r>
      <w:r w:rsidRPr="003662A7">
        <w:rPr>
          <w:bCs/>
          <w:sz w:val="22"/>
          <w:szCs w:val="22"/>
        </w:rPr>
        <w:t xml:space="preserve">use the additional revenue to reduce </w:t>
      </w:r>
      <w:r w:rsidR="008F7AAD">
        <w:rPr>
          <w:bCs/>
          <w:sz w:val="22"/>
          <w:szCs w:val="22"/>
        </w:rPr>
        <w:t>any</w:t>
      </w:r>
      <w:r w:rsidRPr="003662A7">
        <w:rPr>
          <w:bCs/>
          <w:sz w:val="22"/>
          <w:szCs w:val="22"/>
        </w:rPr>
        <w:t xml:space="preserve"> gap between recurring revenue and expense.</w:t>
      </w:r>
    </w:p>
    <w:p w:rsidR="00F37C20" w:rsidRPr="00E21EA2" w:rsidRDefault="00F37C20">
      <w:pPr>
        <w:rPr>
          <w:sz w:val="22"/>
          <w:szCs w:val="22"/>
        </w:rPr>
      </w:pPr>
    </w:p>
    <w:p w:rsidR="00E52170" w:rsidRPr="00E21EA2" w:rsidRDefault="00E52170">
      <w:pPr>
        <w:rPr>
          <w:sz w:val="22"/>
          <w:szCs w:val="22"/>
        </w:rPr>
      </w:pPr>
    </w:p>
    <w:p w:rsidR="007A0089" w:rsidRPr="00E21EA2" w:rsidRDefault="00272610">
      <w:pPr>
        <w:rPr>
          <w:sz w:val="22"/>
          <w:szCs w:val="22"/>
        </w:rPr>
      </w:pPr>
      <w:r w:rsidRPr="00E21EA2">
        <w:rPr>
          <w:sz w:val="22"/>
          <w:szCs w:val="22"/>
          <w:u w:val="single"/>
        </w:rPr>
        <w:t>RECOMMENDATION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Take this information under advisement and approve a motion that the Board has reviewed projected revenue and expense for </w:t>
      </w:r>
      <w:r w:rsidR="00A46F79">
        <w:rPr>
          <w:sz w:val="22"/>
          <w:szCs w:val="22"/>
        </w:rPr>
        <w:t>2018-19</w:t>
      </w:r>
      <w:r w:rsidRPr="00E21EA2">
        <w:rPr>
          <w:sz w:val="22"/>
          <w:szCs w:val="22"/>
        </w:rPr>
        <w:t xml:space="preserve"> pursuant to KRS 160.470.  Action on the school allocations should be taken at a regular meeting in February 2</w:t>
      </w:r>
      <w:r w:rsidR="00924593">
        <w:rPr>
          <w:sz w:val="22"/>
          <w:szCs w:val="22"/>
        </w:rPr>
        <w:t>01</w:t>
      </w:r>
      <w:r w:rsidR="006D4E8F">
        <w:rPr>
          <w:sz w:val="22"/>
          <w:szCs w:val="22"/>
        </w:rPr>
        <w:t>7</w:t>
      </w:r>
      <w:r w:rsidRPr="00E21EA2">
        <w:rPr>
          <w:sz w:val="22"/>
          <w:szCs w:val="22"/>
        </w:rPr>
        <w:t>.</w:t>
      </w:r>
    </w:p>
    <w:p w:rsidR="008F502A" w:rsidRPr="00E21EA2" w:rsidRDefault="008F502A">
      <w:pPr>
        <w:rPr>
          <w:sz w:val="22"/>
          <w:szCs w:val="22"/>
        </w:rPr>
      </w:pPr>
    </w:p>
    <w:p w:rsidR="008F502A" w:rsidRPr="00842A02" w:rsidRDefault="008F502A">
      <w:pPr>
        <w:rPr>
          <w:sz w:val="24"/>
        </w:rPr>
        <w:sectPr w:rsidR="008F502A" w:rsidRPr="00842A02" w:rsidSect="007A0089">
          <w:headerReference w:type="default" r:id="rId8"/>
          <w:footerReference w:type="default" r:id="rId9"/>
          <w:pgSz w:w="12240" w:h="15840" w:code="1"/>
          <w:pgMar w:top="1152" w:right="1800" w:bottom="1152" w:left="1800" w:header="720" w:footer="720" w:gutter="0"/>
          <w:cols w:space="720"/>
        </w:sectPr>
      </w:pPr>
    </w:p>
    <w:p w:rsidR="007A0089" w:rsidRPr="00E21EA2" w:rsidRDefault="00272610">
      <w:pPr>
        <w:pStyle w:val="Heading3"/>
        <w:rPr>
          <w:sz w:val="22"/>
          <w:szCs w:val="22"/>
        </w:rPr>
      </w:pPr>
      <w:r w:rsidRPr="00E21EA2">
        <w:rPr>
          <w:sz w:val="22"/>
          <w:szCs w:val="22"/>
        </w:rPr>
        <w:lastRenderedPageBreak/>
        <w:t>APPENDIX A</w:t>
      </w:r>
    </w:p>
    <w:p w:rsidR="007A0089" w:rsidRPr="00E21EA2" w:rsidRDefault="007A0089">
      <w:pPr>
        <w:jc w:val="center"/>
        <w:rPr>
          <w:b/>
          <w:bCs/>
          <w:sz w:val="22"/>
          <w:szCs w:val="22"/>
        </w:rPr>
      </w:pPr>
    </w:p>
    <w:p w:rsidR="007A0089" w:rsidRPr="00E21EA2" w:rsidRDefault="00272610">
      <w:pPr>
        <w:pStyle w:val="BodyText"/>
        <w:rPr>
          <w:sz w:val="22"/>
          <w:szCs w:val="22"/>
        </w:rPr>
      </w:pPr>
      <w:r w:rsidRPr="00E21EA2">
        <w:rPr>
          <w:sz w:val="22"/>
          <w:szCs w:val="22"/>
          <w:u w:val="single"/>
        </w:rPr>
        <w:t>EXPENSE TYPES</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Within each major function, specific types of expenses are grouped together.  These groupings utilize the first two (2) digits of the object.  For instance, salary-related object codes always begin with </w:t>
      </w:r>
      <w:r w:rsidRPr="00E21EA2">
        <w:rPr>
          <w:b/>
          <w:bCs/>
          <w:sz w:val="22"/>
          <w:szCs w:val="22"/>
          <w:u w:val="single"/>
        </w:rPr>
        <w:t xml:space="preserve">01 </w:t>
      </w:r>
      <w:r w:rsidRPr="00E21EA2">
        <w:rPr>
          <w:sz w:val="22"/>
          <w:szCs w:val="22"/>
        </w:rPr>
        <w:t>(</w:t>
      </w:r>
      <w:r w:rsidRPr="00E21EA2">
        <w:rPr>
          <w:b/>
          <w:bCs/>
          <w:sz w:val="22"/>
          <w:szCs w:val="22"/>
          <w:u w:val="single"/>
        </w:rPr>
        <w:t>01</w:t>
      </w:r>
      <w:r w:rsidRPr="00E21EA2">
        <w:rPr>
          <w:sz w:val="22"/>
          <w:szCs w:val="22"/>
        </w:rPr>
        <w:t xml:space="preserve">10, </w:t>
      </w:r>
      <w:r w:rsidRPr="00E21EA2">
        <w:rPr>
          <w:b/>
          <w:bCs/>
          <w:sz w:val="22"/>
          <w:szCs w:val="22"/>
          <w:u w:val="single"/>
        </w:rPr>
        <w:t>01</w:t>
      </w:r>
      <w:r w:rsidRPr="00E21EA2">
        <w:rPr>
          <w:sz w:val="22"/>
          <w:szCs w:val="22"/>
        </w:rPr>
        <w:t xml:space="preserve">20, </w:t>
      </w:r>
      <w:r w:rsidRPr="00E21EA2">
        <w:rPr>
          <w:b/>
          <w:bCs/>
          <w:sz w:val="22"/>
          <w:szCs w:val="22"/>
          <w:u w:val="single"/>
        </w:rPr>
        <w:t>01</w:t>
      </w:r>
      <w:r w:rsidRPr="00E21EA2">
        <w:rPr>
          <w:sz w:val="22"/>
          <w:szCs w:val="22"/>
        </w:rPr>
        <w:t>30, etc.), so the “</w:t>
      </w:r>
      <w:r w:rsidRPr="00E21EA2">
        <w:rPr>
          <w:b/>
          <w:bCs/>
          <w:sz w:val="22"/>
          <w:szCs w:val="22"/>
          <w:u w:val="single"/>
        </w:rPr>
        <w:t>01</w:t>
      </w:r>
      <w:r w:rsidRPr="00E21EA2">
        <w:rPr>
          <w:sz w:val="22"/>
          <w:szCs w:val="22"/>
        </w:rPr>
        <w:t>” causes these expenses to be combined in the expense type grouping “</w:t>
      </w:r>
      <w:r w:rsidRPr="00E21EA2">
        <w:rPr>
          <w:b/>
          <w:bCs/>
          <w:sz w:val="22"/>
          <w:szCs w:val="22"/>
        </w:rPr>
        <w:t>0100</w:t>
      </w:r>
      <w:r w:rsidRPr="00E21EA2">
        <w:rPr>
          <w:sz w:val="22"/>
          <w:szCs w:val="22"/>
        </w:rPr>
        <w:t xml:space="preserve">.”  The following summarizes the types of expenses grouped under the function:  </w:t>
      </w:r>
    </w:p>
    <w:p w:rsidR="007A0089" w:rsidRPr="00E21EA2" w:rsidRDefault="007A0089">
      <w:pPr>
        <w:rPr>
          <w:sz w:val="22"/>
          <w:szCs w:val="22"/>
        </w:rPr>
      </w:pPr>
    </w:p>
    <w:p w:rsidR="007A0089" w:rsidRPr="00E21EA2" w:rsidRDefault="00272610">
      <w:pPr>
        <w:rPr>
          <w:sz w:val="22"/>
          <w:szCs w:val="22"/>
        </w:rPr>
      </w:pPr>
      <w:r w:rsidRPr="00E21EA2">
        <w:rPr>
          <w:b/>
          <w:bCs/>
          <w:sz w:val="22"/>
          <w:szCs w:val="22"/>
        </w:rPr>
        <w:t>0100</w:t>
      </w:r>
      <w:r w:rsidRPr="00E21EA2">
        <w:rPr>
          <w:b/>
          <w:bCs/>
          <w:sz w:val="22"/>
          <w:szCs w:val="22"/>
        </w:rPr>
        <w:tab/>
        <w:t>Salaries Personnel Services</w:t>
      </w:r>
      <w:r w:rsidRPr="00E21EA2">
        <w:rPr>
          <w:sz w:val="22"/>
          <w:szCs w:val="22"/>
        </w:rPr>
        <w:t xml:space="preserve"> – salary-related expenses, such as wages, stipends,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0200</w:t>
      </w:r>
      <w:r w:rsidRPr="00E21EA2">
        <w:rPr>
          <w:b/>
          <w:bCs/>
          <w:sz w:val="22"/>
          <w:szCs w:val="22"/>
        </w:rPr>
        <w:tab/>
        <w:t xml:space="preserve">Employee </w:t>
      </w:r>
      <w:r w:rsidR="00E97B25" w:rsidRPr="00E21EA2">
        <w:rPr>
          <w:b/>
          <w:bCs/>
          <w:sz w:val="22"/>
          <w:szCs w:val="22"/>
        </w:rPr>
        <w:t xml:space="preserve">Benefits </w:t>
      </w:r>
      <w:r w:rsidR="00E97B25" w:rsidRPr="00E21EA2">
        <w:rPr>
          <w:sz w:val="22"/>
          <w:szCs w:val="22"/>
        </w:rPr>
        <w:t>–</w:t>
      </w:r>
      <w:r w:rsidRPr="00E21EA2">
        <w:rPr>
          <w:sz w:val="22"/>
          <w:szCs w:val="22"/>
        </w:rPr>
        <w:t xml:space="preserve"> fringe benefits, such as employee insurance, FICA match, Medicare match, CERS match, and KTRS match, when applicable</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0300</w:t>
      </w:r>
      <w:r w:rsidRPr="00E21EA2">
        <w:rPr>
          <w:b/>
          <w:bCs/>
          <w:sz w:val="22"/>
          <w:szCs w:val="22"/>
        </w:rPr>
        <w:tab/>
        <w:t>Purchased Professional &amp; Technical Services</w:t>
      </w:r>
      <w:r w:rsidRPr="00E21EA2">
        <w:rPr>
          <w:sz w:val="22"/>
          <w:szCs w:val="22"/>
        </w:rPr>
        <w:t xml:space="preserve"> – contractual services, such as legal, consultants, audit, architectural, engineering,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0400</w:t>
      </w:r>
      <w:r w:rsidRPr="00E21EA2">
        <w:rPr>
          <w:b/>
          <w:bCs/>
          <w:sz w:val="22"/>
          <w:szCs w:val="22"/>
        </w:rPr>
        <w:tab/>
        <w:t>Purchased Property Services</w:t>
      </w:r>
      <w:r w:rsidRPr="00E21EA2">
        <w:rPr>
          <w:sz w:val="22"/>
          <w:szCs w:val="22"/>
        </w:rPr>
        <w:t xml:space="preserve"> – other services, such as repairs/maintenance, rent utilities,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0500</w:t>
      </w:r>
      <w:r w:rsidRPr="00E21EA2">
        <w:rPr>
          <w:b/>
          <w:bCs/>
          <w:sz w:val="22"/>
          <w:szCs w:val="22"/>
        </w:rPr>
        <w:tab/>
        <w:t>Other Purchased Services</w:t>
      </w:r>
      <w:r w:rsidRPr="00E21EA2">
        <w:rPr>
          <w:sz w:val="22"/>
          <w:szCs w:val="22"/>
        </w:rPr>
        <w:t xml:space="preserve"> – expenses such as travel, telephone, postage, advertising, insurance, printing,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0600</w:t>
      </w:r>
      <w:r w:rsidRPr="00E21EA2">
        <w:rPr>
          <w:b/>
          <w:bCs/>
          <w:sz w:val="22"/>
          <w:szCs w:val="22"/>
        </w:rPr>
        <w:tab/>
        <w:t>Supplies &amp; Materials</w:t>
      </w:r>
      <w:r w:rsidRPr="00E21EA2">
        <w:rPr>
          <w:sz w:val="22"/>
          <w:szCs w:val="22"/>
        </w:rPr>
        <w:t xml:space="preserve"> – expenses such as general supplies, textbooks, reference materials, software, food, testing materials,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0700</w:t>
      </w:r>
      <w:r w:rsidRPr="00E21EA2">
        <w:rPr>
          <w:b/>
          <w:bCs/>
          <w:sz w:val="22"/>
          <w:szCs w:val="22"/>
        </w:rPr>
        <w:tab/>
        <w:t>Property</w:t>
      </w:r>
      <w:r w:rsidRPr="00E21EA2">
        <w:rPr>
          <w:sz w:val="22"/>
          <w:szCs w:val="22"/>
        </w:rPr>
        <w:t xml:space="preserve"> – furniture, fixtures, equipment, computers, buses,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0800</w:t>
      </w:r>
      <w:r w:rsidRPr="00E21EA2">
        <w:rPr>
          <w:b/>
          <w:bCs/>
          <w:sz w:val="22"/>
          <w:szCs w:val="22"/>
        </w:rPr>
        <w:tab/>
        <w:t>Miscellaneous</w:t>
      </w:r>
      <w:r w:rsidRPr="00E21EA2">
        <w:rPr>
          <w:sz w:val="22"/>
          <w:szCs w:val="22"/>
        </w:rPr>
        <w:t xml:space="preserve"> – fieldtrip expenses (other than the driver’s salary), registration, fees, permits, uniforms,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0840</w:t>
      </w:r>
      <w:r w:rsidRPr="00E21EA2">
        <w:rPr>
          <w:b/>
          <w:bCs/>
          <w:sz w:val="22"/>
          <w:szCs w:val="22"/>
        </w:rPr>
        <w:tab/>
        <w:t>Contingency</w:t>
      </w:r>
      <w:r w:rsidRPr="00E21EA2">
        <w:rPr>
          <w:sz w:val="22"/>
          <w:szCs w:val="22"/>
        </w:rPr>
        <w:t xml:space="preserve"> – used for budgeting purposes only as determined by the Board</w:t>
      </w:r>
    </w:p>
    <w:p w:rsidR="007A0089" w:rsidRPr="00E21EA2" w:rsidRDefault="007A0089">
      <w:pPr>
        <w:rPr>
          <w:sz w:val="22"/>
          <w:szCs w:val="22"/>
        </w:rPr>
      </w:pPr>
    </w:p>
    <w:p w:rsidR="007A0089" w:rsidRPr="00E21EA2" w:rsidRDefault="00272610">
      <w:pPr>
        <w:rPr>
          <w:sz w:val="22"/>
          <w:szCs w:val="22"/>
        </w:rPr>
      </w:pPr>
      <w:r w:rsidRPr="00E21EA2">
        <w:rPr>
          <w:b/>
          <w:bCs/>
          <w:sz w:val="22"/>
          <w:szCs w:val="22"/>
        </w:rPr>
        <w:t>0900</w:t>
      </w:r>
      <w:r w:rsidRPr="00E21EA2">
        <w:rPr>
          <w:b/>
          <w:bCs/>
          <w:sz w:val="22"/>
          <w:szCs w:val="22"/>
        </w:rPr>
        <w:tab/>
        <w:t>Other Uses of Funds</w:t>
      </w:r>
      <w:r w:rsidRPr="00E21EA2">
        <w:rPr>
          <w:sz w:val="22"/>
          <w:szCs w:val="22"/>
        </w:rPr>
        <w:t xml:space="preserve"> – fund transfers and principal and interest payments on bonds</w:t>
      </w:r>
    </w:p>
    <w:p w:rsidR="00272610" w:rsidRPr="00E21EA2" w:rsidRDefault="00272610">
      <w:pPr>
        <w:rPr>
          <w:sz w:val="22"/>
          <w:szCs w:val="22"/>
        </w:rPr>
      </w:pPr>
    </w:p>
    <w:sectPr w:rsidR="00272610" w:rsidRPr="00E21EA2" w:rsidSect="007A0089">
      <w:pgSz w:w="12240" w:h="15840" w:code="1"/>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41" w:rsidRDefault="00CB7041">
      <w:r>
        <w:separator/>
      </w:r>
    </w:p>
  </w:endnote>
  <w:endnote w:type="continuationSeparator" w:id="0">
    <w:p w:rsidR="00CB7041" w:rsidRDefault="00CB7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56" w:rsidRDefault="00271556">
    <w:pPr>
      <w:pStyle w:val="Footer"/>
      <w:tabs>
        <w:tab w:val="left" w:pos="6480"/>
      </w:tabs>
    </w:pPr>
    <w:r>
      <w:rPr>
        <w:u w:val="single"/>
      </w:rPr>
      <w:tab/>
    </w:r>
    <w:r>
      <w:rPr>
        <w:u w:val="single"/>
      </w:rPr>
      <w:tab/>
    </w:r>
    <w:r>
      <w:rPr>
        <w:u w:val="single"/>
      </w:rPr>
      <w:tab/>
    </w:r>
  </w:p>
  <w:p w:rsidR="00271556" w:rsidRDefault="00271556">
    <w:pPr>
      <w:pStyle w:val="Footer"/>
      <w:tabs>
        <w:tab w:val="left" w:pos="6480"/>
      </w:tabs>
    </w:pPr>
  </w:p>
  <w:p w:rsidR="00271556" w:rsidRDefault="00271556">
    <w:pPr>
      <w:pStyle w:val="Footer"/>
      <w:tabs>
        <w:tab w:val="left" w:pos="6480"/>
      </w:tabs>
    </w:pPr>
    <w:r>
      <w:t>.</w:t>
    </w:r>
    <w:r>
      <w:tab/>
    </w:r>
    <w:r>
      <w:tab/>
      <w:t xml:space="preserve">                            Page </w:t>
    </w:r>
    <w:r w:rsidR="00DF5126">
      <w:rPr>
        <w:rStyle w:val="PageNumber"/>
      </w:rPr>
      <w:fldChar w:fldCharType="begin"/>
    </w:r>
    <w:r>
      <w:rPr>
        <w:rStyle w:val="PageNumber"/>
      </w:rPr>
      <w:instrText xml:space="preserve"> PAGE </w:instrText>
    </w:r>
    <w:r w:rsidR="00DF5126">
      <w:rPr>
        <w:rStyle w:val="PageNumber"/>
      </w:rPr>
      <w:fldChar w:fldCharType="separate"/>
    </w:r>
    <w:r w:rsidR="00F1466F">
      <w:rPr>
        <w:rStyle w:val="PageNumber"/>
        <w:noProof/>
      </w:rPr>
      <w:t>7</w:t>
    </w:r>
    <w:r w:rsidR="00DF5126">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41" w:rsidRDefault="00CB7041">
      <w:r>
        <w:separator/>
      </w:r>
    </w:p>
  </w:footnote>
  <w:footnote w:type="continuationSeparator" w:id="0">
    <w:p w:rsidR="00CB7041" w:rsidRDefault="00CB7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56" w:rsidRDefault="00271556">
    <w:pPr>
      <w:pStyle w:val="Header"/>
      <w:rPr>
        <w:sz w:val="22"/>
      </w:rPr>
    </w:pPr>
    <w:smartTag w:uri="urn:schemas-microsoft-com:office:smarttags" w:element="City">
      <w:smartTag w:uri="urn:schemas-microsoft-com:office:smarttags" w:element="place">
        <w:r>
          <w:rPr>
            <w:sz w:val="22"/>
          </w:rPr>
          <w:t>Elizabethtown</w:t>
        </w:r>
      </w:smartTag>
    </w:smartTag>
    <w:r>
      <w:rPr>
        <w:sz w:val="22"/>
      </w:rPr>
      <w:t xml:space="preserve"> Board of Education</w:t>
    </w:r>
    <w:r>
      <w:rPr>
        <w:sz w:val="22"/>
      </w:rPr>
      <w:tab/>
    </w:r>
    <w:r>
      <w:rPr>
        <w:sz w:val="22"/>
      </w:rPr>
      <w:tab/>
      <w:t xml:space="preserve"> Enclosure</w:t>
    </w:r>
  </w:p>
  <w:p w:rsidR="00271556" w:rsidRDefault="00271556">
    <w:pPr>
      <w:pStyle w:val="Header"/>
      <w:rPr>
        <w:u w:val="single"/>
      </w:rPr>
    </w:pPr>
    <w:r>
      <w:rPr>
        <w:u w:val="single"/>
      </w:rPr>
      <w:tab/>
    </w:r>
    <w:r>
      <w:rPr>
        <w:u w:val="single"/>
      </w:rPr>
      <w:tab/>
      <w:t xml:space="preserve">January </w:t>
    </w:r>
    <w:r w:rsidR="00894B4A">
      <w:rPr>
        <w:u w:val="single"/>
      </w:rPr>
      <w:t>16, 2018</w:t>
    </w:r>
  </w:p>
  <w:p w:rsidR="00FA6C7F" w:rsidRDefault="00FA6C7F">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F78"/>
    <w:multiLevelType w:val="hybridMultilevel"/>
    <w:tmpl w:val="4A202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24F59"/>
    <w:multiLevelType w:val="hybridMultilevel"/>
    <w:tmpl w:val="B3BE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014B8"/>
    <w:multiLevelType w:val="hybridMultilevel"/>
    <w:tmpl w:val="E87C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50A1"/>
    <w:multiLevelType w:val="hybridMultilevel"/>
    <w:tmpl w:val="0F94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22BC"/>
    <w:multiLevelType w:val="hybridMultilevel"/>
    <w:tmpl w:val="ADB8F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E1F86"/>
    <w:multiLevelType w:val="hybridMultilevel"/>
    <w:tmpl w:val="3094F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5488C"/>
    <w:multiLevelType w:val="hybridMultilevel"/>
    <w:tmpl w:val="B9707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271813"/>
    <w:multiLevelType w:val="hybridMultilevel"/>
    <w:tmpl w:val="7EA64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E36E3"/>
    <w:multiLevelType w:val="hybridMultilevel"/>
    <w:tmpl w:val="C010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40C4C"/>
    <w:multiLevelType w:val="hybridMultilevel"/>
    <w:tmpl w:val="BDA0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3D1CBA"/>
    <w:multiLevelType w:val="hybridMultilevel"/>
    <w:tmpl w:val="87CE7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BD2589"/>
    <w:multiLevelType w:val="hybridMultilevel"/>
    <w:tmpl w:val="7BB0AF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AC019B"/>
    <w:multiLevelType w:val="hybridMultilevel"/>
    <w:tmpl w:val="95BCC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7"/>
  </w:num>
  <w:num w:numId="8">
    <w:abstractNumId w:val="9"/>
  </w:num>
  <w:num w:numId="9">
    <w:abstractNumId w:val="12"/>
  </w:num>
  <w:num w:numId="10">
    <w:abstractNumId w:val="1"/>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isplayHorizontalDrawingGridEvery w:val="0"/>
  <w:displayVerticalDrawingGridEvery w:val="0"/>
  <w:doNotUseMarginsForDrawingGridOrigin/>
  <w:noPunctuationKerning/>
  <w:characterSpacingControl w:val="doNotCompress"/>
  <w:hdrShapeDefaults>
    <o:shapedefaults v:ext="edit" spidmax="97282"/>
  </w:hdrShapeDefaults>
  <w:footnotePr>
    <w:footnote w:id="-1"/>
    <w:footnote w:id="0"/>
  </w:footnotePr>
  <w:endnotePr>
    <w:endnote w:id="-1"/>
    <w:endnote w:id="0"/>
  </w:endnotePr>
  <w:compat/>
  <w:docVars>
    <w:docVar w:name="IPSpeechSessionSaved$" w:val="굤ㄨ卬厉受变叩ó"/>
  </w:docVars>
  <w:rsids>
    <w:rsidRoot w:val="00961F02"/>
    <w:rsid w:val="0000578E"/>
    <w:rsid w:val="000267A4"/>
    <w:rsid w:val="00026A4B"/>
    <w:rsid w:val="00031375"/>
    <w:rsid w:val="0003762B"/>
    <w:rsid w:val="00041B4E"/>
    <w:rsid w:val="00042A7E"/>
    <w:rsid w:val="000431CB"/>
    <w:rsid w:val="000744FB"/>
    <w:rsid w:val="00081C69"/>
    <w:rsid w:val="00082C97"/>
    <w:rsid w:val="000A2DFA"/>
    <w:rsid w:val="000A56F8"/>
    <w:rsid w:val="000C00BA"/>
    <w:rsid w:val="000D3505"/>
    <w:rsid w:val="00106A95"/>
    <w:rsid w:val="001274FE"/>
    <w:rsid w:val="00146AEE"/>
    <w:rsid w:val="00154885"/>
    <w:rsid w:val="00156304"/>
    <w:rsid w:val="00160101"/>
    <w:rsid w:val="001662DC"/>
    <w:rsid w:val="00177B65"/>
    <w:rsid w:val="0018124A"/>
    <w:rsid w:val="0018182E"/>
    <w:rsid w:val="001824DE"/>
    <w:rsid w:val="00183578"/>
    <w:rsid w:val="0019213D"/>
    <w:rsid w:val="0019488C"/>
    <w:rsid w:val="001A09DC"/>
    <w:rsid w:val="001B319E"/>
    <w:rsid w:val="001B4524"/>
    <w:rsid w:val="001B56E1"/>
    <w:rsid w:val="001D499D"/>
    <w:rsid w:val="001D5B87"/>
    <w:rsid w:val="001E5422"/>
    <w:rsid w:val="001F1CB7"/>
    <w:rsid w:val="001F4A63"/>
    <w:rsid w:val="00200129"/>
    <w:rsid w:val="00203E4C"/>
    <w:rsid w:val="00210040"/>
    <w:rsid w:val="002140EF"/>
    <w:rsid w:val="00220A89"/>
    <w:rsid w:val="00234733"/>
    <w:rsid w:val="00235935"/>
    <w:rsid w:val="00242D14"/>
    <w:rsid w:val="00243832"/>
    <w:rsid w:val="00250F50"/>
    <w:rsid w:val="002577EF"/>
    <w:rsid w:val="00261F7F"/>
    <w:rsid w:val="0026503B"/>
    <w:rsid w:val="00271556"/>
    <w:rsid w:val="00272610"/>
    <w:rsid w:val="002737F9"/>
    <w:rsid w:val="00276EB7"/>
    <w:rsid w:val="00293CC9"/>
    <w:rsid w:val="0029689E"/>
    <w:rsid w:val="002A774D"/>
    <w:rsid w:val="002B24AA"/>
    <w:rsid w:val="002B7B77"/>
    <w:rsid w:val="002E485D"/>
    <w:rsid w:val="002E7C4D"/>
    <w:rsid w:val="002F1191"/>
    <w:rsid w:val="002F57E1"/>
    <w:rsid w:val="00303CEE"/>
    <w:rsid w:val="00306E48"/>
    <w:rsid w:val="00314CB8"/>
    <w:rsid w:val="00320470"/>
    <w:rsid w:val="00321A6D"/>
    <w:rsid w:val="00323897"/>
    <w:rsid w:val="003264A9"/>
    <w:rsid w:val="00326AF1"/>
    <w:rsid w:val="00327DA3"/>
    <w:rsid w:val="00331823"/>
    <w:rsid w:val="0034004A"/>
    <w:rsid w:val="003527A4"/>
    <w:rsid w:val="00361952"/>
    <w:rsid w:val="003662A7"/>
    <w:rsid w:val="00373448"/>
    <w:rsid w:val="003A2E88"/>
    <w:rsid w:val="003A3B21"/>
    <w:rsid w:val="003A7B82"/>
    <w:rsid w:val="003B4B07"/>
    <w:rsid w:val="003C0E65"/>
    <w:rsid w:val="003C2AC3"/>
    <w:rsid w:val="003D760C"/>
    <w:rsid w:val="003D7E53"/>
    <w:rsid w:val="003E1F3D"/>
    <w:rsid w:val="003E2AA2"/>
    <w:rsid w:val="003F312A"/>
    <w:rsid w:val="00400121"/>
    <w:rsid w:val="00404511"/>
    <w:rsid w:val="00411480"/>
    <w:rsid w:val="00423643"/>
    <w:rsid w:val="00427F50"/>
    <w:rsid w:val="004333F8"/>
    <w:rsid w:val="004337AD"/>
    <w:rsid w:val="0043649B"/>
    <w:rsid w:val="0043724B"/>
    <w:rsid w:val="00444FB2"/>
    <w:rsid w:val="0047202F"/>
    <w:rsid w:val="004722C3"/>
    <w:rsid w:val="0047271F"/>
    <w:rsid w:val="00490F24"/>
    <w:rsid w:val="00494001"/>
    <w:rsid w:val="00495B7D"/>
    <w:rsid w:val="00497E79"/>
    <w:rsid w:val="004A2D98"/>
    <w:rsid w:val="004B039B"/>
    <w:rsid w:val="004B73F0"/>
    <w:rsid w:val="004D56FB"/>
    <w:rsid w:val="004E7AA4"/>
    <w:rsid w:val="00502E0A"/>
    <w:rsid w:val="0050638D"/>
    <w:rsid w:val="005143DD"/>
    <w:rsid w:val="005155EB"/>
    <w:rsid w:val="0051620D"/>
    <w:rsid w:val="00522EE0"/>
    <w:rsid w:val="00522F89"/>
    <w:rsid w:val="00531C24"/>
    <w:rsid w:val="00540685"/>
    <w:rsid w:val="00543652"/>
    <w:rsid w:val="00553B8F"/>
    <w:rsid w:val="00554298"/>
    <w:rsid w:val="00556267"/>
    <w:rsid w:val="00577D65"/>
    <w:rsid w:val="00577EB4"/>
    <w:rsid w:val="00584A55"/>
    <w:rsid w:val="00585B74"/>
    <w:rsid w:val="005A1677"/>
    <w:rsid w:val="005A409C"/>
    <w:rsid w:val="005A53F5"/>
    <w:rsid w:val="005C1BBD"/>
    <w:rsid w:val="005C7168"/>
    <w:rsid w:val="005C7295"/>
    <w:rsid w:val="005D1939"/>
    <w:rsid w:val="005D2924"/>
    <w:rsid w:val="005D4032"/>
    <w:rsid w:val="005D4890"/>
    <w:rsid w:val="005E7353"/>
    <w:rsid w:val="00604A57"/>
    <w:rsid w:val="00620CAA"/>
    <w:rsid w:val="00624CB0"/>
    <w:rsid w:val="00626EF0"/>
    <w:rsid w:val="0063429D"/>
    <w:rsid w:val="006441AD"/>
    <w:rsid w:val="00651DC0"/>
    <w:rsid w:val="00652D19"/>
    <w:rsid w:val="00660222"/>
    <w:rsid w:val="00660B55"/>
    <w:rsid w:val="00681C8D"/>
    <w:rsid w:val="00682471"/>
    <w:rsid w:val="006A23F6"/>
    <w:rsid w:val="006A6FEE"/>
    <w:rsid w:val="006B4804"/>
    <w:rsid w:val="006C19A3"/>
    <w:rsid w:val="006C4941"/>
    <w:rsid w:val="006D3E7F"/>
    <w:rsid w:val="006D4E8F"/>
    <w:rsid w:val="006E0A79"/>
    <w:rsid w:val="006E0C21"/>
    <w:rsid w:val="006F4E4F"/>
    <w:rsid w:val="006F7D20"/>
    <w:rsid w:val="00703417"/>
    <w:rsid w:val="00721E6A"/>
    <w:rsid w:val="007233FD"/>
    <w:rsid w:val="00724037"/>
    <w:rsid w:val="00724B12"/>
    <w:rsid w:val="00740015"/>
    <w:rsid w:val="0075371B"/>
    <w:rsid w:val="00761366"/>
    <w:rsid w:val="00773583"/>
    <w:rsid w:val="007924D5"/>
    <w:rsid w:val="007A0089"/>
    <w:rsid w:val="007A349A"/>
    <w:rsid w:val="007A35DF"/>
    <w:rsid w:val="007B6374"/>
    <w:rsid w:val="007C17F0"/>
    <w:rsid w:val="007D4837"/>
    <w:rsid w:val="007E09A5"/>
    <w:rsid w:val="007E5623"/>
    <w:rsid w:val="007F4948"/>
    <w:rsid w:val="00820395"/>
    <w:rsid w:val="00821795"/>
    <w:rsid w:val="008308BF"/>
    <w:rsid w:val="00836FF8"/>
    <w:rsid w:val="00842A02"/>
    <w:rsid w:val="00844206"/>
    <w:rsid w:val="0086155A"/>
    <w:rsid w:val="00862004"/>
    <w:rsid w:val="008676CD"/>
    <w:rsid w:val="00876BE2"/>
    <w:rsid w:val="00884967"/>
    <w:rsid w:val="00894360"/>
    <w:rsid w:val="00894B4A"/>
    <w:rsid w:val="008A26B0"/>
    <w:rsid w:val="008B7B37"/>
    <w:rsid w:val="008C0C6E"/>
    <w:rsid w:val="008C77E8"/>
    <w:rsid w:val="008D3C91"/>
    <w:rsid w:val="008E3060"/>
    <w:rsid w:val="008E6F54"/>
    <w:rsid w:val="008F502A"/>
    <w:rsid w:val="008F7AAD"/>
    <w:rsid w:val="008F7B74"/>
    <w:rsid w:val="00920B7D"/>
    <w:rsid w:val="00924593"/>
    <w:rsid w:val="00926C7D"/>
    <w:rsid w:val="00933D45"/>
    <w:rsid w:val="009366A0"/>
    <w:rsid w:val="00940CB3"/>
    <w:rsid w:val="009428F6"/>
    <w:rsid w:val="009439AB"/>
    <w:rsid w:val="009461FD"/>
    <w:rsid w:val="00961A45"/>
    <w:rsid w:val="00961F02"/>
    <w:rsid w:val="00962E62"/>
    <w:rsid w:val="0096722F"/>
    <w:rsid w:val="00967ED5"/>
    <w:rsid w:val="00972824"/>
    <w:rsid w:val="00975CA8"/>
    <w:rsid w:val="00982A33"/>
    <w:rsid w:val="009848B4"/>
    <w:rsid w:val="00991E80"/>
    <w:rsid w:val="009924F2"/>
    <w:rsid w:val="009A3DDF"/>
    <w:rsid w:val="009A444E"/>
    <w:rsid w:val="009B52BD"/>
    <w:rsid w:val="009C5C84"/>
    <w:rsid w:val="009C6C37"/>
    <w:rsid w:val="009D1486"/>
    <w:rsid w:val="009D716B"/>
    <w:rsid w:val="009E42E1"/>
    <w:rsid w:val="009E4A72"/>
    <w:rsid w:val="00A244F9"/>
    <w:rsid w:val="00A34C89"/>
    <w:rsid w:val="00A40B4C"/>
    <w:rsid w:val="00A46F79"/>
    <w:rsid w:val="00A65300"/>
    <w:rsid w:val="00A7146A"/>
    <w:rsid w:val="00A80F73"/>
    <w:rsid w:val="00A87E41"/>
    <w:rsid w:val="00A926E8"/>
    <w:rsid w:val="00A944E5"/>
    <w:rsid w:val="00AA646E"/>
    <w:rsid w:val="00AB60B8"/>
    <w:rsid w:val="00AC03AD"/>
    <w:rsid w:val="00AC0953"/>
    <w:rsid w:val="00AC1639"/>
    <w:rsid w:val="00AD4DAD"/>
    <w:rsid w:val="00AE262E"/>
    <w:rsid w:val="00AE4DE6"/>
    <w:rsid w:val="00AE7CAF"/>
    <w:rsid w:val="00AF0281"/>
    <w:rsid w:val="00B01C59"/>
    <w:rsid w:val="00B026F7"/>
    <w:rsid w:val="00B10C33"/>
    <w:rsid w:val="00B156B4"/>
    <w:rsid w:val="00B21050"/>
    <w:rsid w:val="00B55AC1"/>
    <w:rsid w:val="00B55D04"/>
    <w:rsid w:val="00B673A9"/>
    <w:rsid w:val="00B8244D"/>
    <w:rsid w:val="00B849EC"/>
    <w:rsid w:val="00B95555"/>
    <w:rsid w:val="00BB0DB5"/>
    <w:rsid w:val="00BB3889"/>
    <w:rsid w:val="00BB6DF0"/>
    <w:rsid w:val="00BC58F2"/>
    <w:rsid w:val="00BD2757"/>
    <w:rsid w:val="00BD6C18"/>
    <w:rsid w:val="00BF12B9"/>
    <w:rsid w:val="00BF27DC"/>
    <w:rsid w:val="00C15BD1"/>
    <w:rsid w:val="00C1739D"/>
    <w:rsid w:val="00C30D40"/>
    <w:rsid w:val="00C315F3"/>
    <w:rsid w:val="00C32059"/>
    <w:rsid w:val="00C41B6C"/>
    <w:rsid w:val="00C45E0F"/>
    <w:rsid w:val="00C46AC5"/>
    <w:rsid w:val="00C47B2C"/>
    <w:rsid w:val="00C52FCA"/>
    <w:rsid w:val="00C56E2A"/>
    <w:rsid w:val="00C57551"/>
    <w:rsid w:val="00C65437"/>
    <w:rsid w:val="00C93744"/>
    <w:rsid w:val="00C96B6C"/>
    <w:rsid w:val="00CB7041"/>
    <w:rsid w:val="00CE478D"/>
    <w:rsid w:val="00CE5488"/>
    <w:rsid w:val="00CF2CAF"/>
    <w:rsid w:val="00CF5377"/>
    <w:rsid w:val="00D005CF"/>
    <w:rsid w:val="00D00A1F"/>
    <w:rsid w:val="00D052F9"/>
    <w:rsid w:val="00D05B5A"/>
    <w:rsid w:val="00D1287B"/>
    <w:rsid w:val="00D16AD0"/>
    <w:rsid w:val="00D2630A"/>
    <w:rsid w:val="00D30942"/>
    <w:rsid w:val="00D3364F"/>
    <w:rsid w:val="00D35718"/>
    <w:rsid w:val="00D36277"/>
    <w:rsid w:val="00D50F52"/>
    <w:rsid w:val="00D5211D"/>
    <w:rsid w:val="00D5401A"/>
    <w:rsid w:val="00D544B3"/>
    <w:rsid w:val="00D551C2"/>
    <w:rsid w:val="00D60E10"/>
    <w:rsid w:val="00D62BE9"/>
    <w:rsid w:val="00D70067"/>
    <w:rsid w:val="00D710FB"/>
    <w:rsid w:val="00D75D34"/>
    <w:rsid w:val="00D80C0D"/>
    <w:rsid w:val="00DA76AA"/>
    <w:rsid w:val="00DC431B"/>
    <w:rsid w:val="00DC4DC5"/>
    <w:rsid w:val="00DD0F97"/>
    <w:rsid w:val="00DD2AC5"/>
    <w:rsid w:val="00DE0B07"/>
    <w:rsid w:val="00DE1525"/>
    <w:rsid w:val="00DF117B"/>
    <w:rsid w:val="00DF4FCB"/>
    <w:rsid w:val="00DF5126"/>
    <w:rsid w:val="00E0109C"/>
    <w:rsid w:val="00E045E1"/>
    <w:rsid w:val="00E13B43"/>
    <w:rsid w:val="00E16E07"/>
    <w:rsid w:val="00E21EA2"/>
    <w:rsid w:val="00E34922"/>
    <w:rsid w:val="00E41B1E"/>
    <w:rsid w:val="00E41B8C"/>
    <w:rsid w:val="00E52170"/>
    <w:rsid w:val="00E7149E"/>
    <w:rsid w:val="00E868E8"/>
    <w:rsid w:val="00E91D33"/>
    <w:rsid w:val="00E9522F"/>
    <w:rsid w:val="00E97B25"/>
    <w:rsid w:val="00EA348F"/>
    <w:rsid w:val="00EB196C"/>
    <w:rsid w:val="00EB26C3"/>
    <w:rsid w:val="00EB6E64"/>
    <w:rsid w:val="00EC071E"/>
    <w:rsid w:val="00EC0F01"/>
    <w:rsid w:val="00EC580A"/>
    <w:rsid w:val="00EC6D11"/>
    <w:rsid w:val="00EC714C"/>
    <w:rsid w:val="00EC7D50"/>
    <w:rsid w:val="00ED5D28"/>
    <w:rsid w:val="00EE10EC"/>
    <w:rsid w:val="00EE1634"/>
    <w:rsid w:val="00EE5ED1"/>
    <w:rsid w:val="00EF08BB"/>
    <w:rsid w:val="00F00188"/>
    <w:rsid w:val="00F12535"/>
    <w:rsid w:val="00F1417A"/>
    <w:rsid w:val="00F1466F"/>
    <w:rsid w:val="00F2408A"/>
    <w:rsid w:val="00F26C20"/>
    <w:rsid w:val="00F27CE1"/>
    <w:rsid w:val="00F36432"/>
    <w:rsid w:val="00F37C20"/>
    <w:rsid w:val="00F56AD9"/>
    <w:rsid w:val="00F66456"/>
    <w:rsid w:val="00F71A99"/>
    <w:rsid w:val="00F824F6"/>
    <w:rsid w:val="00F90BF1"/>
    <w:rsid w:val="00F915BE"/>
    <w:rsid w:val="00F944B9"/>
    <w:rsid w:val="00F95FF6"/>
    <w:rsid w:val="00FA1C19"/>
    <w:rsid w:val="00FA648D"/>
    <w:rsid w:val="00FA6C7F"/>
    <w:rsid w:val="00FA7B97"/>
    <w:rsid w:val="00FB0924"/>
    <w:rsid w:val="00FB2331"/>
    <w:rsid w:val="00FB7AEA"/>
    <w:rsid w:val="00FD0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89"/>
  </w:style>
  <w:style w:type="paragraph" w:styleId="Heading1">
    <w:name w:val="heading 1"/>
    <w:basedOn w:val="Normal"/>
    <w:next w:val="Normal"/>
    <w:qFormat/>
    <w:rsid w:val="007A0089"/>
    <w:pPr>
      <w:keepNext/>
      <w:pBdr>
        <w:top w:val="single" w:sz="6" w:space="1" w:color="auto"/>
        <w:left w:val="single" w:sz="6" w:space="1" w:color="auto"/>
        <w:bottom w:val="single" w:sz="6" w:space="1" w:color="auto"/>
        <w:right w:val="single" w:sz="6" w:space="1" w:color="auto"/>
      </w:pBdr>
      <w:outlineLvl w:val="0"/>
    </w:pPr>
    <w:rPr>
      <w:sz w:val="24"/>
      <w:u w:val="single"/>
    </w:rPr>
  </w:style>
  <w:style w:type="paragraph" w:styleId="Heading2">
    <w:name w:val="heading 2"/>
    <w:basedOn w:val="Normal"/>
    <w:next w:val="Normal"/>
    <w:qFormat/>
    <w:rsid w:val="007A0089"/>
    <w:pPr>
      <w:keepNext/>
      <w:outlineLvl w:val="1"/>
    </w:pPr>
    <w:rPr>
      <w:b/>
      <w:sz w:val="24"/>
    </w:rPr>
  </w:style>
  <w:style w:type="paragraph" w:styleId="Heading3">
    <w:name w:val="heading 3"/>
    <w:basedOn w:val="Normal"/>
    <w:next w:val="Normal"/>
    <w:qFormat/>
    <w:rsid w:val="007A0089"/>
    <w:pPr>
      <w:keepNext/>
      <w:jc w:val="center"/>
      <w:outlineLvl w:val="2"/>
    </w:pPr>
    <w:rPr>
      <w:b/>
      <w:sz w:val="24"/>
    </w:rPr>
  </w:style>
  <w:style w:type="paragraph" w:styleId="Heading4">
    <w:name w:val="heading 4"/>
    <w:basedOn w:val="Normal"/>
    <w:next w:val="Normal"/>
    <w:qFormat/>
    <w:rsid w:val="007A0089"/>
    <w:pPr>
      <w:keepNext/>
      <w:outlineLvl w:val="3"/>
    </w:pPr>
    <w:rPr>
      <w:sz w:val="24"/>
    </w:rPr>
  </w:style>
  <w:style w:type="paragraph" w:styleId="Heading5">
    <w:name w:val="heading 5"/>
    <w:basedOn w:val="Normal"/>
    <w:next w:val="Normal"/>
    <w:qFormat/>
    <w:rsid w:val="007A0089"/>
    <w:pPr>
      <w:keepNext/>
      <w:outlineLvl w:val="4"/>
    </w:pPr>
    <w:rPr>
      <w:b/>
      <w:sz w:val="24"/>
      <w:u w:val="single"/>
    </w:rPr>
  </w:style>
  <w:style w:type="paragraph" w:styleId="Heading6">
    <w:name w:val="heading 6"/>
    <w:basedOn w:val="Normal"/>
    <w:next w:val="Normal"/>
    <w:qFormat/>
    <w:rsid w:val="007A0089"/>
    <w:pPr>
      <w:keepNext/>
      <w:outlineLvl w:val="5"/>
    </w:pPr>
    <w:rPr>
      <w:b/>
      <w:bCs/>
      <w:snapToGrid w:val="0"/>
      <w:color w:val="000000"/>
    </w:rPr>
  </w:style>
  <w:style w:type="paragraph" w:styleId="Heading8">
    <w:name w:val="heading 8"/>
    <w:basedOn w:val="Normal"/>
    <w:next w:val="Normal"/>
    <w:qFormat/>
    <w:rsid w:val="007A0089"/>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089"/>
    <w:pPr>
      <w:tabs>
        <w:tab w:val="center" w:pos="4320"/>
        <w:tab w:val="right" w:pos="8640"/>
      </w:tabs>
    </w:pPr>
  </w:style>
  <w:style w:type="paragraph" w:styleId="Footer">
    <w:name w:val="footer"/>
    <w:basedOn w:val="Normal"/>
    <w:semiHidden/>
    <w:rsid w:val="007A0089"/>
    <w:pPr>
      <w:tabs>
        <w:tab w:val="center" w:pos="4320"/>
        <w:tab w:val="right" w:pos="8640"/>
      </w:tabs>
    </w:pPr>
  </w:style>
  <w:style w:type="character" w:styleId="PageNumber">
    <w:name w:val="page number"/>
    <w:basedOn w:val="DefaultParagraphFont"/>
    <w:semiHidden/>
    <w:rsid w:val="007A0089"/>
  </w:style>
  <w:style w:type="paragraph" w:styleId="BodyText">
    <w:name w:val="Body Text"/>
    <w:basedOn w:val="Normal"/>
    <w:link w:val="BodyTextChar"/>
    <w:semiHidden/>
    <w:rsid w:val="007A0089"/>
    <w:rPr>
      <w:sz w:val="24"/>
    </w:rPr>
  </w:style>
  <w:style w:type="paragraph" w:styleId="BodyText2">
    <w:name w:val="Body Text 2"/>
    <w:basedOn w:val="Normal"/>
    <w:semiHidden/>
    <w:rsid w:val="007A0089"/>
    <w:pPr>
      <w:ind w:left="900" w:hanging="900"/>
    </w:pPr>
    <w:rPr>
      <w:sz w:val="24"/>
    </w:rPr>
  </w:style>
  <w:style w:type="paragraph" w:styleId="NormalWeb">
    <w:name w:val="Normal (Web)"/>
    <w:basedOn w:val="Normal"/>
    <w:unhideWhenUsed/>
    <w:rsid w:val="0018357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semiHidden/>
    <w:rsid w:val="002A774D"/>
    <w:rPr>
      <w:sz w:val="24"/>
    </w:rPr>
  </w:style>
  <w:style w:type="paragraph" w:styleId="BalloonText">
    <w:name w:val="Balloon Text"/>
    <w:basedOn w:val="Normal"/>
    <w:link w:val="BalloonTextChar"/>
    <w:uiPriority w:val="99"/>
    <w:semiHidden/>
    <w:unhideWhenUsed/>
    <w:rsid w:val="00CE478D"/>
    <w:rPr>
      <w:rFonts w:ascii="Tahoma" w:hAnsi="Tahoma" w:cs="Tahoma"/>
      <w:sz w:val="16"/>
      <w:szCs w:val="16"/>
    </w:rPr>
  </w:style>
  <w:style w:type="character" w:customStyle="1" w:styleId="BalloonTextChar">
    <w:name w:val="Balloon Text Char"/>
    <w:basedOn w:val="DefaultParagraphFont"/>
    <w:link w:val="BalloonText"/>
    <w:uiPriority w:val="99"/>
    <w:semiHidden/>
    <w:rsid w:val="00CE4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89"/>
  </w:style>
  <w:style w:type="paragraph" w:styleId="Heading1">
    <w:name w:val="heading 1"/>
    <w:basedOn w:val="Normal"/>
    <w:next w:val="Normal"/>
    <w:qFormat/>
    <w:rsid w:val="007A0089"/>
    <w:pPr>
      <w:keepNext/>
      <w:pBdr>
        <w:top w:val="single" w:sz="6" w:space="1" w:color="auto"/>
        <w:left w:val="single" w:sz="6" w:space="1" w:color="auto"/>
        <w:bottom w:val="single" w:sz="6" w:space="1" w:color="auto"/>
        <w:right w:val="single" w:sz="6" w:space="1" w:color="auto"/>
      </w:pBdr>
      <w:outlineLvl w:val="0"/>
    </w:pPr>
    <w:rPr>
      <w:sz w:val="24"/>
      <w:u w:val="single"/>
    </w:rPr>
  </w:style>
  <w:style w:type="paragraph" w:styleId="Heading2">
    <w:name w:val="heading 2"/>
    <w:basedOn w:val="Normal"/>
    <w:next w:val="Normal"/>
    <w:qFormat/>
    <w:rsid w:val="007A0089"/>
    <w:pPr>
      <w:keepNext/>
      <w:outlineLvl w:val="1"/>
    </w:pPr>
    <w:rPr>
      <w:b/>
      <w:sz w:val="24"/>
    </w:rPr>
  </w:style>
  <w:style w:type="paragraph" w:styleId="Heading3">
    <w:name w:val="heading 3"/>
    <w:basedOn w:val="Normal"/>
    <w:next w:val="Normal"/>
    <w:qFormat/>
    <w:rsid w:val="007A0089"/>
    <w:pPr>
      <w:keepNext/>
      <w:jc w:val="center"/>
      <w:outlineLvl w:val="2"/>
    </w:pPr>
    <w:rPr>
      <w:b/>
      <w:sz w:val="24"/>
    </w:rPr>
  </w:style>
  <w:style w:type="paragraph" w:styleId="Heading4">
    <w:name w:val="heading 4"/>
    <w:basedOn w:val="Normal"/>
    <w:next w:val="Normal"/>
    <w:qFormat/>
    <w:rsid w:val="007A0089"/>
    <w:pPr>
      <w:keepNext/>
      <w:outlineLvl w:val="3"/>
    </w:pPr>
    <w:rPr>
      <w:sz w:val="24"/>
    </w:rPr>
  </w:style>
  <w:style w:type="paragraph" w:styleId="Heading5">
    <w:name w:val="heading 5"/>
    <w:basedOn w:val="Normal"/>
    <w:next w:val="Normal"/>
    <w:qFormat/>
    <w:rsid w:val="007A0089"/>
    <w:pPr>
      <w:keepNext/>
      <w:outlineLvl w:val="4"/>
    </w:pPr>
    <w:rPr>
      <w:b/>
      <w:sz w:val="24"/>
      <w:u w:val="single"/>
    </w:rPr>
  </w:style>
  <w:style w:type="paragraph" w:styleId="Heading6">
    <w:name w:val="heading 6"/>
    <w:basedOn w:val="Normal"/>
    <w:next w:val="Normal"/>
    <w:qFormat/>
    <w:rsid w:val="007A0089"/>
    <w:pPr>
      <w:keepNext/>
      <w:outlineLvl w:val="5"/>
    </w:pPr>
    <w:rPr>
      <w:b/>
      <w:bCs/>
      <w:snapToGrid w:val="0"/>
      <w:color w:val="00000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7A0089"/>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089"/>
    <w:pPr>
      <w:tabs>
        <w:tab w:val="center" w:pos="4320"/>
        <w:tab w:val="right" w:pos="8640"/>
      </w:tabs>
    </w:pPr>
  </w:style>
  <w:style w:type="paragraph" w:styleId="Footer">
    <w:name w:val="footer"/>
    <w:basedOn w:val="Normal"/>
    <w:semiHidden/>
    <w:rsid w:val="007A0089"/>
    <w:pPr>
      <w:tabs>
        <w:tab w:val="center" w:pos="4320"/>
        <w:tab w:val="right" w:pos="8640"/>
      </w:tabs>
    </w:pPr>
  </w:style>
  <w:style w:type="character" w:styleId="PageNumber">
    <w:name w:val="page number"/>
    <w:basedOn w:val="DefaultParagraphFont"/>
    <w:semiHidden/>
    <w:rsid w:val="007A0089"/>
  </w:style>
  <w:style w:type="paragraph" w:styleId="BodyText">
    <w:name w:val="Body Text"/>
    <w:basedOn w:val="Normal"/>
    <w:link w:val="BodyTextChar"/>
    <w:semiHidden/>
    <w:rsid w:val="007A0089"/>
    <w:rPr>
      <w:sz w:val="24"/>
    </w:rPr>
  </w:style>
  <w:style w:type="paragraph" w:styleId="BodyText2">
    <w:name w:val="Body Text 2"/>
    <w:basedOn w:val="Normal"/>
    <w:semiHidden/>
    <w:rsid w:val="007A0089"/>
    <w:pPr>
      <w:ind w:left="900" w:hanging="900"/>
    </w:pPr>
    <w:rPr>
      <w:sz w:val="24"/>
    </w:rPr>
  </w:style>
  <w:style w:type="paragraph" w:styleId="NormalWeb">
    <w:name w:val="Normal (Web)"/>
    <w:basedOn w:val="Normal"/>
    <w:unhideWhenUsed/>
    <w:rsid w:val="0018357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semiHidden/>
    <w:rsid w:val="002A774D"/>
    <w:rPr>
      <w:sz w:val="24"/>
    </w:rPr>
  </w:style>
  <w:style w:type="paragraph" w:styleId="BalloonText">
    <w:name w:val="Balloon Text"/>
    <w:basedOn w:val="Normal"/>
    <w:link w:val="BalloonTextChar"/>
    <w:uiPriority w:val="99"/>
    <w:semiHidden/>
    <w:unhideWhenUsed/>
    <w:rsid w:val="00CE478D"/>
    <w:rPr>
      <w:rFonts w:ascii="Tahoma" w:hAnsi="Tahoma" w:cs="Tahoma"/>
      <w:sz w:val="16"/>
      <w:szCs w:val="16"/>
    </w:rPr>
  </w:style>
  <w:style w:type="character" w:customStyle="1" w:styleId="BalloonTextChar">
    <w:name w:val="Balloon Text Char"/>
    <w:basedOn w:val="DefaultParagraphFont"/>
    <w:link w:val="BalloonText"/>
    <w:uiPriority w:val="99"/>
    <w:semiHidden/>
    <w:rsid w:val="00CE4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4BCC-A46D-43A4-8B9C-CAABC60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CONSIDERATION:</vt:lpstr>
    </vt:vector>
  </TitlesOfParts>
  <Company>Arvin School Management Assoc</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dc:title>
  <dc:creator>Robert L. Arvin</dc:creator>
  <cp:lastModifiedBy>mmaples</cp:lastModifiedBy>
  <cp:revision>2</cp:revision>
  <cp:lastPrinted>2018-01-10T19:56:00Z</cp:lastPrinted>
  <dcterms:created xsi:type="dcterms:W3CDTF">2018-01-10T20:26:00Z</dcterms:created>
  <dcterms:modified xsi:type="dcterms:W3CDTF">2018-01-10T20:26:00Z</dcterms:modified>
</cp:coreProperties>
</file>