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0D" w:rsidRDefault="00922BC0"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 wp14:anchorId="7A790E5A" wp14:editId="112892FA">
            <wp:extent cx="5943600" cy="3072765"/>
            <wp:effectExtent l="0" t="0" r="0" b="1333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1B3EE5">
        <w:rPr>
          <w:b/>
          <w:noProof/>
          <w:sz w:val="48"/>
          <w:szCs w:val="48"/>
        </w:rPr>
        <w:drawing>
          <wp:inline distT="0" distB="0" distL="0" distR="0" wp14:anchorId="04975D66" wp14:editId="3DE6B63F">
            <wp:extent cx="5943600" cy="2880360"/>
            <wp:effectExtent l="0" t="0" r="0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D78CD">
        <w:rPr>
          <w:b/>
          <w:noProof/>
          <w:sz w:val="48"/>
          <w:szCs w:val="48"/>
        </w:rPr>
        <w:drawing>
          <wp:inline distT="0" distB="0" distL="0" distR="0" wp14:anchorId="77C91C8F" wp14:editId="79597FC6">
            <wp:extent cx="5943600" cy="3072765"/>
            <wp:effectExtent l="0" t="0" r="0" b="1333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D72D6">
        <w:rPr>
          <w:b/>
          <w:noProof/>
          <w:sz w:val="48"/>
          <w:szCs w:val="48"/>
        </w:rPr>
        <w:lastRenderedPageBreak/>
        <w:drawing>
          <wp:inline distT="0" distB="0" distL="0" distR="0" wp14:anchorId="53B2A334" wp14:editId="072BD31E">
            <wp:extent cx="5943600" cy="288036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3271E9">
        <w:rPr>
          <w:b/>
          <w:noProof/>
          <w:sz w:val="48"/>
          <w:szCs w:val="48"/>
        </w:rPr>
        <w:drawing>
          <wp:inline distT="0" distB="0" distL="0" distR="0" wp14:anchorId="4049181C" wp14:editId="4F2EB207">
            <wp:extent cx="5943600" cy="3073111"/>
            <wp:effectExtent l="0" t="0" r="0" b="13335"/>
            <wp:docPr id="152" name="Chart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94665">
        <w:rPr>
          <w:b/>
          <w:noProof/>
          <w:sz w:val="48"/>
          <w:szCs w:val="48"/>
        </w:rPr>
        <w:drawing>
          <wp:inline distT="0" distB="0" distL="0" distR="0" wp14:anchorId="5A01051A" wp14:editId="742D8D36">
            <wp:extent cx="5943600" cy="3072765"/>
            <wp:effectExtent l="0" t="0" r="0" b="133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94665">
        <w:rPr>
          <w:b/>
          <w:noProof/>
          <w:sz w:val="48"/>
          <w:szCs w:val="48"/>
        </w:rPr>
        <w:lastRenderedPageBreak/>
        <w:drawing>
          <wp:inline distT="0" distB="0" distL="0" distR="0" wp14:anchorId="2DC80DC1" wp14:editId="6EC46852">
            <wp:extent cx="5943600" cy="3072765"/>
            <wp:effectExtent l="0" t="0" r="0" b="133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C20E7">
        <w:rPr>
          <w:b/>
          <w:noProof/>
          <w:sz w:val="48"/>
          <w:szCs w:val="48"/>
        </w:rPr>
        <w:drawing>
          <wp:inline distT="0" distB="0" distL="0" distR="0" wp14:anchorId="2DC80DC1" wp14:editId="6EC46852">
            <wp:extent cx="5943600" cy="3072765"/>
            <wp:effectExtent l="0" t="0" r="0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444422">
        <w:rPr>
          <w:b/>
          <w:noProof/>
          <w:sz w:val="48"/>
          <w:szCs w:val="48"/>
        </w:rPr>
        <w:drawing>
          <wp:inline distT="0" distB="0" distL="0" distR="0" wp14:anchorId="4F378AC5" wp14:editId="20D389BA">
            <wp:extent cx="5943600" cy="3072765"/>
            <wp:effectExtent l="0" t="0" r="0" b="133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66BBD">
        <w:rPr>
          <w:b/>
          <w:noProof/>
          <w:sz w:val="48"/>
          <w:szCs w:val="48"/>
        </w:rPr>
        <w:lastRenderedPageBreak/>
        <w:drawing>
          <wp:inline distT="0" distB="0" distL="0" distR="0" wp14:anchorId="27FAD193" wp14:editId="5C46CC5E">
            <wp:extent cx="5943600" cy="3072765"/>
            <wp:effectExtent l="0" t="0" r="0" b="1333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05AC9">
        <w:rPr>
          <w:b/>
          <w:noProof/>
          <w:sz w:val="48"/>
          <w:szCs w:val="48"/>
        </w:rPr>
        <w:drawing>
          <wp:inline distT="0" distB="0" distL="0" distR="0" wp14:anchorId="75133DDF" wp14:editId="7E3998EE">
            <wp:extent cx="5943600" cy="3073111"/>
            <wp:effectExtent l="0" t="0" r="0" b="13335"/>
            <wp:docPr id="155" name="Chart 1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05AC9">
        <w:rPr>
          <w:b/>
          <w:noProof/>
          <w:sz w:val="48"/>
          <w:szCs w:val="48"/>
        </w:rPr>
        <w:lastRenderedPageBreak/>
        <w:drawing>
          <wp:inline distT="0" distB="0" distL="0" distR="0" wp14:anchorId="1B0F7E45" wp14:editId="3C6BD4F7">
            <wp:extent cx="5943600" cy="3073111"/>
            <wp:effectExtent l="0" t="0" r="0" b="13335"/>
            <wp:docPr id="158" name="Chart 1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05AC9">
        <w:rPr>
          <w:b/>
          <w:noProof/>
          <w:sz w:val="48"/>
          <w:szCs w:val="48"/>
        </w:rPr>
        <w:drawing>
          <wp:inline distT="0" distB="0" distL="0" distR="0" wp14:anchorId="335D852B" wp14:editId="25CA9EEF">
            <wp:extent cx="5943600" cy="3073111"/>
            <wp:effectExtent l="0" t="0" r="0" b="13335"/>
            <wp:docPr id="156" name="Chart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06D5" w:rsidRDefault="007906D5"/>
    <w:p w:rsidR="007906D5" w:rsidRDefault="007906D5">
      <w:pPr>
        <w:rPr>
          <w:b/>
          <w:sz w:val="24"/>
          <w:szCs w:val="24"/>
        </w:rPr>
      </w:pPr>
      <w:r w:rsidRPr="005F14F5">
        <w:rPr>
          <w:b/>
          <w:sz w:val="24"/>
          <w:szCs w:val="24"/>
          <w:highlight w:val="yellow"/>
        </w:rPr>
        <w:t>Cultural Trends – Use the space provided to describe the trends for this dat</w:t>
      </w:r>
      <w:r>
        <w:rPr>
          <w:b/>
          <w:sz w:val="24"/>
          <w:szCs w:val="24"/>
          <w:highlight w:val="yellow"/>
        </w:rPr>
        <w:t>a measure</w:t>
      </w:r>
      <w:r w:rsidRPr="005F14F5">
        <w:rPr>
          <w:b/>
          <w:sz w:val="24"/>
          <w:szCs w:val="24"/>
          <w:highlight w:val="yellow"/>
        </w:rPr>
        <w:t xml:space="preserve">.  Remember, you analyzed this data in </w:t>
      </w:r>
      <w:r>
        <w:rPr>
          <w:b/>
          <w:sz w:val="24"/>
          <w:szCs w:val="24"/>
          <w:highlight w:val="yellow"/>
        </w:rPr>
        <w:t xml:space="preserve">the Continuous Improvement Diagnostic - </w:t>
      </w:r>
      <w:r w:rsidRPr="005F14F5">
        <w:rPr>
          <w:b/>
          <w:sz w:val="24"/>
          <w:szCs w:val="24"/>
          <w:highlight w:val="yellow"/>
        </w:rPr>
        <w:t>Phase 1</w:t>
      </w:r>
      <w:r>
        <w:rPr>
          <w:b/>
          <w:sz w:val="24"/>
          <w:szCs w:val="24"/>
          <w:highlight w:val="yellow"/>
        </w:rPr>
        <w:t>:  TELL Survey</w:t>
      </w:r>
      <w:r w:rsidRPr="005F14F5">
        <w:rPr>
          <w:b/>
          <w:sz w:val="24"/>
          <w:szCs w:val="24"/>
          <w:highlight w:val="yellow"/>
        </w:rPr>
        <w:t>.  Use those findings to describe the changes evident across time.  You may also utilize Val-Ed survey information here, if available.</w:t>
      </w:r>
    </w:p>
    <w:p w:rsidR="00E66B82" w:rsidRDefault="00E66B82">
      <w:pPr>
        <w:rPr>
          <w:b/>
          <w:sz w:val="24"/>
          <w:szCs w:val="24"/>
        </w:rPr>
      </w:pPr>
    </w:p>
    <w:p w:rsidR="00E66B82" w:rsidRDefault="00E66B82">
      <w:r>
        <w:rPr>
          <w:b/>
          <w:sz w:val="24"/>
          <w:szCs w:val="24"/>
        </w:rPr>
        <w:t>See TELL attachments</w:t>
      </w:r>
    </w:p>
    <w:sectPr w:rsidR="00E6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D6"/>
    <w:rsid w:val="00045FA9"/>
    <w:rsid w:val="00094665"/>
    <w:rsid w:val="000F76E6"/>
    <w:rsid w:val="00105AC9"/>
    <w:rsid w:val="00131C54"/>
    <w:rsid w:val="0013390D"/>
    <w:rsid w:val="00141849"/>
    <w:rsid w:val="001B3EE5"/>
    <w:rsid w:val="00264317"/>
    <w:rsid w:val="00266E2E"/>
    <w:rsid w:val="00272975"/>
    <w:rsid w:val="002D5AC2"/>
    <w:rsid w:val="003271E9"/>
    <w:rsid w:val="00383597"/>
    <w:rsid w:val="003C11CE"/>
    <w:rsid w:val="00425795"/>
    <w:rsid w:val="00444422"/>
    <w:rsid w:val="005011EC"/>
    <w:rsid w:val="00556E05"/>
    <w:rsid w:val="005A4649"/>
    <w:rsid w:val="005C20E7"/>
    <w:rsid w:val="005E1C5F"/>
    <w:rsid w:val="005F1FBF"/>
    <w:rsid w:val="00785685"/>
    <w:rsid w:val="007906D5"/>
    <w:rsid w:val="007965EC"/>
    <w:rsid w:val="0079773F"/>
    <w:rsid w:val="007D6377"/>
    <w:rsid w:val="007E14D6"/>
    <w:rsid w:val="00805AB4"/>
    <w:rsid w:val="00832AD5"/>
    <w:rsid w:val="00867E0E"/>
    <w:rsid w:val="00884AC7"/>
    <w:rsid w:val="008A496B"/>
    <w:rsid w:val="008C68BC"/>
    <w:rsid w:val="008C7CFA"/>
    <w:rsid w:val="00922BC0"/>
    <w:rsid w:val="00977B96"/>
    <w:rsid w:val="009F6B74"/>
    <w:rsid w:val="00A04490"/>
    <w:rsid w:val="00A43D37"/>
    <w:rsid w:val="00AA77B2"/>
    <w:rsid w:val="00B16CA5"/>
    <w:rsid w:val="00B30CCD"/>
    <w:rsid w:val="00BD5FC5"/>
    <w:rsid w:val="00BD72D6"/>
    <w:rsid w:val="00C5780B"/>
    <w:rsid w:val="00CD0CBF"/>
    <w:rsid w:val="00D278FF"/>
    <w:rsid w:val="00D34078"/>
    <w:rsid w:val="00D4701E"/>
    <w:rsid w:val="00D63FAF"/>
    <w:rsid w:val="00DA6B01"/>
    <w:rsid w:val="00DD456E"/>
    <w:rsid w:val="00DD78CD"/>
    <w:rsid w:val="00E66B82"/>
    <w:rsid w:val="00E66BBD"/>
    <w:rsid w:val="00EE7993"/>
    <w:rsid w:val="00F1124E"/>
    <w:rsid w:val="00F42997"/>
    <w:rsid w:val="00FB25EA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7F45B-EB1A-4478-9669-15E4088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92D050"/>
                </a:solidFill>
              </a:rPr>
              <a:t>Academic</a:t>
            </a:r>
            <a:r>
              <a:rPr lang="en-US" baseline="0">
                <a:solidFill>
                  <a:srgbClr val="92D050"/>
                </a:solidFill>
              </a:rPr>
              <a:t> Trends - Proficiency Writing: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>
                <a:solidFill>
                  <a:srgbClr val="92D050"/>
                </a:solidFill>
              </a:rPr>
              <a:t> </a:t>
            </a:r>
            <a:r>
              <a:rPr lang="en-US" baseline="0">
                <a:solidFill>
                  <a:schemeClr val="bg1">
                    <a:lumMod val="50000"/>
                  </a:schemeClr>
                </a:solidFill>
              </a:rPr>
              <a:t>IEP </a:t>
            </a:r>
            <a:r>
              <a:rPr lang="en-US" baseline="0">
                <a:solidFill>
                  <a:schemeClr val="accent4"/>
                </a:solidFill>
              </a:rPr>
              <a:t>State All  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470-4078-9D1B-5FC13BE61C69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23.2</c:v>
                </c:pt>
                <c:pt idx="1">
                  <c:v>27.5</c:v>
                </c:pt>
                <c:pt idx="2">
                  <c:v>30.3</c:v>
                </c:pt>
                <c:pt idx="3">
                  <c:v>47.8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70-4078-9D1B-5FC13BE61C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19.3</c:v>
                </c:pt>
                <c:pt idx="1">
                  <c:v>2.2999999999999998</c:v>
                </c:pt>
                <c:pt idx="2">
                  <c:v>26.6</c:v>
                </c:pt>
                <c:pt idx="3">
                  <c:v>40.6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70-4078-9D1B-5FC13BE61C6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12.1</c:v>
                </c:pt>
                <c:pt idx="1">
                  <c:v>5.3</c:v>
                </c:pt>
                <c:pt idx="2">
                  <c:v>6.7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470-4078-9D1B-5FC13BE61C6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43.3</c:v>
                </c:pt>
                <c:pt idx="1">
                  <c:v>50</c:v>
                </c:pt>
                <c:pt idx="2">
                  <c:v>43.5</c:v>
                </c:pt>
                <c:pt idx="3">
                  <c:v>58.8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470-4078-9D1B-5FC13BE61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82864"/>
        <c:axId val="511372672"/>
      </c:lineChart>
      <c:catAx>
        <c:axId val="51138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2672"/>
        <c:crosses val="autoZero"/>
        <c:auto val="1"/>
        <c:lblAlgn val="ctr"/>
        <c:lblOffset val="100"/>
        <c:noMultiLvlLbl val="0"/>
      </c:catAx>
      <c:valAx>
        <c:axId val="5113726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US History % </a:t>
            </a:r>
            <a:r>
              <a:rPr lang="en-US" baseline="0">
                <a:solidFill>
                  <a:srgbClr val="FF0000"/>
                </a:solidFill>
              </a:rPr>
              <a:t>Novice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/>
              <a:t> IEP </a:t>
            </a:r>
            <a:r>
              <a:rPr lang="en-US" baseline="0">
                <a:solidFill>
                  <a:schemeClr val="accent4"/>
                </a:solidFill>
              </a:rPr>
              <a:t>State All</a:t>
            </a:r>
            <a:endParaRPr lang="en-US">
              <a:solidFill>
                <a:schemeClr val="accent4"/>
              </a:solidFill>
            </a:endParaRPr>
          </a:p>
        </c:rich>
      </c:tx>
      <c:layout>
        <c:manualLayout>
          <c:xMode val="edge"/>
          <c:yMode val="edge"/>
          <c:x val="0.34470607039504675"/>
          <c:y val="2.89315974374870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BE-4DF6-8EAE-96B473FA1003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</c:v>
                </c:pt>
                <c:pt idx="1">
                  <c:v>38.200000000000003</c:v>
                </c:pt>
                <c:pt idx="2">
                  <c:v>26.4</c:v>
                </c:pt>
                <c:pt idx="3">
                  <c:v>22.7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BE-4DF6-8EAE-96B473FA10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38.799999999999997</c:v>
                </c:pt>
                <c:pt idx="1">
                  <c:v>42.7</c:v>
                </c:pt>
                <c:pt idx="2">
                  <c:v>20.9</c:v>
                </c:pt>
                <c:pt idx="3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BE-4DF6-8EAE-96B473FA100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66.7</c:v>
                </c:pt>
                <c:pt idx="1">
                  <c:v>79.2</c:v>
                </c:pt>
                <c:pt idx="2">
                  <c:v>76.900000000000006</c:v>
                </c:pt>
                <c:pt idx="3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BE-4DF6-8EAE-96B473FA100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24.5</c:v>
                </c:pt>
                <c:pt idx="1">
                  <c:v>27</c:v>
                </c:pt>
                <c:pt idx="2">
                  <c:v>22</c:v>
                </c:pt>
                <c:pt idx="3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BE-4DF6-8EAE-96B473FA10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74848"/>
        <c:axId val="454780336"/>
      </c:lineChart>
      <c:catAx>
        <c:axId val="45477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80336"/>
        <c:crosses val="autoZero"/>
        <c:auto val="1"/>
        <c:lblAlgn val="ctr"/>
        <c:lblOffset val="100"/>
        <c:noMultiLvlLbl val="0"/>
      </c:catAx>
      <c:valAx>
        <c:axId val="454780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CCR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School </a:t>
            </a:r>
            <a:r>
              <a:rPr lang="en-US" baseline="0">
                <a:solidFill>
                  <a:schemeClr val="accent2"/>
                </a:solidFill>
              </a:rPr>
              <a:t>State</a:t>
            </a:r>
            <a:endParaRPr lang="en-US">
              <a:solidFill>
                <a:schemeClr val="accent2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A27D-4C02-8006-D69097E8E91A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2">
                  <c:v>64</c:v>
                </c:pt>
                <c:pt idx="3">
                  <c:v>78.3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27D-4C02-8006-D69097E8E9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68.5</c:v>
                </c:pt>
                <c:pt idx="3">
                  <c:v>65.099999999999994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27D-4C02-8006-D69097E8E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74456"/>
        <c:axId val="454777984"/>
      </c:lineChart>
      <c:catAx>
        <c:axId val="454774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7984"/>
        <c:crosses val="autoZero"/>
        <c:auto val="1"/>
        <c:lblAlgn val="ctr"/>
        <c:lblOffset val="100"/>
        <c:noMultiLvlLbl val="0"/>
      </c:catAx>
      <c:valAx>
        <c:axId val="4547779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4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rgbClr val="00B050"/>
                </a:solidFill>
              </a:rPr>
              <a:t>Behavior Trends: </a:t>
            </a:r>
            <a:r>
              <a:rPr lang="en-US" baseline="0"/>
              <a:t>  </a:t>
            </a:r>
            <a:r>
              <a:rPr lang="en-US" baseline="0">
                <a:solidFill>
                  <a:schemeClr val="accent2"/>
                </a:solidFill>
              </a:rPr>
              <a:t>Infractions</a:t>
            </a:r>
            <a:r>
              <a:rPr lang="en-US" baseline="0"/>
              <a:t>-Out of School Suspensions</a:t>
            </a:r>
          </a:p>
          <a:p>
            <a:pPr>
              <a:defRPr/>
            </a:pPr>
            <a:r>
              <a:rPr lang="en-US" baseline="0">
                <a:solidFill>
                  <a:srgbClr val="00B050"/>
                </a:solidFill>
              </a:rPr>
              <a:t>1st Quarter </a:t>
            </a:r>
            <a:endParaRPr lang="en-US">
              <a:solidFill>
                <a:srgbClr val="00B05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bg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FB-4344-8651-BF43B8FB73B6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2">
                  <c:v>200</c:v>
                </c:pt>
                <c:pt idx="3">
                  <c:v>126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FB-4344-8651-BF43B8FB73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93</c:v>
                </c:pt>
                <c:pt idx="3">
                  <c:v>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FB-4344-8651-BF43B8FB73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24</c:v>
                </c:pt>
                <c:pt idx="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6FB-4344-8651-BF43B8FB73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75632"/>
        <c:axId val="454783080"/>
      </c:lineChart>
      <c:catAx>
        <c:axId val="45477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83080"/>
        <c:crosses val="autoZero"/>
        <c:auto val="1"/>
        <c:lblAlgn val="ctr"/>
        <c:lblOffset val="100"/>
        <c:noMultiLvlLbl val="0"/>
      </c:catAx>
      <c:valAx>
        <c:axId val="4547830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5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Graduation Rate 4 yr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School</a:t>
            </a:r>
            <a:r>
              <a:rPr lang="en-US" baseline="0"/>
              <a:t> </a:t>
            </a:r>
            <a:r>
              <a:rPr lang="en-US" baseline="0">
                <a:solidFill>
                  <a:schemeClr val="accent2"/>
                </a:solidFill>
              </a:rPr>
              <a:t>State</a:t>
            </a:r>
            <a:endParaRPr lang="en-US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30461000067299282"/>
          <c:y val="2.47985120892746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04-4613-9D40-F6B75A17DAEF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2">
                  <c:v>75</c:v>
                </c:pt>
                <c:pt idx="3">
                  <c:v>84.6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04-4613-9D40-F6B75A17DA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88.9</c:v>
                </c:pt>
                <c:pt idx="3">
                  <c:v>89.9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04-4613-9D40-F6B75A17D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83864"/>
        <c:axId val="454775240"/>
      </c:lineChart>
      <c:catAx>
        <c:axId val="45478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5240"/>
        <c:crosses val="autoZero"/>
        <c:auto val="1"/>
        <c:lblAlgn val="ctr"/>
        <c:lblOffset val="100"/>
        <c:noMultiLvlLbl val="0"/>
      </c:catAx>
      <c:valAx>
        <c:axId val="4547752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8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92D050"/>
                </a:solidFill>
              </a:rPr>
              <a:t>Academic</a:t>
            </a:r>
            <a:r>
              <a:rPr lang="en-US" baseline="0">
                <a:solidFill>
                  <a:srgbClr val="92D050"/>
                </a:solidFill>
              </a:rPr>
              <a:t> Trends - Proficiency: English II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>
                    <a:lumMod val="75000"/>
                  </a:schemeClr>
                </a:solidFill>
              </a:rPr>
              <a:t>GAP</a:t>
            </a:r>
            <a:r>
              <a:rPr lang="en-US" baseline="0"/>
              <a:t> IEP </a:t>
            </a:r>
            <a:r>
              <a:rPr lang="en-US" baseline="0">
                <a:solidFill>
                  <a:schemeClr val="accent4"/>
                </a:solidFill>
              </a:rPr>
              <a:t>State All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F63C-499B-AE0A-3C744834FB4F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31.4</c:v>
                </c:pt>
                <c:pt idx="1">
                  <c:v>55.1</c:v>
                </c:pt>
                <c:pt idx="2">
                  <c:v>34.700000000000003</c:v>
                </c:pt>
                <c:pt idx="3">
                  <c:v>45.2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3C-499B-AE0A-3C744834FB4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29.8</c:v>
                </c:pt>
                <c:pt idx="1">
                  <c:v>48.6</c:v>
                </c:pt>
                <c:pt idx="2">
                  <c:v>30.4</c:v>
                </c:pt>
                <c:pt idx="3">
                  <c:v>39.4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3C-499B-AE0A-3C744834FB4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23.1</c:v>
                </c:pt>
                <c:pt idx="1">
                  <c:v>15.4</c:v>
                </c:pt>
                <c:pt idx="2">
                  <c:v>0</c:v>
                </c:pt>
                <c:pt idx="3">
                  <c:v>21.1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3C-499B-AE0A-3C744834FB4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55.4</c:v>
                </c:pt>
                <c:pt idx="1">
                  <c:v>56.8</c:v>
                </c:pt>
                <c:pt idx="2">
                  <c:v>56.4</c:v>
                </c:pt>
                <c:pt idx="3">
                  <c:v>55.9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63C-499B-AE0A-3C744834FB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78552"/>
        <c:axId val="511380512"/>
      </c:lineChart>
      <c:catAx>
        <c:axId val="51137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0512"/>
        <c:crosses val="autoZero"/>
        <c:auto val="1"/>
        <c:lblAlgn val="ctr"/>
        <c:lblOffset val="100"/>
        <c:noMultiLvlLbl val="0"/>
      </c:catAx>
      <c:valAx>
        <c:axId val="5113805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855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92D050"/>
                </a:solidFill>
              </a:rPr>
              <a:t>Academic</a:t>
            </a:r>
            <a:r>
              <a:rPr lang="en-US" baseline="0">
                <a:solidFill>
                  <a:srgbClr val="92D050"/>
                </a:solidFill>
              </a:rPr>
              <a:t> Trends - Proficiency US History: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/>
              <a:t>GAP IEP State All 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09-4FF8-A95A-4F594230D181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41.5</c:v>
                </c:pt>
                <c:pt idx="1">
                  <c:v>39</c:v>
                </c:pt>
                <c:pt idx="2">
                  <c:v>55.8</c:v>
                </c:pt>
                <c:pt idx="3">
                  <c:v>62.5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09-4FF8-A95A-4F594230D1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36.200000000000003</c:v>
                </c:pt>
                <c:pt idx="1">
                  <c:v>36.5</c:v>
                </c:pt>
                <c:pt idx="2">
                  <c:v>50.4</c:v>
                </c:pt>
                <c:pt idx="3">
                  <c:v>59.4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809-4FF8-A95A-4F594230D18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25</c:v>
                </c:pt>
                <c:pt idx="1">
                  <c:v>12.5</c:v>
                </c:pt>
                <c:pt idx="2">
                  <c:v>23.1</c:v>
                </c:pt>
                <c:pt idx="3">
                  <c:v>66.7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809-4FF8-A95A-4F594230D18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58</c:v>
                </c:pt>
                <c:pt idx="1">
                  <c:v>56.9</c:v>
                </c:pt>
                <c:pt idx="2">
                  <c:v>59.1</c:v>
                </c:pt>
                <c:pt idx="3">
                  <c:v>57.5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809-4FF8-A95A-4F594230D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73456"/>
        <c:axId val="511381688"/>
      </c:lineChart>
      <c:catAx>
        <c:axId val="51137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1688"/>
        <c:crosses val="autoZero"/>
        <c:auto val="1"/>
        <c:lblAlgn val="ctr"/>
        <c:lblOffset val="100"/>
        <c:noMultiLvlLbl val="0"/>
      </c:catAx>
      <c:valAx>
        <c:axId val="5113816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Proficiency: Algebra II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</a:t>
            </a:r>
            <a:r>
              <a:rPr lang="en-US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 </a:t>
            </a:r>
            <a:r>
              <a:rPr lang="en-US" baseline="0">
                <a:solidFill>
                  <a:schemeClr val="accent1"/>
                </a:solidFill>
              </a:rPr>
              <a:t>Students   </a:t>
            </a:r>
            <a:r>
              <a:rPr lang="en-US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 </a:t>
            </a:r>
            <a:r>
              <a:rPr lang="en-US" baseline="0">
                <a:solidFill>
                  <a:srgbClr val="FF0000"/>
                </a:solidFill>
              </a:rPr>
              <a:t>GAP   </a:t>
            </a:r>
            <a:r>
              <a:rPr lang="en-US" baseline="0"/>
              <a:t> IEP    </a:t>
            </a:r>
            <a:r>
              <a:rPr lang="en-US" baseline="0">
                <a:solidFill>
                  <a:schemeClr val="accent4"/>
                </a:solidFill>
              </a:rPr>
              <a:t>State All Students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0275927047580597E-2"/>
          <c:y val="0.18558201058201057"/>
          <c:w val="0.91553603876438527"/>
          <c:h val="0.7341787137718895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79-45FF-A69B-251B8DAAEC37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11.7</c:v>
                </c:pt>
                <c:pt idx="1">
                  <c:v>14.4</c:v>
                </c:pt>
                <c:pt idx="2">
                  <c:v>25.6</c:v>
                </c:pt>
                <c:pt idx="3">
                  <c:v>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79-45FF-A69B-251B8DAAEC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11.7</c:v>
                </c:pt>
                <c:pt idx="2">
                  <c:v>23</c:v>
                </c:pt>
                <c:pt idx="3">
                  <c:v>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79-45FF-A69B-251B8DAAEC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9.1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79-45FF-A69B-251B8DAAEC3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37.9</c:v>
                </c:pt>
                <c:pt idx="1">
                  <c:v>38.200000000000003</c:v>
                </c:pt>
                <c:pt idx="2">
                  <c:v>42.3</c:v>
                </c:pt>
                <c:pt idx="3">
                  <c:v>38.1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79-45FF-A69B-251B8DAAEC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77376"/>
        <c:axId val="511376200"/>
      </c:lineChart>
      <c:catAx>
        <c:axId val="51137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6200"/>
        <c:crosses val="autoZero"/>
        <c:auto val="1"/>
        <c:lblAlgn val="ctr"/>
        <c:lblOffset val="100"/>
        <c:noMultiLvlLbl val="0"/>
      </c:catAx>
      <c:valAx>
        <c:axId val="5113762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737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Proficiency: Biology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  </a:t>
            </a:r>
            <a:r>
              <a:rPr lang="en-US" baseline="0">
                <a:solidFill>
                  <a:srgbClr val="FF0000"/>
                </a:solidFill>
              </a:rPr>
              <a:t>GAP </a:t>
            </a:r>
            <a:r>
              <a:rPr lang="en-US" baseline="0">
                <a:solidFill>
                  <a:srgbClr val="00B050"/>
                </a:solidFill>
              </a:rPr>
              <a:t>  </a:t>
            </a:r>
            <a:r>
              <a:rPr lang="en-US" baseline="0">
                <a:solidFill>
                  <a:schemeClr val="bg1">
                    <a:lumMod val="50000"/>
                  </a:schemeClr>
                </a:solidFill>
              </a:rPr>
              <a:t>IEP</a:t>
            </a:r>
            <a:r>
              <a:rPr lang="en-US" baseline="0">
                <a:solidFill>
                  <a:srgbClr val="00B050"/>
                </a:solidFill>
              </a:rPr>
              <a:t>   </a:t>
            </a:r>
            <a:r>
              <a:rPr lang="en-US" baseline="0">
                <a:solidFill>
                  <a:schemeClr val="accent4"/>
                </a:solidFill>
              </a:rPr>
              <a:t>State All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D02-44C4-93D5-C2F9E508484B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13.4</c:v>
                </c:pt>
                <c:pt idx="1">
                  <c:v>21.4</c:v>
                </c:pt>
                <c:pt idx="2">
                  <c:v>15.4</c:v>
                </c:pt>
                <c:pt idx="3">
                  <c:v>40.799999999999997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02-44C4-93D5-C2F9E508484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12.4</c:v>
                </c:pt>
                <c:pt idx="1">
                  <c:v>16.7</c:v>
                </c:pt>
                <c:pt idx="2">
                  <c:v>8.3000000000000007</c:v>
                </c:pt>
                <c:pt idx="3">
                  <c:v>30.5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02-44C4-93D5-C2F9E508484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9.5</c:v>
                </c:pt>
                <c:pt idx="1">
                  <c:v>0</c:v>
                </c:pt>
                <c:pt idx="2">
                  <c:v>0</c:v>
                </c:pt>
                <c:pt idx="3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02-44C4-93D5-C2F9E508484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39.799999999999997</c:v>
                </c:pt>
                <c:pt idx="1">
                  <c:v>39.700000000000003</c:v>
                </c:pt>
                <c:pt idx="2">
                  <c:v>37.299999999999997</c:v>
                </c:pt>
                <c:pt idx="3">
                  <c:v>41.2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D02-44C4-93D5-C2F9E5084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80904"/>
        <c:axId val="511378944"/>
      </c:lineChart>
      <c:catAx>
        <c:axId val="51138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8944"/>
        <c:crosses val="autoZero"/>
        <c:auto val="1"/>
        <c:lblAlgn val="ctr"/>
        <c:lblOffset val="100"/>
        <c:noMultiLvlLbl val="0"/>
      </c:catAx>
      <c:valAx>
        <c:axId val="5113789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0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Trends: Writing % </a:t>
            </a:r>
            <a:r>
              <a:rPr lang="en-US" baseline="0">
                <a:solidFill>
                  <a:srgbClr val="FF0000"/>
                </a:solidFill>
              </a:rPr>
              <a:t>Novice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/>
              <a:t> IEP </a:t>
            </a:r>
            <a:r>
              <a:rPr lang="en-US" baseline="0">
                <a:solidFill>
                  <a:schemeClr val="accent4"/>
                </a:solidFill>
              </a:rPr>
              <a:t>State All  </a:t>
            </a:r>
            <a:endParaRPr lang="en-US">
              <a:solidFill>
                <a:schemeClr val="accent4"/>
              </a:solidFill>
            </a:endParaRPr>
          </a:p>
        </c:rich>
      </c:tx>
      <c:layout>
        <c:manualLayout>
          <c:xMode val="edge"/>
          <c:yMode val="edge"/>
          <c:x val="0.32108974358974363"/>
          <c:y val="2.47985120892746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1886230567332922E-2"/>
          <c:y val="2.4508545235317376E-2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EB-49DE-827A-BA541FA06532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24.9</c:v>
                </c:pt>
                <c:pt idx="1">
                  <c:v>17.8</c:v>
                </c:pt>
                <c:pt idx="2">
                  <c:v>19.7</c:v>
                </c:pt>
                <c:pt idx="3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EB-49DE-827A-BA541FA0653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27.2</c:v>
                </c:pt>
                <c:pt idx="1">
                  <c:v>21.8</c:v>
                </c:pt>
                <c:pt idx="2">
                  <c:v>21.4</c:v>
                </c:pt>
                <c:pt idx="3">
                  <c:v>20.8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EB-49DE-827A-BA541FA0653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60.6</c:v>
                </c:pt>
                <c:pt idx="1">
                  <c:v>50</c:v>
                </c:pt>
                <c:pt idx="2">
                  <c:v>60</c:v>
                </c:pt>
                <c:pt idx="3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EB-49DE-827A-BA541FA06532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13.5</c:v>
                </c:pt>
                <c:pt idx="1">
                  <c:v>11.4</c:v>
                </c:pt>
                <c:pt idx="2">
                  <c:v>11.2</c:v>
                </c:pt>
                <c:pt idx="3">
                  <c:v>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7EB-49DE-827A-BA541FA065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79728"/>
        <c:axId val="511380120"/>
      </c:lineChart>
      <c:catAx>
        <c:axId val="51137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0120"/>
        <c:crosses val="autoZero"/>
        <c:auto val="1"/>
        <c:lblAlgn val="ctr"/>
        <c:lblOffset val="100"/>
        <c:noMultiLvlLbl val="0"/>
      </c:catAx>
      <c:valAx>
        <c:axId val="5113801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7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rgbClr val="00B050"/>
                </a:solidFill>
              </a:rPr>
              <a:t>Academic Trends English II % </a:t>
            </a:r>
            <a:r>
              <a:rPr lang="en-US" baseline="0">
                <a:solidFill>
                  <a:srgbClr val="FF0000"/>
                </a:solidFill>
              </a:rPr>
              <a:t>Novice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>
                <a:solidFill>
                  <a:schemeClr val="bg1">
                    <a:lumMod val="50000"/>
                  </a:schemeClr>
                </a:solidFill>
              </a:rPr>
              <a:t> IEP </a:t>
            </a:r>
            <a:r>
              <a:rPr lang="en-US" baseline="0">
                <a:solidFill>
                  <a:schemeClr val="accent4"/>
                </a:solidFill>
              </a:rPr>
              <a:t>State All  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608A-4C0A-AEC0-48AADD19A948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52.1</c:v>
                </c:pt>
                <c:pt idx="1">
                  <c:v>37.700000000000003</c:v>
                </c:pt>
                <c:pt idx="2">
                  <c:v>52.4</c:v>
                </c:pt>
                <c:pt idx="3">
                  <c:v>38.1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08A-4C0A-AEC0-48AADD19A9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27.2</c:v>
                </c:pt>
                <c:pt idx="1">
                  <c:v>43.2</c:v>
                </c:pt>
                <c:pt idx="2">
                  <c:v>54.9</c:v>
                </c:pt>
                <c:pt idx="3">
                  <c:v>43.4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08A-4C0A-AEC0-48AADD19A9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60.6</c:v>
                </c:pt>
                <c:pt idx="1">
                  <c:v>84.6</c:v>
                </c:pt>
                <c:pt idx="2">
                  <c:v>63.4</c:v>
                </c:pt>
                <c:pt idx="3">
                  <c:v>63.4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08A-4C0A-AEC0-48AADD19A94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33.5</c:v>
                </c:pt>
                <c:pt idx="1">
                  <c:v>34</c:v>
                </c:pt>
                <c:pt idx="2">
                  <c:v>33.6</c:v>
                </c:pt>
                <c:pt idx="3">
                  <c:v>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08A-4C0A-AEC0-48AADD19A9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87176"/>
        <c:axId val="511386392"/>
      </c:lineChart>
      <c:catAx>
        <c:axId val="51138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6392"/>
        <c:crosses val="autoZero"/>
        <c:auto val="1"/>
        <c:lblAlgn val="ctr"/>
        <c:lblOffset val="100"/>
        <c:noMultiLvlLbl val="0"/>
      </c:catAx>
      <c:valAx>
        <c:axId val="5113863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7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Algebra II % </a:t>
            </a:r>
            <a:r>
              <a:rPr lang="en-US" baseline="0">
                <a:solidFill>
                  <a:srgbClr val="FF0000"/>
                </a:solidFill>
              </a:rPr>
              <a:t>Novice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>
                <a:solidFill>
                  <a:schemeClr val="bg1">
                    <a:lumMod val="50000"/>
                  </a:schemeClr>
                </a:solidFill>
              </a:rPr>
              <a:t> IEP </a:t>
            </a:r>
            <a:r>
              <a:rPr lang="en-US" baseline="0">
                <a:solidFill>
                  <a:schemeClr val="accent4"/>
                </a:solidFill>
              </a:rPr>
              <a:t>State All  </a:t>
            </a:r>
            <a:endParaRPr lang="en-US">
              <a:solidFill>
                <a:schemeClr val="accent4"/>
              </a:solidFill>
            </a:endParaRPr>
          </a:p>
        </c:rich>
      </c:tx>
      <c:layout>
        <c:manualLayout>
          <c:xMode val="edge"/>
          <c:yMode val="edge"/>
          <c:x val="0.26968470287367924"/>
          <c:y val="2.47985120892746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7F9-4587-9236-8218C57C740C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39</c:v>
                </c:pt>
                <c:pt idx="2">
                  <c:v>36.9</c:v>
                </c:pt>
                <c:pt idx="3">
                  <c:v>27.6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7F9-4587-9236-8218C57C74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42.5</c:v>
                </c:pt>
                <c:pt idx="1">
                  <c:v>41.4</c:v>
                </c:pt>
                <c:pt idx="2">
                  <c:v>40.200000000000003</c:v>
                </c:pt>
                <c:pt idx="3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7F9-4587-9236-8218C57C74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54.5</c:v>
                </c:pt>
                <c:pt idx="1">
                  <c:v>68</c:v>
                </c:pt>
                <c:pt idx="2">
                  <c:v>84.6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7F9-4587-9236-8218C57C740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24.3</c:v>
                </c:pt>
                <c:pt idx="1">
                  <c:v>23.5</c:v>
                </c:pt>
                <c:pt idx="2">
                  <c:v>21.1</c:v>
                </c:pt>
                <c:pt idx="3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7F9-4587-9236-8218C57C7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1387568"/>
        <c:axId val="511387960"/>
      </c:lineChart>
      <c:catAx>
        <c:axId val="51138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7960"/>
        <c:crosses val="autoZero"/>
        <c:auto val="1"/>
        <c:lblAlgn val="ctr"/>
        <c:lblOffset val="100"/>
        <c:noMultiLvlLbl val="0"/>
      </c:catAx>
      <c:valAx>
        <c:axId val="5113879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38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B050"/>
                </a:solidFill>
              </a:rPr>
              <a:t>Academic</a:t>
            </a:r>
            <a:r>
              <a:rPr lang="en-US" baseline="0">
                <a:solidFill>
                  <a:srgbClr val="00B050"/>
                </a:solidFill>
              </a:rPr>
              <a:t> Trends - Biology % </a:t>
            </a:r>
            <a:r>
              <a:rPr lang="en-US" baseline="0">
                <a:solidFill>
                  <a:srgbClr val="FF0000"/>
                </a:solidFill>
              </a:rPr>
              <a:t>Novice</a:t>
            </a:r>
          </a:p>
          <a:p>
            <a:pPr>
              <a:defRPr/>
            </a:pPr>
            <a:r>
              <a:rPr lang="en-US" baseline="0">
                <a:solidFill>
                  <a:schemeClr val="accent1"/>
                </a:solidFill>
              </a:rPr>
              <a:t>All Students </a:t>
            </a:r>
            <a:r>
              <a:rPr lang="en-US" baseline="0">
                <a:solidFill>
                  <a:schemeClr val="accent2"/>
                </a:solidFill>
              </a:rPr>
              <a:t>GAP</a:t>
            </a:r>
            <a:r>
              <a:rPr lang="en-US" baseline="0"/>
              <a:t> IEP </a:t>
            </a:r>
            <a:r>
              <a:rPr lang="en-US" baseline="0">
                <a:solidFill>
                  <a:schemeClr val="accent4"/>
                </a:solidFill>
              </a:rPr>
              <a:t>State All</a:t>
            </a:r>
            <a:endParaRPr lang="en-US">
              <a:solidFill>
                <a:schemeClr val="accent4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15971231942464E-2"/>
          <c:y val="0.11543650793650795"/>
          <c:w val="0.9221867443734888"/>
          <c:h val="0.7607608423947006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chemeClr val="bg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9A-4C16-A464-CE48F74CC9B0}"/>
              </c:ext>
            </c:extLst>
          </c:dPt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41.5</c:v>
                </c:pt>
                <c:pt idx="1">
                  <c:v>25.4</c:v>
                </c:pt>
                <c:pt idx="2">
                  <c:v>30.8</c:v>
                </c:pt>
                <c:pt idx="3">
                  <c:v>24.3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9A-4C16-A464-CE48F74CC9B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47.8</c:v>
                </c:pt>
                <c:pt idx="1">
                  <c:v>27.8</c:v>
                </c:pt>
                <c:pt idx="2">
                  <c:v>40.5</c:v>
                </c:pt>
                <c:pt idx="3">
                  <c:v>29.3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C9A-4C16-A464-CE48F74CC9B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71.400000000000006</c:v>
                </c:pt>
                <c:pt idx="1">
                  <c:v>60</c:v>
                </c:pt>
                <c:pt idx="2">
                  <c:v>60</c:v>
                </c:pt>
                <c:pt idx="3">
                  <c:v>87.5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C9A-4C16-A464-CE48F74CC9B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  <c:pt idx="2">
                  <c:v>18</c:v>
                </c:pt>
                <c:pt idx="3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C9A-4C16-A464-CE48F74CC9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4774064"/>
        <c:axId val="454776024"/>
      </c:lineChart>
      <c:catAx>
        <c:axId val="454774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6024"/>
        <c:crosses val="autoZero"/>
        <c:auto val="1"/>
        <c:lblAlgn val="ctr"/>
        <c:lblOffset val="100"/>
        <c:noMultiLvlLbl val="0"/>
      </c:catAx>
      <c:valAx>
        <c:axId val="4547760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774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Kevin - Division of Student Success</dc:creator>
  <cp:keywords/>
  <dc:description/>
  <cp:lastModifiedBy>McKnight, Stacy - Central Office</cp:lastModifiedBy>
  <cp:revision>2</cp:revision>
  <dcterms:created xsi:type="dcterms:W3CDTF">2017-12-12T14:21:00Z</dcterms:created>
  <dcterms:modified xsi:type="dcterms:W3CDTF">2017-12-12T14:21:00Z</dcterms:modified>
</cp:coreProperties>
</file>