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14A02">
        <w:rPr>
          <w:rFonts w:ascii="Times New Roman" w:eastAsia="Times New Roman" w:hAnsi="Times New Roman" w:cs="Times New Roman"/>
          <w:b/>
          <w:sz w:val="24"/>
          <w:szCs w:val="20"/>
        </w:rPr>
        <w:t>October 2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91639E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33C" w:rsidRDefault="0012533C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 xml:space="preserve">August </w:t>
      </w:r>
      <w:r w:rsidR="00664506">
        <w:rPr>
          <w:rFonts w:ascii="Times New Roman" w:eastAsia="Times New Roman" w:hAnsi="Times New Roman" w:cs="Times New Roman"/>
          <w:b/>
          <w:sz w:val="24"/>
          <w:szCs w:val="24"/>
        </w:rPr>
        <w:t>electric</w:t>
      </w:r>
      <w:r w:rsidR="00154BD0"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 xml:space="preserve">costs of 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914A02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BB4E2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14A02">
        <w:rPr>
          <w:rFonts w:ascii="Times New Roman" w:eastAsia="Times New Roman" w:hAnsi="Times New Roman" w:cs="Times New Roman"/>
          <w:b/>
          <w:bCs/>
          <w:sz w:val="24"/>
          <w:szCs w:val="24"/>
        </w:rPr>
        <w:t>658</w:t>
      </w:r>
      <w:r w:rsidR="00BB4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14A02">
        <w:rPr>
          <w:rFonts w:ascii="Times New Roman" w:eastAsia="Times New Roman" w:hAnsi="Times New Roman" w:cs="Times New Roman"/>
          <w:b/>
          <w:bCs/>
          <w:sz w:val="24"/>
          <w:szCs w:val="24"/>
        </w:rPr>
        <w:t>84</w:t>
      </w:r>
      <w:r w:rsidR="00554ECD" w:rsidRPr="00291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1B70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  <w:r w:rsidR="00543EFE" w:rsidRPr="00291B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Default="005A50A8" w:rsidP="005A50A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Pr="005A50A8" w:rsidRDefault="005A50A8" w:rsidP="004C5AA5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664506">
        <w:rPr>
          <w:rFonts w:ascii="Times New Roman" w:eastAsia="Times New Roman" w:hAnsi="Times New Roman" w:cs="Times New Roman"/>
          <w:b/>
          <w:sz w:val="24"/>
          <w:szCs w:val="24"/>
        </w:rPr>
        <w:t>electric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costs of $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313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5A50A8"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B143D5" w:rsidRDefault="00B143D5" w:rsidP="00B143D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3D5" w:rsidRDefault="00B143D5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Credit of $13,8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from participation in the Duke Power Share program for the month of </w:t>
      </w:r>
      <w:r w:rsidR="00914A02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50A8" w:rsidRPr="005A50A8" w:rsidRDefault="005A50A8" w:rsidP="005A50A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700478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Duke Energy HVAC rebate for Ryle and GES for $997.50</w:t>
      </w:r>
      <w:r w:rsidR="00B714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4506" w:rsidRPr="00664506" w:rsidRDefault="00664506" w:rsidP="006645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will be recognizing CEMS, EES, GMS and RAJ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their achievement as first time recipients of the EPA ENERGY STAR certification at this board meeting.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ENERGY STAR buildings are independently certified to use less energy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cause fewer greenhouse gas emissions.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Congratulations on a job well done! </w:t>
      </w:r>
    </w:p>
    <w:p w:rsidR="00B7141F" w:rsidRPr="00B7141F" w:rsidRDefault="00B7141F" w:rsidP="00B7141F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506" w:rsidRDefault="00B7141F" w:rsidP="00291B7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will also be presenting their foundation grant check of $10,000 to our district for the promotion and formation of school energy teams and STEM-related initiatives for this school year.   Thank you Duke Energy!           </w:t>
      </w:r>
    </w:p>
    <w:p w:rsidR="00E3058D" w:rsidRPr="00E3058D" w:rsidRDefault="00E3058D" w:rsidP="00E3058D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64A" w:rsidRDefault="0003464A" w:rsidP="0003464A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84" w:rsidRDefault="000A658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41F" w:rsidRDefault="00B7141F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5A50A8" w:rsidP="007E2868">
      <w:pPr>
        <w:jc w:val="center"/>
        <w:rPr>
          <w:b/>
        </w:rPr>
      </w:pPr>
      <w:bookmarkStart w:id="0" w:name="_GoBack"/>
      <w:bookmarkEnd w:id="0"/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5A50A8" w:rsidP="00656630">
      <w:pPr>
        <w:rPr>
          <w:b/>
        </w:rPr>
      </w:pPr>
      <w:r w:rsidRPr="005A50A8"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  <w:r w:rsidRPr="005A50A8"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5A50A8" w:rsidP="00656630">
      <w:r w:rsidRPr="005A50A8">
        <w:drawing>
          <wp:inline distT="0" distB="0" distL="0" distR="0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5A50A8" w:rsidP="00656630">
      <w:pPr>
        <w:rPr>
          <w:b/>
        </w:rPr>
      </w:pPr>
      <w:r w:rsidRPr="005A50A8">
        <w:drawing>
          <wp:inline distT="0" distB="0" distL="0" distR="0">
            <wp:extent cx="6499860" cy="563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464A"/>
    <w:rsid w:val="00051EB4"/>
    <w:rsid w:val="0005337B"/>
    <w:rsid w:val="00062B81"/>
    <w:rsid w:val="00072BFE"/>
    <w:rsid w:val="00081BB1"/>
    <w:rsid w:val="000A6584"/>
    <w:rsid w:val="000B3A09"/>
    <w:rsid w:val="000B3C4A"/>
    <w:rsid w:val="000C7E4B"/>
    <w:rsid w:val="000D0AA3"/>
    <w:rsid w:val="000F179A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B3C7D"/>
    <w:rsid w:val="002B3D50"/>
    <w:rsid w:val="002C103A"/>
    <w:rsid w:val="002D73E6"/>
    <w:rsid w:val="002E17FC"/>
    <w:rsid w:val="002F2738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258C7"/>
    <w:rsid w:val="005307AA"/>
    <w:rsid w:val="00541AF6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614193"/>
    <w:rsid w:val="00617149"/>
    <w:rsid w:val="00617CCA"/>
    <w:rsid w:val="00634164"/>
    <w:rsid w:val="00656630"/>
    <w:rsid w:val="00664506"/>
    <w:rsid w:val="0066728C"/>
    <w:rsid w:val="00680141"/>
    <w:rsid w:val="006834EE"/>
    <w:rsid w:val="0068397C"/>
    <w:rsid w:val="0069784B"/>
    <w:rsid w:val="006B6324"/>
    <w:rsid w:val="006C32B8"/>
    <w:rsid w:val="00700478"/>
    <w:rsid w:val="00704AA4"/>
    <w:rsid w:val="00707850"/>
    <w:rsid w:val="00725FAF"/>
    <w:rsid w:val="00726367"/>
    <w:rsid w:val="00751ABF"/>
    <w:rsid w:val="00763923"/>
    <w:rsid w:val="00765C88"/>
    <w:rsid w:val="0078266A"/>
    <w:rsid w:val="007904AF"/>
    <w:rsid w:val="007954EE"/>
    <w:rsid w:val="007B2B0D"/>
    <w:rsid w:val="007E2868"/>
    <w:rsid w:val="007E2EA7"/>
    <w:rsid w:val="007F3EA0"/>
    <w:rsid w:val="007F7505"/>
    <w:rsid w:val="008039EA"/>
    <w:rsid w:val="0084207D"/>
    <w:rsid w:val="008432F5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E4F07"/>
    <w:rsid w:val="0091059F"/>
    <w:rsid w:val="00914A02"/>
    <w:rsid w:val="0091639E"/>
    <w:rsid w:val="00920DE1"/>
    <w:rsid w:val="009425DC"/>
    <w:rsid w:val="0094666C"/>
    <w:rsid w:val="00966A0F"/>
    <w:rsid w:val="0097086F"/>
    <w:rsid w:val="009B3C0D"/>
    <w:rsid w:val="009E1A03"/>
    <w:rsid w:val="009E54D0"/>
    <w:rsid w:val="009F3232"/>
    <w:rsid w:val="009F4359"/>
    <w:rsid w:val="00A13A11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87592"/>
    <w:rsid w:val="00BB4E25"/>
    <w:rsid w:val="00BC22D4"/>
    <w:rsid w:val="00BC252F"/>
    <w:rsid w:val="00BD0B90"/>
    <w:rsid w:val="00BE08EB"/>
    <w:rsid w:val="00BF0F6A"/>
    <w:rsid w:val="00BF158E"/>
    <w:rsid w:val="00BF1E79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F2858"/>
    <w:rsid w:val="00D03CC4"/>
    <w:rsid w:val="00D05022"/>
    <w:rsid w:val="00D15D15"/>
    <w:rsid w:val="00D2479D"/>
    <w:rsid w:val="00D3300C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4598"/>
    <w:rsid w:val="00E70141"/>
    <w:rsid w:val="00E93F37"/>
    <w:rsid w:val="00EA6C90"/>
    <w:rsid w:val="00EC7C94"/>
    <w:rsid w:val="00ED1213"/>
    <w:rsid w:val="00ED6D6F"/>
    <w:rsid w:val="00EE73A4"/>
    <w:rsid w:val="00F01F29"/>
    <w:rsid w:val="00F1693E"/>
    <w:rsid w:val="00F21554"/>
    <w:rsid w:val="00F47F4D"/>
    <w:rsid w:val="00F53577"/>
    <w:rsid w:val="00F61404"/>
    <w:rsid w:val="00F70762"/>
    <w:rsid w:val="00F81F34"/>
    <w:rsid w:val="00F85449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7</cp:revision>
  <cp:lastPrinted>2015-02-04T16:18:00Z</cp:lastPrinted>
  <dcterms:created xsi:type="dcterms:W3CDTF">2017-10-02T13:39:00Z</dcterms:created>
  <dcterms:modified xsi:type="dcterms:W3CDTF">2017-10-02T14:09:00Z</dcterms:modified>
</cp:coreProperties>
</file>