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55E" w:rsidRPr="0079255E" w:rsidRDefault="0079255E" w:rsidP="0079255E">
      <w:pPr>
        <w:pStyle w:val="NoSpacing"/>
        <w:ind w:left="1080"/>
        <w:rPr>
          <w:b/>
          <w:sz w:val="24"/>
          <w:szCs w:val="24"/>
        </w:rPr>
      </w:pPr>
      <w:r w:rsidRPr="0079255E">
        <w:rPr>
          <w:b/>
          <w:sz w:val="24"/>
          <w:szCs w:val="24"/>
        </w:rPr>
        <w:t>2018 New Assessment Plan-Approved by KBE (public comment period in Oct)</w:t>
      </w:r>
    </w:p>
    <w:p w:rsidR="0079255E" w:rsidRDefault="0079255E" w:rsidP="0079255E">
      <w:pPr>
        <w:pStyle w:val="NoSpacing"/>
        <w:rPr>
          <w:sz w:val="24"/>
          <w:szCs w:val="24"/>
        </w:rPr>
      </w:pPr>
    </w:p>
    <w:tbl>
      <w:tblPr>
        <w:tblStyle w:val="TableGrid"/>
        <w:tblW w:w="0" w:type="auto"/>
        <w:tblLook w:val="04A0" w:firstRow="1" w:lastRow="0" w:firstColumn="1" w:lastColumn="0" w:noHBand="0" w:noVBand="1"/>
      </w:tblPr>
      <w:tblGrid>
        <w:gridCol w:w="1588"/>
        <w:gridCol w:w="1647"/>
        <w:gridCol w:w="1527"/>
        <w:gridCol w:w="1521"/>
        <w:gridCol w:w="1541"/>
        <w:gridCol w:w="1526"/>
      </w:tblGrid>
      <w:tr w:rsidR="0079255E" w:rsidTr="00ED3A85">
        <w:tc>
          <w:tcPr>
            <w:tcW w:w="1588" w:type="dxa"/>
          </w:tcPr>
          <w:p w:rsidR="0079255E" w:rsidRPr="00AD1DB7" w:rsidRDefault="0079255E" w:rsidP="00ED3A85">
            <w:pPr>
              <w:jc w:val="center"/>
              <w:rPr>
                <w:b/>
              </w:rPr>
            </w:pPr>
            <w:r w:rsidRPr="00AD1DB7">
              <w:rPr>
                <w:b/>
              </w:rPr>
              <w:t>Proficiency</w:t>
            </w:r>
          </w:p>
        </w:tc>
        <w:tc>
          <w:tcPr>
            <w:tcW w:w="1647" w:type="dxa"/>
          </w:tcPr>
          <w:p w:rsidR="0079255E" w:rsidRPr="00AD1DB7" w:rsidRDefault="0079255E" w:rsidP="00ED3A85">
            <w:pPr>
              <w:jc w:val="center"/>
              <w:rPr>
                <w:b/>
              </w:rPr>
            </w:pPr>
            <w:r w:rsidRPr="00AD1DB7">
              <w:rPr>
                <w:b/>
              </w:rPr>
              <w:t>Separate Academic Indicator</w:t>
            </w:r>
          </w:p>
        </w:tc>
        <w:tc>
          <w:tcPr>
            <w:tcW w:w="1558" w:type="dxa"/>
          </w:tcPr>
          <w:p w:rsidR="0079255E" w:rsidRPr="00AD1DB7" w:rsidRDefault="0079255E" w:rsidP="00ED3A85">
            <w:pPr>
              <w:jc w:val="center"/>
              <w:rPr>
                <w:b/>
              </w:rPr>
            </w:pPr>
            <w:r w:rsidRPr="00AD1DB7">
              <w:rPr>
                <w:b/>
              </w:rPr>
              <w:t>Growth</w:t>
            </w:r>
          </w:p>
        </w:tc>
        <w:tc>
          <w:tcPr>
            <w:tcW w:w="1558" w:type="dxa"/>
          </w:tcPr>
          <w:p w:rsidR="0079255E" w:rsidRPr="00AD1DB7" w:rsidRDefault="0079255E" w:rsidP="00ED3A85">
            <w:pPr>
              <w:jc w:val="center"/>
              <w:rPr>
                <w:b/>
              </w:rPr>
            </w:pPr>
            <w:r w:rsidRPr="00AD1DB7">
              <w:rPr>
                <w:b/>
              </w:rPr>
              <w:t>Transition Readiness</w:t>
            </w:r>
          </w:p>
        </w:tc>
        <w:tc>
          <w:tcPr>
            <w:tcW w:w="1559" w:type="dxa"/>
          </w:tcPr>
          <w:p w:rsidR="0079255E" w:rsidRPr="00AD1DB7" w:rsidRDefault="0079255E" w:rsidP="00ED3A85">
            <w:pPr>
              <w:jc w:val="center"/>
              <w:rPr>
                <w:b/>
              </w:rPr>
            </w:pPr>
            <w:r w:rsidRPr="00AD1DB7">
              <w:rPr>
                <w:b/>
              </w:rPr>
              <w:t>Achievement Gap Closure</w:t>
            </w:r>
          </w:p>
        </w:tc>
        <w:tc>
          <w:tcPr>
            <w:tcW w:w="1559" w:type="dxa"/>
          </w:tcPr>
          <w:p w:rsidR="0079255E" w:rsidRPr="00AD1DB7" w:rsidRDefault="0079255E" w:rsidP="00ED3A85">
            <w:pPr>
              <w:jc w:val="center"/>
              <w:rPr>
                <w:b/>
              </w:rPr>
            </w:pPr>
            <w:r w:rsidRPr="00AD1DB7">
              <w:rPr>
                <w:b/>
              </w:rPr>
              <w:t>Opportunity and Access</w:t>
            </w:r>
          </w:p>
        </w:tc>
        <w:bookmarkStart w:id="0" w:name="_GoBack"/>
        <w:bookmarkEnd w:id="0"/>
      </w:tr>
      <w:tr w:rsidR="0079255E" w:rsidRPr="00992A9F" w:rsidTr="00ED3A85">
        <w:tc>
          <w:tcPr>
            <w:tcW w:w="1588" w:type="dxa"/>
          </w:tcPr>
          <w:p w:rsidR="0079255E" w:rsidRPr="00992A9F" w:rsidRDefault="0079255E" w:rsidP="00ED3A85">
            <w:pPr>
              <w:pStyle w:val="Default"/>
              <w:rPr>
                <w:sz w:val="20"/>
                <w:szCs w:val="20"/>
              </w:rPr>
            </w:pPr>
          </w:p>
          <w:p w:rsidR="0079255E" w:rsidRPr="00992A9F" w:rsidRDefault="0079255E" w:rsidP="00ED3A85">
            <w:pPr>
              <w:pStyle w:val="Default"/>
              <w:spacing w:after="340"/>
              <w:rPr>
                <w:rFonts w:ascii="Franklin Gothic Medium" w:hAnsi="Franklin Gothic Medium" w:cs="Franklin Gothic Medium"/>
                <w:sz w:val="20"/>
                <w:szCs w:val="20"/>
              </w:rPr>
            </w:pPr>
            <w:r w:rsidRPr="00992A9F">
              <w:rPr>
                <w:sz w:val="20"/>
                <w:szCs w:val="20"/>
              </w:rPr>
              <w:t></w:t>
            </w:r>
            <w:r w:rsidRPr="00992A9F">
              <w:rPr>
                <w:rFonts w:ascii="Franklin Gothic Medium" w:hAnsi="Franklin Gothic Medium" w:cs="Franklin Gothic Medium"/>
                <w:sz w:val="20"/>
                <w:szCs w:val="20"/>
              </w:rPr>
              <w:t>Reaching the desired level of knowledge and skills as measured on academic assessments</w:t>
            </w:r>
          </w:p>
          <w:p w:rsidR="0079255E" w:rsidRPr="00992A9F" w:rsidRDefault="0079255E" w:rsidP="00ED3A85">
            <w:pPr>
              <w:pStyle w:val="Default"/>
              <w:spacing w:after="340"/>
              <w:rPr>
                <w:rFonts w:ascii="Franklin Gothic Medium" w:hAnsi="Franklin Gothic Medium" w:cs="Franklin Gothic Medium"/>
                <w:sz w:val="20"/>
                <w:szCs w:val="20"/>
              </w:rPr>
            </w:pPr>
            <w:r w:rsidRPr="00992A9F">
              <w:rPr>
                <w:sz w:val="20"/>
                <w:szCs w:val="20"/>
              </w:rPr>
              <w:t></w:t>
            </w:r>
            <w:r w:rsidRPr="00992A9F">
              <w:rPr>
                <w:rFonts w:ascii="Franklin Gothic Medium" w:hAnsi="Franklin Gothic Medium" w:cs="Franklin Gothic Medium"/>
                <w:sz w:val="20"/>
                <w:szCs w:val="20"/>
              </w:rPr>
              <w:t>Student performance on state tests in reading/writing, and mathematics</w:t>
            </w:r>
          </w:p>
          <w:p w:rsidR="0079255E" w:rsidRPr="00992A9F" w:rsidRDefault="0079255E" w:rsidP="00ED3A85">
            <w:pPr>
              <w:pStyle w:val="Default"/>
              <w:rPr>
                <w:rFonts w:ascii="Franklin Gothic Medium" w:hAnsi="Franklin Gothic Medium" w:cs="Franklin Gothic Medium"/>
                <w:sz w:val="20"/>
                <w:szCs w:val="20"/>
              </w:rPr>
            </w:pPr>
            <w:r w:rsidRPr="00992A9F">
              <w:rPr>
                <w:sz w:val="20"/>
                <w:szCs w:val="20"/>
              </w:rPr>
              <w:t></w:t>
            </w:r>
            <w:r w:rsidRPr="00992A9F">
              <w:rPr>
                <w:rFonts w:ascii="Franklin Gothic Medium" w:hAnsi="Franklin Gothic Medium" w:cs="Franklin Gothic Medium"/>
                <w:sz w:val="20"/>
                <w:szCs w:val="20"/>
              </w:rPr>
              <w:t xml:space="preserve">Achievement status will be Novice (N), Apprentice (A), Proficient (P), and Distinguished (D) </w:t>
            </w:r>
          </w:p>
          <w:p w:rsidR="0079255E" w:rsidRPr="00992A9F" w:rsidRDefault="0079255E" w:rsidP="00ED3A85">
            <w:pPr>
              <w:rPr>
                <w:sz w:val="20"/>
                <w:szCs w:val="20"/>
              </w:rPr>
            </w:pPr>
          </w:p>
          <w:p w:rsidR="0079255E" w:rsidRPr="00992A9F" w:rsidRDefault="0079255E" w:rsidP="00ED3A85">
            <w:pPr>
              <w:rPr>
                <w:sz w:val="20"/>
                <w:szCs w:val="20"/>
              </w:rPr>
            </w:pPr>
          </w:p>
          <w:p w:rsidR="0079255E" w:rsidRPr="00992A9F" w:rsidRDefault="0079255E" w:rsidP="00ED3A85">
            <w:pPr>
              <w:rPr>
                <w:sz w:val="20"/>
                <w:szCs w:val="20"/>
              </w:rPr>
            </w:pPr>
          </w:p>
          <w:p w:rsidR="0079255E" w:rsidRPr="00992A9F" w:rsidRDefault="0079255E" w:rsidP="00ED3A85">
            <w:pPr>
              <w:rPr>
                <w:sz w:val="20"/>
                <w:szCs w:val="20"/>
              </w:rPr>
            </w:pPr>
          </w:p>
          <w:p w:rsidR="0079255E" w:rsidRPr="00992A9F" w:rsidRDefault="0079255E" w:rsidP="00ED3A85">
            <w:pPr>
              <w:rPr>
                <w:sz w:val="20"/>
                <w:szCs w:val="20"/>
              </w:rPr>
            </w:pPr>
          </w:p>
          <w:p w:rsidR="0079255E" w:rsidRPr="00992A9F" w:rsidRDefault="0079255E" w:rsidP="00ED3A85">
            <w:pPr>
              <w:rPr>
                <w:sz w:val="20"/>
                <w:szCs w:val="20"/>
              </w:rPr>
            </w:pPr>
          </w:p>
          <w:p w:rsidR="0079255E" w:rsidRPr="00992A9F" w:rsidRDefault="0079255E" w:rsidP="00ED3A85">
            <w:pPr>
              <w:rPr>
                <w:sz w:val="20"/>
                <w:szCs w:val="20"/>
              </w:rPr>
            </w:pPr>
          </w:p>
          <w:p w:rsidR="0079255E" w:rsidRPr="00992A9F" w:rsidRDefault="0079255E" w:rsidP="00ED3A85">
            <w:pPr>
              <w:rPr>
                <w:sz w:val="20"/>
                <w:szCs w:val="20"/>
              </w:rPr>
            </w:pPr>
          </w:p>
          <w:p w:rsidR="0079255E" w:rsidRPr="00992A9F" w:rsidRDefault="0079255E" w:rsidP="00ED3A85">
            <w:pPr>
              <w:rPr>
                <w:sz w:val="20"/>
                <w:szCs w:val="20"/>
              </w:rPr>
            </w:pPr>
          </w:p>
          <w:p w:rsidR="0079255E" w:rsidRDefault="0079255E" w:rsidP="00ED3A85">
            <w:pPr>
              <w:rPr>
                <w:sz w:val="20"/>
                <w:szCs w:val="20"/>
              </w:rPr>
            </w:pPr>
          </w:p>
          <w:p w:rsidR="0079255E" w:rsidRPr="00992A9F" w:rsidRDefault="0079255E" w:rsidP="00ED3A85">
            <w:pPr>
              <w:rPr>
                <w:sz w:val="20"/>
                <w:szCs w:val="20"/>
              </w:rPr>
            </w:pPr>
          </w:p>
        </w:tc>
        <w:tc>
          <w:tcPr>
            <w:tcW w:w="1647" w:type="dxa"/>
          </w:tcPr>
          <w:p w:rsidR="0079255E" w:rsidRPr="00992A9F" w:rsidRDefault="0079255E" w:rsidP="00ED3A85">
            <w:pPr>
              <w:rPr>
                <w:sz w:val="20"/>
                <w:szCs w:val="20"/>
              </w:rPr>
            </w:pPr>
          </w:p>
          <w:p w:rsidR="0079255E" w:rsidRPr="00992A9F" w:rsidRDefault="0079255E" w:rsidP="00ED3A85">
            <w:pPr>
              <w:pStyle w:val="Default"/>
              <w:spacing w:after="254"/>
              <w:rPr>
                <w:rFonts w:ascii="Franklin Gothic Medium" w:hAnsi="Franklin Gothic Medium" w:cs="Franklin Gothic Medium"/>
                <w:sz w:val="20"/>
                <w:szCs w:val="20"/>
              </w:rPr>
            </w:pPr>
            <w:r w:rsidRPr="00992A9F">
              <w:rPr>
                <w:sz w:val="20"/>
                <w:szCs w:val="20"/>
              </w:rPr>
              <w:t></w:t>
            </w:r>
            <w:r w:rsidRPr="00992A9F">
              <w:rPr>
                <w:rFonts w:ascii="Franklin Gothic Medium" w:hAnsi="Franklin Gothic Medium" w:cs="Franklin Gothic Medium"/>
                <w:sz w:val="20"/>
                <w:szCs w:val="20"/>
              </w:rPr>
              <w:t>Student performance on state tests in science and social studies</w:t>
            </w:r>
          </w:p>
          <w:p w:rsidR="0079255E" w:rsidRPr="00992A9F" w:rsidRDefault="0079255E" w:rsidP="00ED3A85">
            <w:pPr>
              <w:pStyle w:val="Default"/>
              <w:spacing w:after="254"/>
              <w:rPr>
                <w:rFonts w:ascii="Franklin Gothic Medium" w:hAnsi="Franklin Gothic Medium" w:cs="Franklin Gothic Medium"/>
                <w:sz w:val="20"/>
                <w:szCs w:val="20"/>
              </w:rPr>
            </w:pPr>
            <w:r w:rsidRPr="00992A9F">
              <w:rPr>
                <w:sz w:val="20"/>
                <w:szCs w:val="20"/>
              </w:rPr>
              <w:t></w:t>
            </w:r>
            <w:r w:rsidRPr="00992A9F">
              <w:rPr>
                <w:rFonts w:ascii="Franklin Gothic Medium" w:hAnsi="Franklin Gothic Medium" w:cs="Franklin Gothic Medium"/>
                <w:sz w:val="20"/>
                <w:szCs w:val="20"/>
              </w:rPr>
              <w:t xml:space="preserve">Achievement status will be Novice (N), Apprentice (A), Proficient (P), and Distinguished (D) </w:t>
            </w:r>
          </w:p>
          <w:p w:rsidR="0079255E" w:rsidRPr="00992A9F" w:rsidRDefault="0079255E" w:rsidP="00ED3A85">
            <w:pPr>
              <w:pStyle w:val="Default"/>
              <w:rPr>
                <w:rFonts w:ascii="Franklin Gothic Medium" w:hAnsi="Franklin Gothic Medium" w:cs="Franklin Gothic Medium"/>
                <w:sz w:val="20"/>
                <w:szCs w:val="20"/>
              </w:rPr>
            </w:pPr>
            <w:r w:rsidRPr="00992A9F">
              <w:rPr>
                <w:sz w:val="20"/>
                <w:szCs w:val="20"/>
              </w:rPr>
              <w:t></w:t>
            </w:r>
            <w:r w:rsidRPr="00992A9F">
              <w:rPr>
                <w:rFonts w:ascii="Franklin Gothic Medium" w:hAnsi="Franklin Gothic Medium" w:cs="Franklin Gothic Medium"/>
                <w:sz w:val="20"/>
                <w:szCs w:val="20"/>
              </w:rPr>
              <w:t>Proficiency and Separate Academic Indicator are equal</w:t>
            </w:r>
          </w:p>
          <w:p w:rsidR="0079255E" w:rsidRPr="00992A9F" w:rsidRDefault="0079255E" w:rsidP="00ED3A85">
            <w:pPr>
              <w:pStyle w:val="Default"/>
              <w:rPr>
                <w:rFonts w:ascii="Franklin Gothic Medium" w:hAnsi="Franklin Gothic Medium" w:cs="Franklin Gothic Medium"/>
                <w:sz w:val="20"/>
                <w:szCs w:val="20"/>
              </w:rPr>
            </w:pPr>
          </w:p>
          <w:p w:rsidR="0079255E" w:rsidRPr="00992A9F" w:rsidRDefault="0079255E" w:rsidP="00ED3A85">
            <w:pPr>
              <w:pStyle w:val="Default"/>
              <w:rPr>
                <w:sz w:val="20"/>
                <w:szCs w:val="20"/>
              </w:rPr>
            </w:pPr>
            <w:r w:rsidRPr="00992A9F">
              <w:rPr>
                <w:rFonts w:ascii="Franklin Gothic Medium" w:hAnsi="Franklin Gothic Medium" w:cs="Franklin Gothic Medium"/>
                <w:sz w:val="20"/>
                <w:szCs w:val="20"/>
              </w:rPr>
              <w:t>●All tested content areas (reading/writing, mathematics, science, and social studies) contribute equally</w:t>
            </w:r>
          </w:p>
          <w:p w:rsidR="0079255E" w:rsidRPr="00992A9F" w:rsidRDefault="0079255E" w:rsidP="00ED3A85">
            <w:pPr>
              <w:rPr>
                <w:sz w:val="20"/>
                <w:szCs w:val="20"/>
              </w:rPr>
            </w:pPr>
          </w:p>
        </w:tc>
        <w:tc>
          <w:tcPr>
            <w:tcW w:w="1558" w:type="dxa"/>
          </w:tcPr>
          <w:p w:rsidR="0079255E" w:rsidRPr="00992A9F" w:rsidRDefault="0079255E" w:rsidP="00ED3A85">
            <w:pPr>
              <w:pStyle w:val="Default"/>
              <w:rPr>
                <w:sz w:val="20"/>
                <w:szCs w:val="20"/>
              </w:rPr>
            </w:pPr>
          </w:p>
          <w:p w:rsidR="0079255E" w:rsidRPr="00992A9F" w:rsidRDefault="0079255E" w:rsidP="00ED3A85">
            <w:pPr>
              <w:pStyle w:val="Default"/>
              <w:spacing w:after="254"/>
              <w:rPr>
                <w:rFonts w:ascii="Franklin Gothic Medium" w:hAnsi="Franklin Gothic Medium" w:cs="Franklin Gothic Medium"/>
                <w:sz w:val="20"/>
                <w:szCs w:val="20"/>
              </w:rPr>
            </w:pPr>
            <w:r w:rsidRPr="00992A9F">
              <w:rPr>
                <w:sz w:val="20"/>
                <w:szCs w:val="20"/>
              </w:rPr>
              <w:t></w:t>
            </w:r>
            <w:r w:rsidRPr="00992A9F">
              <w:rPr>
                <w:rFonts w:ascii="Franklin Gothic Medium" w:hAnsi="Franklin Gothic Medium" w:cs="Franklin Gothic Medium"/>
                <w:sz w:val="20"/>
                <w:szCs w:val="20"/>
              </w:rPr>
              <w:t>Student’s continuous improvement toward the goal of proficiency</w:t>
            </w:r>
          </w:p>
          <w:p w:rsidR="0079255E" w:rsidRPr="00992A9F" w:rsidRDefault="0079255E" w:rsidP="00ED3A85">
            <w:pPr>
              <w:pStyle w:val="Default"/>
              <w:spacing w:after="254"/>
              <w:rPr>
                <w:rFonts w:ascii="Franklin Gothic Medium" w:hAnsi="Franklin Gothic Medium" w:cs="Franklin Gothic Medium"/>
                <w:sz w:val="20"/>
                <w:szCs w:val="20"/>
              </w:rPr>
            </w:pPr>
            <w:r w:rsidRPr="00992A9F">
              <w:rPr>
                <w:sz w:val="20"/>
                <w:szCs w:val="20"/>
              </w:rPr>
              <w:t></w:t>
            </w:r>
            <w:r w:rsidRPr="00992A9F">
              <w:rPr>
                <w:rFonts w:ascii="Franklin Gothic Medium" w:hAnsi="Franklin Gothic Medium" w:cs="Franklin Gothic Medium"/>
                <w:sz w:val="20"/>
                <w:szCs w:val="20"/>
              </w:rPr>
              <w:t>Growth will be measured at elementary and middle school levels in reading and mathematics</w:t>
            </w:r>
          </w:p>
          <w:p w:rsidR="0079255E" w:rsidRPr="00992A9F" w:rsidRDefault="0079255E" w:rsidP="00ED3A85">
            <w:pPr>
              <w:pStyle w:val="Default"/>
              <w:rPr>
                <w:sz w:val="20"/>
                <w:szCs w:val="20"/>
              </w:rPr>
            </w:pPr>
          </w:p>
          <w:p w:rsidR="0079255E" w:rsidRPr="00992A9F" w:rsidRDefault="0079255E" w:rsidP="00ED3A85">
            <w:pPr>
              <w:pStyle w:val="Default"/>
              <w:rPr>
                <w:rFonts w:ascii="Franklin Gothic Demi" w:hAnsi="Franklin Gothic Demi"/>
                <w:sz w:val="20"/>
                <w:szCs w:val="20"/>
              </w:rPr>
            </w:pPr>
            <w:r w:rsidRPr="00992A9F">
              <w:rPr>
                <w:sz w:val="20"/>
                <w:szCs w:val="20"/>
              </w:rPr>
              <w:t></w:t>
            </w:r>
            <w:r w:rsidRPr="00992A9F">
              <w:rPr>
                <w:rFonts w:ascii="Franklin Gothic Medium" w:hAnsi="Franklin Gothic Medium"/>
                <w:sz w:val="20"/>
                <w:szCs w:val="20"/>
              </w:rPr>
              <w:t>EL progress on English will be evaluated</w:t>
            </w:r>
            <w:r w:rsidRPr="00992A9F">
              <w:rPr>
                <w:sz w:val="20"/>
                <w:szCs w:val="20"/>
              </w:rPr>
              <w:t></w:t>
            </w:r>
          </w:p>
          <w:p w:rsidR="0079255E" w:rsidRPr="00992A9F" w:rsidRDefault="0079255E" w:rsidP="00ED3A85">
            <w:pPr>
              <w:pStyle w:val="Default"/>
              <w:rPr>
                <w:sz w:val="20"/>
                <w:szCs w:val="20"/>
              </w:rPr>
            </w:pPr>
          </w:p>
          <w:p w:rsidR="0079255E" w:rsidRPr="00992A9F" w:rsidRDefault="0079255E" w:rsidP="00ED3A85">
            <w:pPr>
              <w:pStyle w:val="Default"/>
              <w:rPr>
                <w:rFonts w:ascii="Franklin Gothic Medium" w:hAnsi="Franklin Gothic Medium" w:cs="Franklin Gothic Medium"/>
                <w:sz w:val="20"/>
                <w:szCs w:val="20"/>
              </w:rPr>
            </w:pPr>
            <w:r w:rsidRPr="00992A9F">
              <w:rPr>
                <w:sz w:val="20"/>
                <w:szCs w:val="20"/>
              </w:rPr>
              <w:t></w:t>
            </w:r>
            <w:r w:rsidRPr="00992A9F">
              <w:rPr>
                <w:rFonts w:ascii="Franklin Gothic Medium" w:hAnsi="Franklin Gothic Medium" w:cs="Franklin Gothic Medium"/>
                <w:sz w:val="20"/>
                <w:szCs w:val="20"/>
              </w:rPr>
              <w:t xml:space="preserve">Each student’s growth is projected into the future and evaluated as to whether the student is “catching up,” “keeping up,” or “moving up” </w:t>
            </w:r>
          </w:p>
          <w:p w:rsidR="0079255E" w:rsidRPr="00992A9F" w:rsidRDefault="0079255E" w:rsidP="00ED3A85">
            <w:pPr>
              <w:pStyle w:val="Default"/>
              <w:rPr>
                <w:rFonts w:ascii="Franklin Gothic Medium" w:hAnsi="Franklin Gothic Medium" w:cs="Franklin Gothic Medium"/>
                <w:sz w:val="20"/>
                <w:szCs w:val="20"/>
              </w:rPr>
            </w:pPr>
          </w:p>
          <w:p w:rsidR="0079255E" w:rsidRPr="00992A9F" w:rsidRDefault="0079255E" w:rsidP="00ED3A85">
            <w:pPr>
              <w:pStyle w:val="Default"/>
              <w:spacing w:after="254"/>
              <w:rPr>
                <w:rFonts w:ascii="Franklin Gothic Medium" w:hAnsi="Franklin Gothic Medium" w:cs="Franklin Gothic Medium"/>
                <w:sz w:val="20"/>
                <w:szCs w:val="20"/>
              </w:rPr>
            </w:pPr>
          </w:p>
          <w:p w:rsidR="0079255E" w:rsidRPr="00992A9F" w:rsidRDefault="0079255E" w:rsidP="00ED3A85">
            <w:pPr>
              <w:pStyle w:val="Default"/>
              <w:spacing w:after="254"/>
              <w:rPr>
                <w:rFonts w:ascii="Franklin Gothic Medium" w:hAnsi="Franklin Gothic Medium" w:cs="Franklin Gothic Medium"/>
                <w:sz w:val="20"/>
                <w:szCs w:val="20"/>
              </w:rPr>
            </w:pPr>
          </w:p>
          <w:p w:rsidR="0079255E" w:rsidRPr="00992A9F" w:rsidRDefault="0079255E" w:rsidP="00ED3A85">
            <w:pPr>
              <w:pStyle w:val="Default"/>
              <w:rPr>
                <w:rFonts w:ascii="Franklin Gothic Demi" w:hAnsi="Franklin Gothic Demi"/>
                <w:sz w:val="20"/>
                <w:szCs w:val="20"/>
              </w:rPr>
            </w:pPr>
          </w:p>
          <w:p w:rsidR="0079255E" w:rsidRPr="00992A9F" w:rsidRDefault="0079255E" w:rsidP="00ED3A85">
            <w:pPr>
              <w:rPr>
                <w:sz w:val="20"/>
                <w:szCs w:val="20"/>
              </w:rPr>
            </w:pPr>
          </w:p>
        </w:tc>
        <w:tc>
          <w:tcPr>
            <w:tcW w:w="1558" w:type="dxa"/>
          </w:tcPr>
          <w:p w:rsidR="0079255E" w:rsidRPr="00992A9F" w:rsidRDefault="0079255E" w:rsidP="00ED3A85">
            <w:pPr>
              <w:rPr>
                <w:sz w:val="20"/>
                <w:szCs w:val="20"/>
              </w:rPr>
            </w:pPr>
          </w:p>
          <w:p w:rsidR="0079255E" w:rsidRPr="00992A9F" w:rsidRDefault="0079255E" w:rsidP="00ED3A85">
            <w:pPr>
              <w:pStyle w:val="Default"/>
              <w:spacing w:after="248"/>
              <w:rPr>
                <w:rFonts w:ascii="Franklin Gothic Medium" w:hAnsi="Franklin Gothic Medium" w:cs="Franklin Gothic Medium"/>
                <w:sz w:val="20"/>
                <w:szCs w:val="20"/>
              </w:rPr>
            </w:pPr>
            <w:r w:rsidRPr="00992A9F">
              <w:rPr>
                <w:sz w:val="20"/>
                <w:szCs w:val="20"/>
              </w:rPr>
              <w:t></w:t>
            </w:r>
            <w:r w:rsidRPr="00992A9F">
              <w:rPr>
                <w:rFonts w:ascii="Franklin Gothic Medium" w:hAnsi="Franklin Gothic Medium" w:cs="Franklin Gothic Medium"/>
                <w:sz w:val="20"/>
                <w:szCs w:val="20"/>
              </w:rPr>
              <w:t>Attainment of the necessary knowledge, skills and dispositions to successfully move to the next level of education, work or life</w:t>
            </w:r>
          </w:p>
          <w:p w:rsidR="0079255E" w:rsidRPr="00992A9F" w:rsidRDefault="0079255E" w:rsidP="00ED3A85">
            <w:pPr>
              <w:pStyle w:val="Default"/>
              <w:spacing w:after="248"/>
              <w:rPr>
                <w:rFonts w:ascii="Franklin Gothic Medium" w:hAnsi="Franklin Gothic Medium" w:cs="Franklin Gothic Medium"/>
                <w:sz w:val="20"/>
                <w:szCs w:val="20"/>
              </w:rPr>
            </w:pPr>
            <w:r w:rsidRPr="00992A9F">
              <w:rPr>
                <w:sz w:val="20"/>
                <w:szCs w:val="20"/>
              </w:rPr>
              <w:t></w:t>
            </w:r>
            <w:r w:rsidRPr="00992A9F">
              <w:rPr>
                <w:rFonts w:ascii="Franklin Gothic Medium" w:hAnsi="Franklin Gothic Medium" w:cs="Franklin Gothic Medium"/>
                <w:sz w:val="20"/>
                <w:szCs w:val="20"/>
              </w:rPr>
              <w:t>Elementary schools by grade 5 and middle schools by grade 8 are expected to help students show they are ready to transition to the next stage in their education</w:t>
            </w:r>
          </w:p>
          <w:p w:rsidR="0079255E" w:rsidRPr="00992A9F" w:rsidRDefault="0079255E" w:rsidP="00ED3A85">
            <w:pPr>
              <w:pStyle w:val="Default"/>
              <w:rPr>
                <w:sz w:val="20"/>
                <w:szCs w:val="20"/>
              </w:rPr>
            </w:pPr>
            <w:r w:rsidRPr="00992A9F">
              <w:rPr>
                <w:sz w:val="20"/>
                <w:szCs w:val="20"/>
              </w:rPr>
              <w:t></w:t>
            </w:r>
            <w:r w:rsidRPr="00992A9F">
              <w:rPr>
                <w:rFonts w:ascii="Franklin Gothic Medium" w:hAnsi="Franklin Gothic Medium" w:cs="Franklin Gothic Medium"/>
                <w:sz w:val="20"/>
                <w:szCs w:val="20"/>
              </w:rPr>
              <w:t>Elementary and Middle-meet a benchmark on a composite score that combines student performance on reading, writing, math, science, and social studies at grades 5 and 8</w:t>
            </w:r>
          </w:p>
        </w:tc>
        <w:tc>
          <w:tcPr>
            <w:tcW w:w="1559" w:type="dxa"/>
          </w:tcPr>
          <w:p w:rsidR="0079255E" w:rsidRPr="00992A9F" w:rsidRDefault="0079255E" w:rsidP="00ED3A85">
            <w:pPr>
              <w:rPr>
                <w:sz w:val="20"/>
                <w:szCs w:val="20"/>
              </w:rPr>
            </w:pPr>
          </w:p>
          <w:p w:rsidR="0079255E" w:rsidRPr="00992A9F" w:rsidRDefault="0079255E" w:rsidP="00ED3A85">
            <w:pPr>
              <w:pStyle w:val="Default"/>
              <w:spacing w:after="340"/>
              <w:rPr>
                <w:rFonts w:ascii="Franklin Gothic Medium" w:hAnsi="Franklin Gothic Medium" w:cs="Franklin Gothic Medium"/>
                <w:sz w:val="20"/>
                <w:szCs w:val="20"/>
              </w:rPr>
            </w:pPr>
            <w:r w:rsidRPr="00992A9F">
              <w:rPr>
                <w:sz w:val="20"/>
                <w:szCs w:val="20"/>
              </w:rPr>
              <w:t></w:t>
            </w:r>
            <w:r w:rsidRPr="00992A9F">
              <w:rPr>
                <w:rFonts w:ascii="Franklin Gothic Medium" w:hAnsi="Franklin Gothic Medium" w:cs="Franklin Gothic Medium"/>
                <w:sz w:val="20"/>
                <w:szCs w:val="20"/>
              </w:rPr>
              <w:t>Achievement Gap refers to the disparity between the performance of a student group and a comparison criteria</w:t>
            </w:r>
          </w:p>
          <w:p w:rsidR="0079255E" w:rsidRPr="00992A9F" w:rsidRDefault="0079255E" w:rsidP="00ED3A85">
            <w:pPr>
              <w:pStyle w:val="Default"/>
              <w:rPr>
                <w:rFonts w:ascii="Franklin Gothic Medium" w:hAnsi="Franklin Gothic Medium" w:cs="Franklin Gothic Medium"/>
                <w:sz w:val="20"/>
                <w:szCs w:val="20"/>
              </w:rPr>
            </w:pPr>
            <w:r w:rsidRPr="00992A9F">
              <w:rPr>
                <w:sz w:val="20"/>
                <w:szCs w:val="20"/>
              </w:rPr>
              <w:t></w:t>
            </w:r>
            <w:r w:rsidRPr="00992A9F">
              <w:rPr>
                <w:rFonts w:ascii="Franklin Gothic Medium" w:hAnsi="Franklin Gothic Medium" w:cs="Franklin Gothic Medium"/>
                <w:sz w:val="20"/>
                <w:szCs w:val="20"/>
              </w:rPr>
              <w:t xml:space="preserve">Kentucky’s new accountability system will include two types of comparisons: </w:t>
            </w:r>
          </w:p>
          <w:p w:rsidR="0079255E" w:rsidRPr="00992A9F" w:rsidRDefault="0079255E" w:rsidP="00ED3A85">
            <w:pPr>
              <w:pStyle w:val="Default"/>
              <w:spacing w:after="369"/>
              <w:rPr>
                <w:rFonts w:ascii="Franklin Gothic Medium" w:hAnsi="Franklin Gothic Medium" w:cs="Franklin Gothic Medium"/>
                <w:sz w:val="20"/>
                <w:szCs w:val="20"/>
              </w:rPr>
            </w:pPr>
            <w:r w:rsidRPr="00992A9F">
              <w:rPr>
                <w:rFonts w:ascii="Franklin Gothic Medium" w:hAnsi="Franklin Gothic Medium" w:cs="Franklin Gothic Medium"/>
                <w:sz w:val="20"/>
                <w:szCs w:val="20"/>
              </w:rPr>
              <w:t>●Gap to Group (33%)</w:t>
            </w:r>
          </w:p>
          <w:p w:rsidR="0079255E" w:rsidRPr="00992A9F" w:rsidRDefault="0079255E" w:rsidP="00ED3A85">
            <w:pPr>
              <w:pStyle w:val="Default"/>
              <w:rPr>
                <w:rFonts w:ascii="Franklin Gothic Medium" w:hAnsi="Franklin Gothic Medium" w:cs="Franklin Gothic Medium"/>
                <w:sz w:val="20"/>
                <w:szCs w:val="20"/>
              </w:rPr>
            </w:pPr>
            <w:r w:rsidRPr="00992A9F">
              <w:rPr>
                <w:rFonts w:ascii="Franklin Gothic Medium" w:hAnsi="Franklin Gothic Medium" w:cs="Franklin Gothic Medium"/>
                <w:sz w:val="20"/>
                <w:szCs w:val="20"/>
              </w:rPr>
              <w:t xml:space="preserve">●Gap to Proficiency (67%) </w:t>
            </w:r>
          </w:p>
          <w:p w:rsidR="0079255E" w:rsidRPr="00992A9F" w:rsidRDefault="0079255E" w:rsidP="00ED3A85">
            <w:pPr>
              <w:pStyle w:val="Default"/>
              <w:rPr>
                <w:rFonts w:ascii="Franklin Gothic Medium" w:hAnsi="Franklin Gothic Medium" w:cs="Franklin Gothic Medium"/>
                <w:sz w:val="20"/>
                <w:szCs w:val="20"/>
              </w:rPr>
            </w:pPr>
          </w:p>
          <w:p w:rsidR="0079255E" w:rsidRPr="00992A9F" w:rsidRDefault="0079255E" w:rsidP="00ED3A85">
            <w:pPr>
              <w:rPr>
                <w:sz w:val="20"/>
                <w:szCs w:val="20"/>
              </w:rPr>
            </w:pPr>
          </w:p>
        </w:tc>
        <w:tc>
          <w:tcPr>
            <w:tcW w:w="1559" w:type="dxa"/>
          </w:tcPr>
          <w:p w:rsidR="0079255E" w:rsidRPr="00992A9F" w:rsidRDefault="0079255E" w:rsidP="00ED3A85">
            <w:pPr>
              <w:rPr>
                <w:sz w:val="20"/>
                <w:szCs w:val="20"/>
              </w:rPr>
            </w:pPr>
          </w:p>
          <w:p w:rsidR="0079255E" w:rsidRPr="00992A9F" w:rsidRDefault="0079255E" w:rsidP="00ED3A85">
            <w:pPr>
              <w:pStyle w:val="Default"/>
              <w:spacing w:after="341"/>
              <w:rPr>
                <w:rFonts w:ascii="Franklin Gothic Medium" w:hAnsi="Franklin Gothic Medium" w:cs="Franklin Gothic Medium"/>
                <w:sz w:val="20"/>
                <w:szCs w:val="20"/>
              </w:rPr>
            </w:pPr>
            <w:r w:rsidRPr="00992A9F">
              <w:rPr>
                <w:sz w:val="20"/>
                <w:szCs w:val="20"/>
              </w:rPr>
              <w:t></w:t>
            </w:r>
            <w:r w:rsidRPr="00992A9F">
              <w:rPr>
                <w:rFonts w:ascii="Franklin Gothic Medium" w:hAnsi="Franklin Gothic Medium" w:cs="Franklin Gothic Medium"/>
                <w:sz w:val="20"/>
                <w:szCs w:val="20"/>
              </w:rPr>
              <w:t>Equitable availability to research-based student experiences and school factors that impact student success</w:t>
            </w:r>
          </w:p>
          <w:p w:rsidR="0079255E" w:rsidRPr="00992A9F" w:rsidRDefault="0079255E" w:rsidP="00ED3A85">
            <w:pPr>
              <w:pStyle w:val="Default"/>
              <w:spacing w:after="341"/>
              <w:rPr>
                <w:rFonts w:ascii="Franklin Gothic Medium" w:hAnsi="Franklin Gothic Medium" w:cs="Franklin Gothic Medium"/>
                <w:sz w:val="20"/>
                <w:szCs w:val="20"/>
              </w:rPr>
            </w:pPr>
            <w:r w:rsidRPr="00992A9F">
              <w:rPr>
                <w:sz w:val="20"/>
                <w:szCs w:val="20"/>
              </w:rPr>
              <w:t></w:t>
            </w:r>
            <w:r w:rsidRPr="00992A9F">
              <w:rPr>
                <w:rFonts w:ascii="Franklin Gothic Medium" w:hAnsi="Franklin Gothic Medium" w:cs="Franklin Gothic Medium"/>
                <w:sz w:val="20"/>
                <w:szCs w:val="20"/>
              </w:rPr>
              <w:t>Measures will be organized in terms of providing a rich curriculum, providing equitable access, school quality and providing support for the whole child</w:t>
            </w:r>
          </w:p>
          <w:p w:rsidR="0079255E" w:rsidRPr="00992A9F" w:rsidRDefault="0079255E" w:rsidP="00ED3A85">
            <w:pPr>
              <w:pStyle w:val="Default"/>
              <w:rPr>
                <w:rFonts w:ascii="Franklin Gothic Medium" w:hAnsi="Franklin Gothic Medium" w:cs="Franklin Gothic Medium"/>
                <w:sz w:val="20"/>
                <w:szCs w:val="20"/>
              </w:rPr>
            </w:pPr>
            <w:r w:rsidRPr="00992A9F">
              <w:rPr>
                <w:sz w:val="20"/>
                <w:szCs w:val="20"/>
              </w:rPr>
              <w:t></w:t>
            </w:r>
            <w:r w:rsidRPr="00992A9F">
              <w:rPr>
                <w:rFonts w:ascii="Franklin Gothic Medium" w:hAnsi="Franklin Gothic Medium" w:cs="Franklin Gothic Medium"/>
                <w:sz w:val="20"/>
                <w:szCs w:val="20"/>
              </w:rPr>
              <w:t xml:space="preserve">Some measures will be required, and some will be options that schools may choose </w:t>
            </w:r>
          </w:p>
          <w:p w:rsidR="0079255E" w:rsidRPr="00992A9F" w:rsidRDefault="0079255E" w:rsidP="00ED3A85">
            <w:pPr>
              <w:rPr>
                <w:sz w:val="20"/>
                <w:szCs w:val="20"/>
              </w:rPr>
            </w:pPr>
          </w:p>
        </w:tc>
      </w:tr>
    </w:tbl>
    <w:p w:rsidR="0079255E" w:rsidRPr="00663C0C" w:rsidRDefault="0079255E" w:rsidP="0079255E">
      <w:pPr>
        <w:pStyle w:val="NoSpacing"/>
        <w:rPr>
          <w:sz w:val="24"/>
          <w:szCs w:val="24"/>
        </w:rPr>
      </w:pPr>
    </w:p>
    <w:tbl>
      <w:tblPr>
        <w:tblW w:w="11169" w:type="dxa"/>
        <w:tblInd w:w="-108" w:type="dxa"/>
        <w:tblBorders>
          <w:top w:val="nil"/>
          <w:left w:val="nil"/>
          <w:bottom w:val="nil"/>
          <w:right w:val="nil"/>
        </w:tblBorders>
        <w:tblLayout w:type="fixed"/>
        <w:tblLook w:val="0000" w:firstRow="0" w:lastRow="0" w:firstColumn="0" w:lastColumn="0" w:noHBand="0" w:noVBand="0"/>
      </w:tblPr>
      <w:tblGrid>
        <w:gridCol w:w="5584"/>
        <w:gridCol w:w="5585"/>
      </w:tblGrid>
      <w:tr w:rsidR="0079255E" w:rsidRPr="008E477D" w:rsidTr="00ED3A85">
        <w:trPr>
          <w:trHeight w:val="103"/>
        </w:trPr>
        <w:tc>
          <w:tcPr>
            <w:tcW w:w="11169" w:type="dxa"/>
            <w:gridSpan w:val="2"/>
          </w:tcPr>
          <w:p w:rsidR="0079255E" w:rsidRPr="008E477D" w:rsidRDefault="0079255E" w:rsidP="00ED3A85">
            <w:pPr>
              <w:autoSpaceDE w:val="0"/>
              <w:autoSpaceDN w:val="0"/>
              <w:adjustRightInd w:val="0"/>
              <w:spacing w:after="0" w:line="240" w:lineRule="auto"/>
              <w:rPr>
                <w:rFonts w:ascii="Arial" w:hAnsi="Arial" w:cs="Arial"/>
                <w:color w:val="000000"/>
              </w:rPr>
            </w:pPr>
            <w:r w:rsidRPr="008E477D">
              <w:rPr>
                <w:rFonts w:ascii="Arial" w:hAnsi="Arial" w:cs="Arial"/>
                <w:b/>
                <w:bCs/>
                <w:color w:val="000000"/>
              </w:rPr>
              <w:t xml:space="preserve">Considering All Indicators </w:t>
            </w:r>
          </w:p>
        </w:tc>
      </w:tr>
      <w:tr w:rsidR="0079255E" w:rsidRPr="008E477D" w:rsidTr="00ED3A85">
        <w:trPr>
          <w:trHeight w:val="340"/>
        </w:trPr>
        <w:tc>
          <w:tcPr>
            <w:tcW w:w="11169" w:type="dxa"/>
            <w:gridSpan w:val="2"/>
          </w:tcPr>
          <w:p w:rsidR="0079255E" w:rsidRPr="008E477D" w:rsidRDefault="0079255E" w:rsidP="00ED3A85">
            <w:pPr>
              <w:autoSpaceDE w:val="0"/>
              <w:autoSpaceDN w:val="0"/>
              <w:adjustRightInd w:val="0"/>
              <w:spacing w:after="0" w:line="240" w:lineRule="auto"/>
              <w:rPr>
                <w:rFonts w:ascii="Arial" w:hAnsi="Arial" w:cs="Arial"/>
                <w:color w:val="000000"/>
                <w:sz w:val="21"/>
                <w:szCs w:val="21"/>
              </w:rPr>
            </w:pPr>
            <w:r w:rsidRPr="008E477D">
              <w:rPr>
                <w:rFonts w:ascii="Arial" w:hAnsi="Arial" w:cs="Arial"/>
                <w:i/>
                <w:iCs/>
                <w:color w:val="000000"/>
                <w:sz w:val="21"/>
                <w:szCs w:val="21"/>
              </w:rPr>
              <w:t xml:space="preserve">Performance levels are based on standards of excellence instead of a normative comparison of schools. Kentucky educators will determine, through a standard-setting process, the performance required for each of five levels of performance that range from very weak to very strong. The aggregation of these performance levels will determine a school's overall rating with academic indicators most heavily factored in the overall rating. </w:t>
            </w:r>
          </w:p>
        </w:tc>
      </w:tr>
      <w:tr w:rsidR="0079255E" w:rsidRPr="008E477D" w:rsidTr="00ED3A85">
        <w:trPr>
          <w:trHeight w:val="581"/>
        </w:trPr>
        <w:tc>
          <w:tcPr>
            <w:tcW w:w="5584" w:type="dxa"/>
          </w:tcPr>
          <w:p w:rsidR="0079255E" w:rsidRPr="008E477D" w:rsidRDefault="0079255E" w:rsidP="00ED3A85">
            <w:pPr>
              <w:autoSpaceDE w:val="0"/>
              <w:autoSpaceDN w:val="0"/>
              <w:adjustRightInd w:val="0"/>
              <w:spacing w:after="0" w:line="240" w:lineRule="auto"/>
              <w:rPr>
                <w:rFonts w:ascii="Arial" w:hAnsi="Arial" w:cs="Arial"/>
                <w:color w:val="000000"/>
                <w:sz w:val="21"/>
                <w:szCs w:val="21"/>
              </w:rPr>
            </w:pPr>
            <w:r w:rsidRPr="008E477D">
              <w:rPr>
                <w:rFonts w:ascii="Arial" w:hAnsi="Arial" w:cs="Arial"/>
                <w:b/>
                <w:bCs/>
                <w:color w:val="000000"/>
                <w:sz w:val="21"/>
                <w:szCs w:val="21"/>
              </w:rPr>
              <w:t xml:space="preserve">Overall School Rating </w:t>
            </w:r>
          </w:p>
          <w:p w:rsidR="0079255E" w:rsidRPr="008E477D" w:rsidRDefault="0079255E" w:rsidP="00ED3A85">
            <w:pPr>
              <w:autoSpaceDE w:val="0"/>
              <w:autoSpaceDN w:val="0"/>
              <w:adjustRightInd w:val="0"/>
              <w:spacing w:after="0" w:line="240" w:lineRule="auto"/>
              <w:rPr>
                <w:rFonts w:ascii="Arial" w:hAnsi="Arial" w:cs="Arial"/>
                <w:color w:val="000000"/>
                <w:sz w:val="21"/>
                <w:szCs w:val="21"/>
              </w:rPr>
            </w:pPr>
            <w:r w:rsidRPr="008E477D">
              <w:rPr>
                <w:rFonts w:ascii="Arial" w:hAnsi="Arial" w:cs="Arial"/>
                <w:i/>
                <w:iCs/>
                <w:color w:val="000000"/>
                <w:sz w:val="21"/>
                <w:szCs w:val="21"/>
              </w:rPr>
              <w:t xml:space="preserve">Based on the strength of performance on school-level measures and indicators. </w:t>
            </w:r>
          </w:p>
          <w:p w:rsidR="0079255E" w:rsidRPr="008E477D" w:rsidRDefault="0079255E" w:rsidP="00ED3A85">
            <w:pPr>
              <w:autoSpaceDE w:val="0"/>
              <w:autoSpaceDN w:val="0"/>
              <w:adjustRightInd w:val="0"/>
              <w:spacing w:after="0" w:line="240" w:lineRule="auto"/>
              <w:rPr>
                <w:rFonts w:ascii="Arial" w:hAnsi="Arial" w:cs="Arial"/>
                <w:color w:val="000000"/>
                <w:sz w:val="21"/>
                <w:szCs w:val="21"/>
              </w:rPr>
            </w:pPr>
            <w:r w:rsidRPr="008E477D">
              <w:rPr>
                <w:rFonts w:ascii="Arial" w:hAnsi="Arial" w:cs="Arial"/>
                <w:i/>
                <w:iCs/>
                <w:color w:val="000000"/>
                <w:sz w:val="21"/>
                <w:szCs w:val="21"/>
              </w:rPr>
              <w:t xml:space="preserve">Supplemental designation may be noted for positive gap closure or failure to close gaps </w:t>
            </w:r>
          </w:p>
        </w:tc>
        <w:tc>
          <w:tcPr>
            <w:tcW w:w="5585" w:type="dxa"/>
          </w:tcPr>
          <w:p w:rsidR="0079255E" w:rsidRDefault="0079255E" w:rsidP="00ED3A85">
            <w:pPr>
              <w:autoSpaceDE w:val="0"/>
              <w:autoSpaceDN w:val="0"/>
              <w:adjustRightInd w:val="0"/>
              <w:spacing w:after="0" w:line="240" w:lineRule="auto"/>
              <w:rPr>
                <w:rFonts w:ascii="Arial" w:hAnsi="Arial" w:cs="Arial"/>
                <w:b/>
                <w:bCs/>
                <w:color w:val="000000"/>
                <w:sz w:val="21"/>
                <w:szCs w:val="21"/>
              </w:rPr>
            </w:pPr>
            <w:r w:rsidRPr="008E477D">
              <w:rPr>
                <w:rFonts w:ascii="Wingdings 2" w:hAnsi="Wingdings 2" w:cs="Wingdings 2"/>
                <w:color w:val="000000"/>
                <w:sz w:val="21"/>
                <w:szCs w:val="21"/>
              </w:rPr>
              <w:t></w:t>
            </w:r>
            <w:r w:rsidRPr="008E477D">
              <w:rPr>
                <w:rFonts w:ascii="Wingdings 2" w:hAnsi="Wingdings 2" w:cs="Wingdings 2"/>
                <w:color w:val="000000"/>
                <w:sz w:val="21"/>
                <w:szCs w:val="21"/>
              </w:rPr>
              <w:t></w:t>
            </w:r>
            <w:r w:rsidRPr="008E477D">
              <w:rPr>
                <w:rFonts w:ascii="Wingdings 2" w:hAnsi="Wingdings 2" w:cs="Wingdings 2"/>
                <w:color w:val="000000"/>
                <w:sz w:val="21"/>
                <w:szCs w:val="21"/>
              </w:rPr>
              <w:t></w:t>
            </w:r>
            <w:r w:rsidRPr="008E477D">
              <w:rPr>
                <w:rFonts w:ascii="Wingdings 2" w:hAnsi="Wingdings 2" w:cs="Wingdings 2"/>
                <w:color w:val="000000"/>
                <w:sz w:val="21"/>
                <w:szCs w:val="21"/>
              </w:rPr>
              <w:t></w:t>
            </w:r>
            <w:r w:rsidRPr="008E477D">
              <w:rPr>
                <w:rFonts w:ascii="Wingdings 2" w:hAnsi="Wingdings 2" w:cs="Wingdings 2"/>
                <w:color w:val="000000"/>
                <w:sz w:val="21"/>
                <w:szCs w:val="21"/>
              </w:rPr>
              <w:t></w:t>
            </w:r>
            <w:r w:rsidRPr="008E477D">
              <w:rPr>
                <w:rFonts w:ascii="Wingdings 2" w:hAnsi="Wingdings 2" w:cs="Wingdings 2"/>
                <w:color w:val="000000"/>
                <w:sz w:val="21"/>
                <w:szCs w:val="21"/>
              </w:rPr>
              <w:t></w:t>
            </w:r>
            <w:r w:rsidRPr="008E477D">
              <w:rPr>
                <w:rFonts w:ascii="Arial" w:hAnsi="Arial" w:cs="Arial"/>
                <w:b/>
                <w:bCs/>
                <w:color w:val="000000"/>
                <w:sz w:val="21"/>
                <w:szCs w:val="21"/>
              </w:rPr>
              <w:t xml:space="preserve">(5 star) </w:t>
            </w:r>
          </w:p>
          <w:p w:rsidR="0079255E" w:rsidRDefault="0079255E" w:rsidP="00ED3A85">
            <w:pPr>
              <w:autoSpaceDE w:val="0"/>
              <w:autoSpaceDN w:val="0"/>
              <w:adjustRightInd w:val="0"/>
              <w:spacing w:after="0" w:line="240" w:lineRule="auto"/>
              <w:rPr>
                <w:rFonts w:ascii="Arial" w:hAnsi="Arial" w:cs="Arial"/>
                <w:b/>
                <w:bCs/>
                <w:color w:val="000000"/>
                <w:sz w:val="21"/>
                <w:szCs w:val="21"/>
              </w:rPr>
            </w:pPr>
            <w:r w:rsidRPr="008E477D">
              <w:rPr>
                <w:rFonts w:ascii="Wingdings 2" w:hAnsi="Wingdings 2" w:cs="Wingdings 2"/>
                <w:color w:val="000000"/>
                <w:sz w:val="21"/>
                <w:szCs w:val="21"/>
              </w:rPr>
              <w:t></w:t>
            </w:r>
            <w:r w:rsidRPr="008E477D">
              <w:rPr>
                <w:rFonts w:ascii="Wingdings 2" w:hAnsi="Wingdings 2" w:cs="Wingdings 2"/>
                <w:color w:val="000000"/>
                <w:sz w:val="21"/>
                <w:szCs w:val="21"/>
              </w:rPr>
              <w:t></w:t>
            </w:r>
            <w:r w:rsidRPr="008E477D">
              <w:rPr>
                <w:rFonts w:ascii="Wingdings 2" w:hAnsi="Wingdings 2" w:cs="Wingdings 2"/>
                <w:color w:val="000000"/>
                <w:sz w:val="21"/>
                <w:szCs w:val="21"/>
              </w:rPr>
              <w:t></w:t>
            </w:r>
            <w:r w:rsidRPr="008E477D">
              <w:rPr>
                <w:rFonts w:ascii="Wingdings 2" w:hAnsi="Wingdings 2" w:cs="Wingdings 2"/>
                <w:color w:val="000000"/>
                <w:sz w:val="21"/>
                <w:szCs w:val="21"/>
              </w:rPr>
              <w:t></w:t>
            </w:r>
            <w:r>
              <w:rPr>
                <w:rFonts w:ascii="Wingdings 2" w:hAnsi="Wingdings 2" w:cs="Wingdings 2"/>
                <w:color w:val="000000"/>
                <w:sz w:val="21"/>
                <w:szCs w:val="21"/>
              </w:rPr>
              <w:t></w:t>
            </w:r>
            <w:r>
              <w:rPr>
                <w:rFonts w:ascii="Arial" w:hAnsi="Arial" w:cs="Arial"/>
                <w:b/>
                <w:bCs/>
                <w:color w:val="000000"/>
                <w:sz w:val="21"/>
                <w:szCs w:val="21"/>
              </w:rPr>
              <w:t>(4</w:t>
            </w:r>
            <w:r w:rsidRPr="008E477D">
              <w:rPr>
                <w:rFonts w:ascii="Arial" w:hAnsi="Arial" w:cs="Arial"/>
                <w:b/>
                <w:bCs/>
                <w:color w:val="000000"/>
                <w:sz w:val="21"/>
                <w:szCs w:val="21"/>
              </w:rPr>
              <w:t xml:space="preserve"> star)</w:t>
            </w:r>
          </w:p>
          <w:p w:rsidR="0079255E" w:rsidRDefault="0079255E" w:rsidP="00ED3A85">
            <w:pPr>
              <w:autoSpaceDE w:val="0"/>
              <w:autoSpaceDN w:val="0"/>
              <w:adjustRightInd w:val="0"/>
              <w:spacing w:after="0" w:line="240" w:lineRule="auto"/>
              <w:rPr>
                <w:rFonts w:ascii="Arial" w:hAnsi="Arial" w:cs="Arial"/>
                <w:b/>
                <w:bCs/>
                <w:color w:val="000000"/>
                <w:sz w:val="21"/>
                <w:szCs w:val="21"/>
              </w:rPr>
            </w:pPr>
            <w:r w:rsidRPr="008E477D">
              <w:rPr>
                <w:rFonts w:ascii="Wingdings 2" w:hAnsi="Wingdings 2" w:cs="Wingdings 2"/>
                <w:color w:val="000000"/>
                <w:sz w:val="21"/>
                <w:szCs w:val="21"/>
              </w:rPr>
              <w:t></w:t>
            </w:r>
            <w:r w:rsidRPr="008E477D">
              <w:rPr>
                <w:rFonts w:ascii="Wingdings 2" w:hAnsi="Wingdings 2" w:cs="Wingdings 2"/>
                <w:color w:val="000000"/>
                <w:sz w:val="21"/>
                <w:szCs w:val="21"/>
              </w:rPr>
              <w:t></w:t>
            </w:r>
            <w:r w:rsidRPr="008E477D">
              <w:rPr>
                <w:rFonts w:ascii="Wingdings 2" w:hAnsi="Wingdings 2" w:cs="Wingdings 2"/>
                <w:color w:val="000000"/>
                <w:sz w:val="21"/>
                <w:szCs w:val="21"/>
              </w:rPr>
              <w:t></w:t>
            </w:r>
            <w:r>
              <w:rPr>
                <w:rFonts w:ascii="Wingdings 2" w:hAnsi="Wingdings 2" w:cs="Wingdings 2"/>
                <w:color w:val="000000"/>
                <w:sz w:val="21"/>
                <w:szCs w:val="21"/>
              </w:rPr>
              <w:t></w:t>
            </w:r>
            <w:r>
              <w:rPr>
                <w:rFonts w:ascii="Arial" w:hAnsi="Arial" w:cs="Arial"/>
                <w:b/>
                <w:bCs/>
                <w:color w:val="000000"/>
                <w:sz w:val="21"/>
                <w:szCs w:val="21"/>
              </w:rPr>
              <w:t>(3</w:t>
            </w:r>
            <w:r w:rsidRPr="008E477D">
              <w:rPr>
                <w:rFonts w:ascii="Arial" w:hAnsi="Arial" w:cs="Arial"/>
                <w:b/>
                <w:bCs/>
                <w:color w:val="000000"/>
                <w:sz w:val="21"/>
                <w:szCs w:val="21"/>
              </w:rPr>
              <w:t xml:space="preserve"> star)</w:t>
            </w:r>
          </w:p>
          <w:p w:rsidR="0079255E" w:rsidRDefault="0079255E" w:rsidP="00ED3A85">
            <w:pPr>
              <w:autoSpaceDE w:val="0"/>
              <w:autoSpaceDN w:val="0"/>
              <w:adjustRightInd w:val="0"/>
              <w:spacing w:after="0" w:line="240" w:lineRule="auto"/>
              <w:rPr>
                <w:rFonts w:ascii="Arial" w:hAnsi="Arial" w:cs="Arial"/>
                <w:b/>
                <w:bCs/>
                <w:color w:val="000000"/>
                <w:sz w:val="21"/>
                <w:szCs w:val="21"/>
              </w:rPr>
            </w:pPr>
            <w:r w:rsidRPr="008E477D">
              <w:rPr>
                <w:rFonts w:ascii="Wingdings 2" w:hAnsi="Wingdings 2" w:cs="Wingdings 2"/>
                <w:color w:val="000000"/>
                <w:sz w:val="21"/>
                <w:szCs w:val="21"/>
              </w:rPr>
              <w:t></w:t>
            </w:r>
            <w:r w:rsidRPr="008E477D">
              <w:rPr>
                <w:rFonts w:ascii="Wingdings 2" w:hAnsi="Wingdings 2" w:cs="Wingdings 2"/>
                <w:color w:val="000000"/>
                <w:sz w:val="21"/>
                <w:szCs w:val="21"/>
              </w:rPr>
              <w:t></w:t>
            </w:r>
            <w:r w:rsidRPr="008E477D">
              <w:rPr>
                <w:rFonts w:ascii="Wingdings 2" w:hAnsi="Wingdings 2" w:cs="Wingdings 2"/>
                <w:color w:val="000000"/>
                <w:sz w:val="21"/>
                <w:szCs w:val="21"/>
              </w:rPr>
              <w:t></w:t>
            </w:r>
            <w:r>
              <w:rPr>
                <w:rFonts w:ascii="Arial" w:hAnsi="Arial" w:cs="Arial"/>
                <w:b/>
                <w:bCs/>
                <w:color w:val="000000"/>
                <w:sz w:val="21"/>
                <w:szCs w:val="21"/>
              </w:rPr>
              <w:t>(2</w:t>
            </w:r>
            <w:r w:rsidRPr="008E477D">
              <w:rPr>
                <w:rFonts w:ascii="Arial" w:hAnsi="Arial" w:cs="Arial"/>
                <w:b/>
                <w:bCs/>
                <w:color w:val="000000"/>
                <w:sz w:val="21"/>
                <w:szCs w:val="21"/>
              </w:rPr>
              <w:t xml:space="preserve"> star)</w:t>
            </w:r>
          </w:p>
          <w:p w:rsidR="0079255E" w:rsidRPr="008E477D" w:rsidRDefault="0079255E" w:rsidP="00ED3A85">
            <w:pPr>
              <w:autoSpaceDE w:val="0"/>
              <w:autoSpaceDN w:val="0"/>
              <w:adjustRightInd w:val="0"/>
              <w:spacing w:after="0" w:line="240" w:lineRule="auto"/>
              <w:rPr>
                <w:rFonts w:ascii="Arial" w:hAnsi="Arial" w:cs="Arial"/>
                <w:color w:val="000000"/>
                <w:sz w:val="21"/>
                <w:szCs w:val="21"/>
              </w:rPr>
            </w:pPr>
            <w:r>
              <w:rPr>
                <w:rFonts w:ascii="Wingdings 2" w:hAnsi="Wingdings 2" w:cs="Wingdings 2"/>
                <w:color w:val="000000"/>
                <w:sz w:val="21"/>
                <w:szCs w:val="21"/>
              </w:rPr>
              <w:t></w:t>
            </w:r>
            <w:r w:rsidRPr="008E477D">
              <w:rPr>
                <w:rFonts w:ascii="Wingdings 2" w:hAnsi="Wingdings 2" w:cs="Wingdings 2"/>
                <w:color w:val="000000"/>
                <w:sz w:val="21"/>
                <w:szCs w:val="21"/>
              </w:rPr>
              <w:t></w:t>
            </w:r>
            <w:r>
              <w:rPr>
                <w:rFonts w:ascii="Arial" w:hAnsi="Arial" w:cs="Arial"/>
                <w:b/>
                <w:bCs/>
                <w:color w:val="000000"/>
                <w:sz w:val="21"/>
                <w:szCs w:val="21"/>
              </w:rPr>
              <w:t>(1</w:t>
            </w:r>
            <w:r w:rsidRPr="008E477D">
              <w:rPr>
                <w:rFonts w:ascii="Arial" w:hAnsi="Arial" w:cs="Arial"/>
                <w:b/>
                <w:bCs/>
                <w:color w:val="000000"/>
                <w:sz w:val="21"/>
                <w:szCs w:val="21"/>
              </w:rPr>
              <w:t xml:space="preserve"> star)</w:t>
            </w:r>
          </w:p>
        </w:tc>
      </w:tr>
      <w:tr w:rsidR="0079255E" w:rsidRPr="008E477D" w:rsidTr="00ED3A85">
        <w:trPr>
          <w:trHeight w:val="603"/>
        </w:trPr>
        <w:tc>
          <w:tcPr>
            <w:tcW w:w="5584" w:type="dxa"/>
          </w:tcPr>
          <w:p w:rsidR="0079255E" w:rsidRPr="008E477D" w:rsidRDefault="0079255E" w:rsidP="00ED3A85">
            <w:pPr>
              <w:autoSpaceDE w:val="0"/>
              <w:autoSpaceDN w:val="0"/>
              <w:adjustRightInd w:val="0"/>
              <w:spacing w:after="0" w:line="240" w:lineRule="auto"/>
              <w:rPr>
                <w:rFonts w:ascii="Arial" w:hAnsi="Arial" w:cs="Arial"/>
                <w:color w:val="000000"/>
                <w:sz w:val="21"/>
                <w:szCs w:val="21"/>
              </w:rPr>
            </w:pPr>
            <w:r w:rsidRPr="008E477D">
              <w:rPr>
                <w:rFonts w:ascii="Arial" w:hAnsi="Arial" w:cs="Arial"/>
                <w:b/>
                <w:bCs/>
                <w:color w:val="000000"/>
                <w:sz w:val="21"/>
                <w:szCs w:val="21"/>
              </w:rPr>
              <w:t xml:space="preserve">School Improvement and Support </w:t>
            </w:r>
          </w:p>
          <w:p w:rsidR="0079255E" w:rsidRPr="008E477D" w:rsidRDefault="0079255E" w:rsidP="00ED3A85">
            <w:pPr>
              <w:autoSpaceDE w:val="0"/>
              <w:autoSpaceDN w:val="0"/>
              <w:adjustRightInd w:val="0"/>
              <w:spacing w:after="0" w:line="240" w:lineRule="auto"/>
              <w:rPr>
                <w:rFonts w:ascii="Arial" w:hAnsi="Arial" w:cs="Arial"/>
                <w:color w:val="000000"/>
                <w:sz w:val="21"/>
                <w:szCs w:val="21"/>
              </w:rPr>
            </w:pPr>
            <w:r w:rsidRPr="008E477D">
              <w:rPr>
                <w:rFonts w:ascii="Arial" w:hAnsi="Arial" w:cs="Arial"/>
                <w:i/>
                <w:iCs/>
                <w:color w:val="000000"/>
                <w:sz w:val="21"/>
                <w:szCs w:val="21"/>
              </w:rPr>
              <w:t xml:space="preserve">The lowest-performing 5 percent of schools will be designated 1-star schools and qualify for comprehensive support. </w:t>
            </w:r>
          </w:p>
        </w:tc>
        <w:tc>
          <w:tcPr>
            <w:tcW w:w="5585" w:type="dxa"/>
          </w:tcPr>
          <w:p w:rsidR="0079255E" w:rsidRPr="008E477D" w:rsidRDefault="0079255E" w:rsidP="00ED3A85">
            <w:pPr>
              <w:autoSpaceDE w:val="0"/>
              <w:autoSpaceDN w:val="0"/>
              <w:adjustRightInd w:val="0"/>
              <w:spacing w:after="0" w:line="240" w:lineRule="auto"/>
              <w:rPr>
                <w:rFonts w:ascii="Arial" w:hAnsi="Arial" w:cs="Arial"/>
                <w:color w:val="000000"/>
                <w:sz w:val="21"/>
                <w:szCs w:val="21"/>
              </w:rPr>
            </w:pPr>
            <w:r w:rsidRPr="008E477D">
              <w:rPr>
                <w:rFonts w:ascii="Arial" w:hAnsi="Arial" w:cs="Arial"/>
                <w:color w:val="000000"/>
                <w:sz w:val="21"/>
                <w:szCs w:val="21"/>
              </w:rPr>
              <w:t xml:space="preserve">Support will be provided for low-performing schools. </w:t>
            </w:r>
          </w:p>
          <w:p w:rsidR="0079255E" w:rsidRPr="008E477D" w:rsidRDefault="0079255E" w:rsidP="00ED3A85">
            <w:pPr>
              <w:autoSpaceDE w:val="0"/>
              <w:autoSpaceDN w:val="0"/>
              <w:adjustRightInd w:val="0"/>
              <w:spacing w:after="0" w:line="240" w:lineRule="auto"/>
              <w:rPr>
                <w:rFonts w:ascii="Arial" w:hAnsi="Arial" w:cs="Arial"/>
                <w:color w:val="000000"/>
                <w:sz w:val="21"/>
                <w:szCs w:val="21"/>
              </w:rPr>
            </w:pPr>
            <w:r w:rsidRPr="008E477D">
              <w:rPr>
                <w:rFonts w:ascii="Arial" w:hAnsi="Arial" w:cs="Arial"/>
                <w:color w:val="000000"/>
                <w:sz w:val="21"/>
                <w:szCs w:val="21"/>
              </w:rPr>
              <w:t xml:space="preserve"> Targeted Assistance - school with low-performing or consistently underperforming student group(s) </w:t>
            </w:r>
          </w:p>
          <w:p w:rsidR="0079255E" w:rsidRPr="008E477D" w:rsidRDefault="0079255E" w:rsidP="00ED3A85">
            <w:pPr>
              <w:autoSpaceDE w:val="0"/>
              <w:autoSpaceDN w:val="0"/>
              <w:adjustRightInd w:val="0"/>
              <w:spacing w:after="0" w:line="240" w:lineRule="auto"/>
              <w:rPr>
                <w:rFonts w:ascii="Arial" w:hAnsi="Arial" w:cs="Arial"/>
                <w:color w:val="000000"/>
                <w:sz w:val="21"/>
                <w:szCs w:val="21"/>
              </w:rPr>
            </w:pPr>
            <w:r w:rsidRPr="008E477D">
              <w:rPr>
                <w:rFonts w:ascii="Arial" w:hAnsi="Arial" w:cs="Arial"/>
                <w:color w:val="000000"/>
                <w:sz w:val="21"/>
                <w:szCs w:val="21"/>
              </w:rPr>
              <w:t xml:space="preserve"> Comprehensive Support – bottom 5% of schools OR less than 80% graduation rate OR chronically low-performing student group(s) </w:t>
            </w:r>
          </w:p>
          <w:p w:rsidR="0079255E" w:rsidRPr="008E477D" w:rsidRDefault="0079255E" w:rsidP="00ED3A85">
            <w:pPr>
              <w:autoSpaceDE w:val="0"/>
              <w:autoSpaceDN w:val="0"/>
              <w:adjustRightInd w:val="0"/>
              <w:spacing w:after="0" w:line="240" w:lineRule="auto"/>
              <w:rPr>
                <w:rFonts w:ascii="Arial" w:hAnsi="Arial" w:cs="Arial"/>
                <w:color w:val="000000"/>
                <w:sz w:val="21"/>
                <w:szCs w:val="21"/>
              </w:rPr>
            </w:pPr>
          </w:p>
        </w:tc>
      </w:tr>
      <w:tr w:rsidR="0079255E" w:rsidRPr="008E477D" w:rsidTr="00ED3A85">
        <w:trPr>
          <w:trHeight w:val="460"/>
        </w:trPr>
        <w:tc>
          <w:tcPr>
            <w:tcW w:w="5584" w:type="dxa"/>
          </w:tcPr>
          <w:p w:rsidR="0079255E" w:rsidRPr="008E477D" w:rsidRDefault="0079255E" w:rsidP="00ED3A85">
            <w:pPr>
              <w:autoSpaceDE w:val="0"/>
              <w:autoSpaceDN w:val="0"/>
              <w:adjustRightInd w:val="0"/>
              <w:spacing w:after="0" w:line="240" w:lineRule="auto"/>
              <w:rPr>
                <w:rFonts w:ascii="Arial" w:hAnsi="Arial" w:cs="Arial"/>
                <w:color w:val="000000"/>
                <w:sz w:val="21"/>
                <w:szCs w:val="21"/>
              </w:rPr>
            </w:pPr>
            <w:r w:rsidRPr="008E477D">
              <w:rPr>
                <w:rFonts w:ascii="Arial" w:hAnsi="Arial" w:cs="Arial"/>
                <w:b/>
                <w:bCs/>
                <w:color w:val="000000"/>
                <w:sz w:val="21"/>
                <w:szCs w:val="21"/>
              </w:rPr>
              <w:t xml:space="preserve">Long-Term Goals </w:t>
            </w:r>
          </w:p>
          <w:p w:rsidR="0079255E" w:rsidRPr="008E477D" w:rsidRDefault="0079255E" w:rsidP="00ED3A85">
            <w:pPr>
              <w:autoSpaceDE w:val="0"/>
              <w:autoSpaceDN w:val="0"/>
              <w:adjustRightInd w:val="0"/>
              <w:spacing w:after="0" w:line="240" w:lineRule="auto"/>
              <w:rPr>
                <w:rFonts w:ascii="Arial" w:hAnsi="Arial" w:cs="Arial"/>
                <w:color w:val="000000"/>
                <w:sz w:val="21"/>
                <w:szCs w:val="21"/>
              </w:rPr>
            </w:pPr>
            <w:r w:rsidRPr="008E477D">
              <w:rPr>
                <w:rFonts w:ascii="Arial" w:hAnsi="Arial" w:cs="Arial"/>
                <w:i/>
                <w:iCs/>
                <w:color w:val="000000"/>
                <w:sz w:val="21"/>
                <w:szCs w:val="21"/>
              </w:rPr>
              <w:t xml:space="preserve">Goals based on graduating class of 2030. Intermediate goals established in three-year intervals from 2018 to 2030. </w:t>
            </w:r>
          </w:p>
        </w:tc>
        <w:tc>
          <w:tcPr>
            <w:tcW w:w="5585" w:type="dxa"/>
          </w:tcPr>
          <w:p w:rsidR="0079255E" w:rsidRPr="008E477D" w:rsidRDefault="0079255E" w:rsidP="00ED3A85">
            <w:pPr>
              <w:autoSpaceDE w:val="0"/>
              <w:autoSpaceDN w:val="0"/>
              <w:adjustRightInd w:val="0"/>
              <w:spacing w:after="0" w:line="240" w:lineRule="auto"/>
              <w:rPr>
                <w:rFonts w:ascii="Arial" w:hAnsi="Arial" w:cs="Arial"/>
                <w:color w:val="000000"/>
                <w:sz w:val="21"/>
                <w:szCs w:val="21"/>
              </w:rPr>
            </w:pPr>
            <w:r w:rsidRPr="008E477D">
              <w:rPr>
                <w:rFonts w:ascii="Arial" w:hAnsi="Arial" w:cs="Arial"/>
                <w:color w:val="000000"/>
                <w:sz w:val="21"/>
                <w:szCs w:val="21"/>
              </w:rPr>
              <w:t xml:space="preserve">Specific goals for academic achievement, graduation rate and English language proficiency are set for each student group based on where it is starting and the targeted outcome while also taking into account the goal must be realistic and attainable. </w:t>
            </w:r>
          </w:p>
        </w:tc>
      </w:tr>
    </w:tbl>
    <w:p w:rsidR="00F762D1" w:rsidRDefault="00F762D1"/>
    <w:sectPr w:rsidR="00F76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3">
    <w:altName w:val="Wingdings"/>
    <w:panose1 w:val="05040102010807070707"/>
    <w:charset w:val="02"/>
    <w:family w:val="roman"/>
    <w:pitch w:val="variable"/>
    <w:sig w:usb0="00000000" w:usb1="10000000" w:usb2="00000000" w:usb3="00000000" w:csb0="80000000" w:csb1="00000000"/>
  </w:font>
  <w:font w:name="Franklin Gothic Medium">
    <w:altName w:val="Franklin Gothic"/>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altName w:val="Wingdings"/>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55E"/>
    <w:rsid w:val="0079255E"/>
    <w:rsid w:val="00F76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C7A5E-C0C4-4345-A0A9-F88C623A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5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55E"/>
    <w:pPr>
      <w:spacing w:after="0" w:line="240" w:lineRule="auto"/>
    </w:pPr>
  </w:style>
  <w:style w:type="table" w:styleId="TableGrid">
    <w:name w:val="Table Grid"/>
    <w:basedOn w:val="TableNormal"/>
    <w:uiPriority w:val="39"/>
    <w:rsid w:val="00792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255E"/>
    <w:pPr>
      <w:autoSpaceDE w:val="0"/>
      <w:autoSpaceDN w:val="0"/>
      <w:adjustRightInd w:val="0"/>
      <w:spacing w:after="0" w:line="240" w:lineRule="auto"/>
    </w:pPr>
    <w:rPr>
      <w:rFonts w:ascii="Wingdings 3" w:hAnsi="Wingdings 3" w:cs="Wingdings 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Franke, Eddie - Southgate Public School Principal</dc:creator>
  <cp:keywords/>
  <dc:description/>
  <cp:lastModifiedBy>Franke, Eddie - Southgate Public School Principal</cp:lastModifiedBy>
  <cp:revision>1</cp:revision>
  <dcterms:created xsi:type="dcterms:W3CDTF">2017-09-27T13:20:00Z</dcterms:created>
  <dcterms:modified xsi:type="dcterms:W3CDTF">2017-09-27T13:21:00Z</dcterms:modified>
</cp:coreProperties>
</file>