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7C4" w:rsidRDefault="002007C4">
      <w:pPr>
        <w:rPr>
          <w:rFonts w:ascii="Times New Roman" w:hAnsi="Times New Roman"/>
          <w:shadow w:val="0"/>
          <w:sz w:val="24"/>
        </w:rPr>
      </w:pPr>
      <w:r>
        <w:rPr>
          <w:rFonts w:ascii="Times New Roman" w:hAnsi="Times New Roman"/>
          <w:shadow w:val="0"/>
          <w:sz w:val="24"/>
          <w:u w:val="single"/>
        </w:rPr>
        <w:t>CONCERN</w:t>
      </w:r>
      <w:r>
        <w:rPr>
          <w:rFonts w:ascii="Times New Roman" w:hAnsi="Times New Roman"/>
          <w:shadow w:val="0"/>
          <w:sz w:val="24"/>
        </w:rPr>
        <w:t>:</w:t>
      </w:r>
    </w:p>
    <w:p w:rsidR="002007C4" w:rsidRDefault="002007C4">
      <w:pPr>
        <w:rPr>
          <w:rFonts w:ascii="Times New Roman" w:hAnsi="Times New Roman"/>
          <w:shadow w:val="0"/>
          <w:sz w:val="24"/>
        </w:rPr>
      </w:pPr>
    </w:p>
    <w:p w:rsidR="002007C4" w:rsidRDefault="002007C4">
      <w:pPr>
        <w:rPr>
          <w:rFonts w:ascii="Times New Roman" w:hAnsi="Times New Roman"/>
          <w:shadow w:val="0"/>
          <w:sz w:val="24"/>
        </w:rPr>
      </w:pPr>
      <w:r>
        <w:rPr>
          <w:rFonts w:ascii="Times New Roman" w:hAnsi="Times New Roman"/>
          <w:shadow w:val="0"/>
          <w:sz w:val="24"/>
        </w:rPr>
        <w:t xml:space="preserve">Consider </w:t>
      </w:r>
      <w:r w:rsidR="00296302">
        <w:rPr>
          <w:rFonts w:ascii="Times New Roman" w:hAnsi="Times New Roman"/>
          <w:shadow w:val="0"/>
          <w:sz w:val="24"/>
        </w:rPr>
        <w:t>2008-09</w:t>
      </w:r>
      <w:r>
        <w:rPr>
          <w:rFonts w:ascii="Times New Roman" w:hAnsi="Times New Roman"/>
          <w:shadow w:val="0"/>
          <w:sz w:val="24"/>
        </w:rPr>
        <w:t xml:space="preserve"> Tax Levy</w:t>
      </w:r>
    </w:p>
    <w:p w:rsidR="002007C4" w:rsidRDefault="002007C4">
      <w:pPr>
        <w:rPr>
          <w:rFonts w:ascii="Times New Roman" w:hAnsi="Times New Roman"/>
          <w:shadow w:val="0"/>
          <w:sz w:val="24"/>
        </w:rPr>
      </w:pPr>
    </w:p>
    <w:p w:rsidR="002007C4" w:rsidRDefault="002007C4">
      <w:pPr>
        <w:rPr>
          <w:rFonts w:ascii="Times New Roman" w:hAnsi="Times New Roman"/>
          <w:shadow w:val="0"/>
          <w:sz w:val="24"/>
        </w:rPr>
      </w:pPr>
      <w:r>
        <w:rPr>
          <w:rFonts w:ascii="Times New Roman" w:hAnsi="Times New Roman"/>
          <w:shadow w:val="0"/>
          <w:sz w:val="24"/>
          <w:u w:val="single"/>
        </w:rPr>
        <w:t>DISCUSSION</w:t>
      </w:r>
      <w:r>
        <w:rPr>
          <w:rFonts w:ascii="Times New Roman" w:hAnsi="Times New Roman"/>
          <w:shadow w:val="0"/>
          <w:sz w:val="24"/>
        </w:rPr>
        <w:t>:</w:t>
      </w:r>
    </w:p>
    <w:p w:rsidR="002007C4" w:rsidRDefault="002007C4">
      <w:pPr>
        <w:rPr>
          <w:rFonts w:ascii="Times New Roman" w:hAnsi="Times New Roman"/>
          <w:shadow w:val="0"/>
          <w:sz w:val="24"/>
        </w:rPr>
      </w:pPr>
    </w:p>
    <w:p w:rsidR="002007C4" w:rsidRDefault="002007C4">
      <w:pPr>
        <w:rPr>
          <w:rFonts w:ascii="Times New Roman" w:hAnsi="Times New Roman"/>
          <w:shadow w:val="0"/>
          <w:sz w:val="24"/>
        </w:rPr>
      </w:pPr>
      <w:r>
        <w:rPr>
          <w:rFonts w:ascii="Times New Roman" w:hAnsi="Times New Roman"/>
          <w:shadow w:val="0"/>
          <w:sz w:val="24"/>
        </w:rPr>
        <w:t xml:space="preserve">The major portion of funding for </w:t>
      </w:r>
      <w:smartTag w:uri="urn:schemas-microsoft-com:office:smarttags" w:element="place">
        <w:smartTag w:uri="urn:schemas-microsoft-com:office:smarttags" w:element="State">
          <w:r>
            <w:rPr>
              <w:rFonts w:ascii="Times New Roman" w:hAnsi="Times New Roman"/>
              <w:shadow w:val="0"/>
              <w:sz w:val="24"/>
            </w:rPr>
            <w:t>Kentucky</w:t>
          </w:r>
        </w:smartTag>
      </w:smartTag>
      <w:r>
        <w:rPr>
          <w:rFonts w:ascii="Times New Roman" w:hAnsi="Times New Roman"/>
          <w:shadow w:val="0"/>
          <w:sz w:val="24"/>
        </w:rPr>
        <w:t xml:space="preserve"> public school districts is from the state level.  The Kentucky Education Reform Act (KERA) included significant changes in the state funding program and established a new funding program for elementary and secondary education, the Fund to Support Education Excellence in Kentucky (SEEK).</w:t>
      </w:r>
    </w:p>
    <w:p w:rsidR="002007C4" w:rsidRDefault="002007C4">
      <w:pPr>
        <w:rPr>
          <w:rFonts w:ascii="Times New Roman" w:hAnsi="Times New Roman"/>
          <w:shadow w:val="0"/>
          <w:sz w:val="24"/>
        </w:rPr>
      </w:pPr>
    </w:p>
    <w:p w:rsidR="002007C4" w:rsidRDefault="002007C4">
      <w:pPr>
        <w:rPr>
          <w:rFonts w:ascii="Times New Roman" w:hAnsi="Times New Roman"/>
          <w:shadow w:val="0"/>
          <w:sz w:val="24"/>
        </w:rPr>
      </w:pPr>
      <w:r>
        <w:rPr>
          <w:rFonts w:ascii="Times New Roman" w:hAnsi="Times New Roman"/>
          <w:shadow w:val="0"/>
          <w:sz w:val="24"/>
        </w:rPr>
        <w:t xml:space="preserve">Under SEEK, every local school district is required to make a uniform tax effort equivalent to 30 cents (KRS 160.470).  Local boards may utilize a combination of property tax, utility tax, occupational tax, or an excise tax on income.  The yield from the required local effort is deducted from the basic SEEK appropriation.  Required local effort is designed to assure that the taxable wealth per pupil of the local district is rendered neutral as a funding factor in the SEEK base.  Districts with relatively high taxable wealth per pupil pay a larger share of the base than those with lower taxable wealth per pupil.  </w:t>
      </w:r>
      <w:smartTag w:uri="urn:schemas-microsoft-com:office:smarttags" w:element="place">
        <w:smartTag w:uri="urn:schemas-microsoft-com:office:smarttags" w:element="PlaceName">
          <w:r w:rsidR="00785074">
            <w:rPr>
              <w:rFonts w:ascii="Times New Roman" w:hAnsi="Times New Roman"/>
              <w:shadow w:val="0"/>
              <w:sz w:val="24"/>
            </w:rPr>
            <w:t>Franklin</w:t>
          </w:r>
        </w:smartTag>
        <w:r w:rsidR="00785074">
          <w:rPr>
            <w:rFonts w:ascii="Times New Roman" w:hAnsi="Times New Roman"/>
            <w:shadow w:val="0"/>
            <w:sz w:val="24"/>
          </w:rPr>
          <w:t xml:space="preserve"> </w:t>
        </w:r>
        <w:smartTag w:uri="urn:schemas-microsoft-com:office:smarttags" w:element="PlaceName">
          <w:r w:rsidR="00785074">
            <w:rPr>
              <w:rFonts w:ascii="Times New Roman" w:hAnsi="Times New Roman"/>
              <w:shadow w:val="0"/>
              <w:sz w:val="24"/>
            </w:rPr>
            <w:t>County</w:t>
          </w:r>
        </w:smartTag>
      </w:smartTag>
      <w:r w:rsidR="00785074">
        <w:rPr>
          <w:rFonts w:ascii="Times New Roman" w:hAnsi="Times New Roman"/>
          <w:shadow w:val="0"/>
          <w:sz w:val="24"/>
        </w:rPr>
        <w:t xml:space="preserve">’s </w:t>
      </w:r>
      <w:r w:rsidR="00296302">
        <w:rPr>
          <w:rFonts w:ascii="Times New Roman" w:hAnsi="Times New Roman"/>
          <w:shadow w:val="0"/>
          <w:sz w:val="24"/>
        </w:rPr>
        <w:t>2008-09</w:t>
      </w:r>
      <w:r>
        <w:rPr>
          <w:rFonts w:ascii="Times New Roman" w:hAnsi="Times New Roman"/>
          <w:shadow w:val="0"/>
          <w:sz w:val="24"/>
        </w:rPr>
        <w:t xml:space="preserve"> tentative working budget included the combination of property and 3% utility tax levy.</w:t>
      </w:r>
    </w:p>
    <w:p w:rsidR="002007C4" w:rsidRDefault="002007C4">
      <w:pPr>
        <w:rPr>
          <w:rFonts w:ascii="Times New Roman" w:hAnsi="Times New Roman"/>
          <w:shadow w:val="0"/>
          <w:sz w:val="24"/>
        </w:rPr>
      </w:pPr>
    </w:p>
    <w:p w:rsidR="002007C4" w:rsidRDefault="002007C4">
      <w:pPr>
        <w:ind w:hanging="720"/>
        <w:rPr>
          <w:rFonts w:ascii="Times New Roman" w:hAnsi="Times New Roman"/>
          <w:shadow w:val="0"/>
          <w:sz w:val="24"/>
        </w:rPr>
      </w:pPr>
      <w:r>
        <w:rPr>
          <w:rFonts w:ascii="Times New Roman" w:hAnsi="Times New Roman"/>
          <w:shadow w:val="0"/>
          <w:sz w:val="24"/>
        </w:rPr>
        <w:tab/>
        <w:t>Local districts may supplement basic SEEK program funding, within reasonable limits, under a two-tiered process.  The first level is called Tier 1.  Funding in Tier 1 is at the discretion of the local school board.  The maximum level of funding permitted in Tier 1 is 15% above the base, including local effort (KRS 157.440).  In the event a local board levies a general tax in Tier 1, the state is to equalize the levy to assure the local district will receive a yield equal to 150% of the mean assessment per pupil for the state.  For the 200</w:t>
      </w:r>
      <w:r w:rsidR="00923266">
        <w:rPr>
          <w:rFonts w:ascii="Times New Roman" w:hAnsi="Times New Roman"/>
          <w:shadow w:val="0"/>
          <w:sz w:val="24"/>
        </w:rPr>
        <w:t>8</w:t>
      </w:r>
      <w:r>
        <w:rPr>
          <w:rFonts w:ascii="Times New Roman" w:hAnsi="Times New Roman"/>
          <w:shadow w:val="0"/>
          <w:sz w:val="24"/>
        </w:rPr>
        <w:t>-</w:t>
      </w:r>
      <w:r w:rsidR="00923266">
        <w:rPr>
          <w:rFonts w:ascii="Times New Roman" w:hAnsi="Times New Roman"/>
          <w:shadow w:val="0"/>
          <w:sz w:val="24"/>
        </w:rPr>
        <w:t>10</w:t>
      </w:r>
      <w:r>
        <w:rPr>
          <w:rFonts w:ascii="Times New Roman" w:hAnsi="Times New Roman"/>
          <w:shadow w:val="0"/>
          <w:sz w:val="24"/>
        </w:rPr>
        <w:t xml:space="preserve"> biennium the state calculated the equalization level at $</w:t>
      </w:r>
      <w:r w:rsidR="00923266">
        <w:rPr>
          <w:rFonts w:ascii="Times New Roman" w:hAnsi="Times New Roman"/>
          <w:shadow w:val="0"/>
          <w:sz w:val="24"/>
        </w:rPr>
        <w:t>713</w:t>
      </w:r>
      <w:r>
        <w:rPr>
          <w:rFonts w:ascii="Times New Roman" w:hAnsi="Times New Roman"/>
          <w:shadow w:val="0"/>
          <w:sz w:val="24"/>
        </w:rPr>
        <w:t xml:space="preserve">,000 assessed value per pupil.  Taxes up to the Tier 1 level may be levied by a local board of education and are not subject to recall.  </w:t>
      </w:r>
      <w:smartTag w:uri="urn:schemas-microsoft-com:office:smarttags" w:element="place">
        <w:smartTag w:uri="urn:schemas-microsoft-com:office:smarttags" w:element="PlaceName">
          <w:r w:rsidR="00296302">
            <w:rPr>
              <w:rFonts w:ascii="Times New Roman" w:hAnsi="Times New Roman"/>
              <w:shadow w:val="0"/>
              <w:sz w:val="24"/>
            </w:rPr>
            <w:t>Franklin</w:t>
          </w:r>
        </w:smartTag>
        <w:r>
          <w:rPr>
            <w:rFonts w:ascii="Times New Roman" w:hAnsi="Times New Roman"/>
            <w:shadow w:val="0"/>
            <w:sz w:val="24"/>
          </w:rPr>
          <w:t xml:space="preserve"> </w:t>
        </w:r>
        <w:smartTag w:uri="urn:schemas-microsoft-com:office:smarttags" w:element="PlaceName">
          <w:r>
            <w:rPr>
              <w:rFonts w:ascii="Times New Roman" w:hAnsi="Times New Roman"/>
              <w:shadow w:val="0"/>
              <w:sz w:val="24"/>
            </w:rPr>
            <w:t>County</w:t>
          </w:r>
        </w:smartTag>
      </w:smartTag>
      <w:r>
        <w:rPr>
          <w:rFonts w:ascii="Times New Roman" w:hAnsi="Times New Roman"/>
          <w:shadow w:val="0"/>
          <w:sz w:val="24"/>
        </w:rPr>
        <w:t>'s tentative working budget approved by the board in May 200</w:t>
      </w:r>
      <w:r w:rsidR="00923266">
        <w:rPr>
          <w:rFonts w:ascii="Times New Roman" w:hAnsi="Times New Roman"/>
          <w:shadow w:val="0"/>
          <w:sz w:val="24"/>
        </w:rPr>
        <w:t>8</w:t>
      </w:r>
      <w:r>
        <w:rPr>
          <w:rFonts w:ascii="Times New Roman" w:hAnsi="Times New Roman"/>
          <w:shadow w:val="0"/>
          <w:sz w:val="24"/>
        </w:rPr>
        <w:t xml:space="preserve"> included a projected tax rate sufficient for the maximum level of Tier 1.</w:t>
      </w:r>
    </w:p>
    <w:p w:rsidR="002007C4" w:rsidRDefault="002007C4">
      <w:pPr>
        <w:rPr>
          <w:rFonts w:ascii="Times New Roman" w:hAnsi="Times New Roman"/>
          <w:shadow w:val="0"/>
          <w:sz w:val="24"/>
        </w:rPr>
      </w:pPr>
      <w:r>
        <w:rPr>
          <w:rFonts w:ascii="Times New Roman" w:hAnsi="Times New Roman"/>
          <w:shadow w:val="0"/>
          <w:sz w:val="24"/>
        </w:rPr>
        <w:t xml:space="preserve"> </w:t>
      </w:r>
    </w:p>
    <w:p w:rsidR="002007C4" w:rsidRDefault="002007C4">
      <w:pPr>
        <w:rPr>
          <w:rFonts w:ascii="Times New Roman" w:hAnsi="Times New Roman"/>
          <w:shadow w:val="0"/>
          <w:sz w:val="24"/>
        </w:rPr>
      </w:pPr>
      <w:r>
        <w:rPr>
          <w:rFonts w:ascii="Times New Roman" w:hAnsi="Times New Roman"/>
          <w:shadow w:val="0"/>
          <w:sz w:val="24"/>
        </w:rPr>
        <w:t xml:space="preserve">The second level is called Tier 2.  The maximum level of funding permitted in Tier 2 is 30% above the base SEEK plus Tier 1.  Funding in Tier 2 is allowed if the district already has a tax rate at this level.  However, any new (higher than the 1989/90 equivalent level) tax at this level must be approved by the voters in a referendum.  No state equalization is available in Tier 2.  Thus, for the most part, the local school board cannot approve an increase in their general fund tax in Tier 2.  </w:t>
      </w:r>
      <w:smartTag w:uri="urn:schemas-microsoft-com:office:smarttags" w:element="place">
        <w:smartTag w:uri="urn:schemas-microsoft-com:office:smarttags" w:element="PlaceName">
          <w:r w:rsidR="00296302">
            <w:rPr>
              <w:rFonts w:ascii="Times New Roman" w:hAnsi="Times New Roman"/>
              <w:shadow w:val="0"/>
              <w:sz w:val="24"/>
            </w:rPr>
            <w:t>Franklin</w:t>
          </w:r>
        </w:smartTag>
        <w:r>
          <w:rPr>
            <w:rFonts w:ascii="Times New Roman" w:hAnsi="Times New Roman"/>
            <w:shadow w:val="0"/>
            <w:sz w:val="24"/>
          </w:rPr>
          <w:t xml:space="preserve"> </w:t>
        </w:r>
        <w:smartTag w:uri="urn:schemas-microsoft-com:office:smarttags" w:element="PlaceName">
          <w:r>
            <w:rPr>
              <w:rFonts w:ascii="Times New Roman" w:hAnsi="Times New Roman"/>
              <w:shadow w:val="0"/>
              <w:sz w:val="24"/>
            </w:rPr>
            <w:t>County</w:t>
          </w:r>
        </w:smartTag>
      </w:smartTag>
      <w:r>
        <w:rPr>
          <w:rFonts w:ascii="Times New Roman" w:hAnsi="Times New Roman"/>
          <w:shadow w:val="0"/>
          <w:sz w:val="24"/>
        </w:rPr>
        <w:t xml:space="preserve">'s combined levy in </w:t>
      </w:r>
      <w:r w:rsidR="00296302">
        <w:rPr>
          <w:rFonts w:ascii="Times New Roman" w:hAnsi="Times New Roman"/>
          <w:shadow w:val="0"/>
          <w:sz w:val="24"/>
        </w:rPr>
        <w:t>2007-08</w:t>
      </w:r>
      <w:r>
        <w:rPr>
          <w:rFonts w:ascii="Times New Roman" w:hAnsi="Times New Roman"/>
          <w:shadow w:val="0"/>
          <w:sz w:val="24"/>
        </w:rPr>
        <w:t xml:space="preserve"> included a small Tier 2 levy that was allowed because of provisions of KRS 160.470. </w:t>
      </w:r>
    </w:p>
    <w:p w:rsidR="002007C4" w:rsidRDefault="002007C4">
      <w:pPr>
        <w:rPr>
          <w:rFonts w:ascii="Times New Roman" w:hAnsi="Times New Roman"/>
          <w:shadow w:val="0"/>
          <w:sz w:val="24"/>
        </w:rPr>
      </w:pPr>
      <w:r>
        <w:rPr>
          <w:rFonts w:ascii="Times New Roman" w:hAnsi="Times New Roman"/>
          <w:shadow w:val="0"/>
          <w:sz w:val="24"/>
        </w:rPr>
        <w:t xml:space="preserve"> </w:t>
      </w:r>
    </w:p>
    <w:p w:rsidR="002007C4" w:rsidRDefault="002007C4">
      <w:pPr>
        <w:rPr>
          <w:rFonts w:ascii="Arial" w:hAnsi="Arial" w:cs="Arial"/>
          <w:color w:val="0000FF"/>
        </w:rPr>
      </w:pPr>
      <w:r>
        <w:rPr>
          <w:rFonts w:ascii="Times New Roman" w:hAnsi="Times New Roman"/>
          <w:shadow w:val="0"/>
          <w:sz w:val="24"/>
        </w:rPr>
        <w:t xml:space="preserve">A local school board must be in receipt of the Kentucky Department of Revenue's certification of the value of property subject to taxation before approval of a tax levy.  The certification was received </w:t>
      </w:r>
      <w:r w:rsidR="00923266">
        <w:rPr>
          <w:rFonts w:ascii="Times New Roman" w:hAnsi="Times New Roman"/>
          <w:shadow w:val="0"/>
          <w:sz w:val="24"/>
        </w:rPr>
        <w:t>August 6</w:t>
      </w:r>
      <w:r w:rsidR="008B10FA">
        <w:rPr>
          <w:rFonts w:ascii="Times New Roman" w:hAnsi="Times New Roman"/>
          <w:shadow w:val="0"/>
          <w:sz w:val="24"/>
        </w:rPr>
        <w:t>, 200</w:t>
      </w:r>
      <w:r w:rsidR="00923266">
        <w:rPr>
          <w:rFonts w:ascii="Times New Roman" w:hAnsi="Times New Roman"/>
          <w:shadow w:val="0"/>
          <w:sz w:val="24"/>
        </w:rPr>
        <w:t>8</w:t>
      </w:r>
      <w:r>
        <w:rPr>
          <w:rFonts w:ascii="Times New Roman" w:hAnsi="Times New Roman"/>
          <w:shadow w:val="0"/>
          <w:sz w:val="24"/>
        </w:rPr>
        <w:t xml:space="preserve">.  </w:t>
      </w:r>
      <w:smartTag w:uri="urn:schemas-microsoft-com:office:smarttags" w:element="place">
        <w:smartTag w:uri="urn:schemas-microsoft-com:office:smarttags" w:element="PlaceName">
          <w:r w:rsidR="00785074">
            <w:rPr>
              <w:rFonts w:ascii="Times New Roman" w:hAnsi="Times New Roman"/>
              <w:shadow w:val="0"/>
              <w:sz w:val="24"/>
            </w:rPr>
            <w:t>Franklin</w:t>
          </w:r>
        </w:smartTag>
        <w:r w:rsidR="00785074">
          <w:rPr>
            <w:rFonts w:ascii="Times New Roman" w:hAnsi="Times New Roman"/>
            <w:shadow w:val="0"/>
            <w:sz w:val="24"/>
          </w:rPr>
          <w:t xml:space="preserve"> </w:t>
        </w:r>
        <w:smartTag w:uri="urn:schemas-microsoft-com:office:smarttags" w:element="PlaceName">
          <w:r w:rsidR="00785074">
            <w:rPr>
              <w:rFonts w:ascii="Times New Roman" w:hAnsi="Times New Roman"/>
              <w:shadow w:val="0"/>
              <w:sz w:val="24"/>
            </w:rPr>
            <w:t>County</w:t>
          </w:r>
        </w:smartTag>
      </w:smartTag>
      <w:r w:rsidR="00785074">
        <w:rPr>
          <w:rFonts w:ascii="Times New Roman" w:hAnsi="Times New Roman"/>
          <w:shadow w:val="0"/>
          <w:sz w:val="24"/>
        </w:rPr>
        <w:t xml:space="preserve">’s </w:t>
      </w:r>
      <w:r w:rsidR="00296302">
        <w:rPr>
          <w:rFonts w:ascii="Times New Roman" w:hAnsi="Times New Roman"/>
          <w:shadow w:val="0"/>
          <w:sz w:val="24"/>
        </w:rPr>
        <w:t>2008-09</w:t>
      </w:r>
      <w:r>
        <w:rPr>
          <w:rFonts w:ascii="Times New Roman" w:hAnsi="Times New Roman"/>
          <w:shadow w:val="0"/>
          <w:sz w:val="24"/>
        </w:rPr>
        <w:t xml:space="preserve"> tentative budget was based on projected assessment of property subject to school tax in the amount of </w:t>
      </w:r>
      <w:r w:rsidR="00923266">
        <w:rPr>
          <w:sz w:val="24"/>
        </w:rPr>
        <w:t>$3,127,456,785</w:t>
      </w:r>
      <w:r>
        <w:rPr>
          <w:rFonts w:ascii="Times New Roman" w:hAnsi="Times New Roman"/>
          <w:shadow w:val="0"/>
          <w:sz w:val="24"/>
        </w:rPr>
        <w:t xml:space="preserve">. </w:t>
      </w:r>
      <w:r>
        <w:rPr>
          <w:rFonts w:ascii="Arial" w:hAnsi="Arial" w:cs="Arial"/>
          <w:color w:val="0000FF"/>
        </w:rPr>
        <w:t xml:space="preserve"> </w:t>
      </w:r>
    </w:p>
    <w:p w:rsidR="002007C4" w:rsidRDefault="003120E8">
      <w:pPr>
        <w:rPr>
          <w:rFonts w:ascii="Times New Roman" w:hAnsi="Times New Roman"/>
          <w:shadow w:val="0"/>
          <w:sz w:val="24"/>
        </w:rPr>
      </w:pPr>
      <w:r>
        <w:rPr>
          <w:rFonts w:ascii="Times New Roman" w:hAnsi="Times New Roman"/>
          <w:shadow w:val="0"/>
          <w:sz w:val="24"/>
        </w:rPr>
        <w:br w:type="page"/>
      </w:r>
      <w:r w:rsidR="002007C4">
        <w:rPr>
          <w:rFonts w:ascii="Times New Roman" w:hAnsi="Times New Roman"/>
          <w:shadow w:val="0"/>
          <w:sz w:val="24"/>
        </w:rPr>
        <w:lastRenderedPageBreak/>
        <w:t>The value certified by the Kentucky Revenue Cabinet was $</w:t>
      </w:r>
      <w:r w:rsidR="00923266">
        <w:rPr>
          <w:rFonts w:ascii="Times New Roman" w:hAnsi="Times New Roman"/>
          <w:shadow w:val="0"/>
          <w:sz w:val="24"/>
        </w:rPr>
        <w:t>3</w:t>
      </w:r>
      <w:r w:rsidR="002007C4">
        <w:rPr>
          <w:rFonts w:ascii="Times New Roman" w:hAnsi="Times New Roman"/>
          <w:shadow w:val="0"/>
          <w:sz w:val="24"/>
        </w:rPr>
        <w:t>,</w:t>
      </w:r>
      <w:r w:rsidR="00923266">
        <w:rPr>
          <w:rFonts w:ascii="Times New Roman" w:hAnsi="Times New Roman"/>
          <w:shadow w:val="0"/>
          <w:sz w:val="24"/>
        </w:rPr>
        <w:t>170</w:t>
      </w:r>
      <w:r w:rsidR="00DB7885">
        <w:rPr>
          <w:rFonts w:ascii="Times New Roman" w:hAnsi="Times New Roman"/>
          <w:shadow w:val="0"/>
          <w:sz w:val="24"/>
        </w:rPr>
        <w:t>,</w:t>
      </w:r>
      <w:r w:rsidR="00923266">
        <w:rPr>
          <w:rFonts w:ascii="Times New Roman" w:hAnsi="Times New Roman"/>
          <w:shadow w:val="0"/>
          <w:sz w:val="24"/>
        </w:rPr>
        <w:t>851</w:t>
      </w:r>
      <w:r w:rsidR="00DB7885">
        <w:rPr>
          <w:rFonts w:ascii="Times New Roman" w:hAnsi="Times New Roman"/>
          <w:shadow w:val="0"/>
          <w:sz w:val="24"/>
        </w:rPr>
        <w:t>,</w:t>
      </w:r>
      <w:r w:rsidR="00923266">
        <w:rPr>
          <w:rFonts w:ascii="Times New Roman" w:hAnsi="Times New Roman"/>
          <w:shadow w:val="0"/>
          <w:sz w:val="24"/>
        </w:rPr>
        <w:t>768</w:t>
      </w:r>
      <w:r w:rsidR="002007C4">
        <w:rPr>
          <w:rFonts w:ascii="Times New Roman" w:hAnsi="Times New Roman"/>
          <w:shadow w:val="0"/>
          <w:sz w:val="24"/>
        </w:rPr>
        <w:t xml:space="preserve">.  Table A provides more detail on the </w:t>
      </w:r>
      <w:r w:rsidR="00296302">
        <w:rPr>
          <w:rFonts w:ascii="Times New Roman" w:hAnsi="Times New Roman"/>
          <w:shadow w:val="0"/>
          <w:sz w:val="24"/>
        </w:rPr>
        <w:t>2008-09</w:t>
      </w:r>
      <w:r w:rsidR="002007C4">
        <w:rPr>
          <w:rFonts w:ascii="Times New Roman" w:hAnsi="Times New Roman"/>
          <w:shadow w:val="0"/>
          <w:sz w:val="24"/>
        </w:rPr>
        <w:t xml:space="preserve"> certification compared to 3 prior years.</w:t>
      </w:r>
    </w:p>
    <w:p w:rsidR="002007C4" w:rsidRDefault="002007C4">
      <w:pPr>
        <w:rPr>
          <w:rFonts w:ascii="Times New Roman" w:hAnsi="Times New Roman"/>
          <w:shadow w:val="0"/>
          <w:sz w:val="24"/>
        </w:rPr>
      </w:pPr>
    </w:p>
    <w:p w:rsidR="002007C4" w:rsidRDefault="002007C4">
      <w:pPr>
        <w:pStyle w:val="Heading2"/>
        <w:rPr>
          <w:rFonts w:ascii="Times New Roman" w:hAnsi="Times New Roman"/>
          <w:b/>
        </w:rPr>
      </w:pPr>
      <w:r>
        <w:rPr>
          <w:rFonts w:ascii="Times New Roman" w:hAnsi="Times New Roman"/>
          <w:b/>
        </w:rPr>
        <w:t>Table A</w:t>
      </w:r>
    </w:p>
    <w:p w:rsidR="002007C4" w:rsidRDefault="002007C4">
      <w:pPr>
        <w:pStyle w:val="Heading2"/>
        <w:rPr>
          <w:rFonts w:ascii="Times New Roman" w:hAnsi="Times New Roman"/>
          <w:b/>
        </w:rPr>
      </w:pPr>
      <w:r>
        <w:rPr>
          <w:rFonts w:ascii="Times New Roman" w:hAnsi="Times New Roman"/>
          <w:b/>
        </w:rPr>
        <w:t xml:space="preserve">Assessment of Taxable Property Certified by </w:t>
      </w:r>
      <w:smartTag w:uri="urn:schemas-microsoft-com:office:smarttags" w:element="place">
        <w:smartTag w:uri="urn:schemas-microsoft-com:office:smarttags" w:element="State">
          <w:r>
            <w:rPr>
              <w:rFonts w:ascii="Times New Roman" w:hAnsi="Times New Roman"/>
              <w:b/>
            </w:rPr>
            <w:t>Kentucky</w:t>
          </w:r>
        </w:smartTag>
      </w:smartTag>
      <w:r>
        <w:rPr>
          <w:rFonts w:ascii="Times New Roman" w:hAnsi="Times New Roman"/>
          <w:b/>
        </w:rPr>
        <w:t xml:space="preserve"> Revenue Cabinet</w:t>
      </w:r>
    </w:p>
    <w:p w:rsidR="002007C4" w:rsidRDefault="002007C4">
      <w:pPr>
        <w:rPr>
          <w:rFonts w:ascii="Times New Roman" w:hAnsi="Times New Roman"/>
          <w:shadow w:val="0"/>
          <w:sz w:val="24"/>
        </w:rPr>
      </w:pPr>
    </w:p>
    <w:tbl>
      <w:tblPr>
        <w:tblW w:w="9720" w:type="dxa"/>
        <w:tblInd w:w="-150" w:type="dxa"/>
        <w:tblLayout w:type="fixed"/>
        <w:tblCellMar>
          <w:left w:w="30" w:type="dxa"/>
          <w:right w:w="30" w:type="dxa"/>
        </w:tblCellMar>
        <w:tblLook w:val="0000"/>
      </w:tblPr>
      <w:tblGrid>
        <w:gridCol w:w="3600"/>
        <w:gridCol w:w="1530"/>
        <w:gridCol w:w="1530"/>
        <w:gridCol w:w="1530"/>
        <w:gridCol w:w="1530"/>
      </w:tblGrid>
      <w:tr w:rsidR="002007C4">
        <w:tblPrEx>
          <w:tblCellMar>
            <w:top w:w="0" w:type="dxa"/>
            <w:bottom w:w="0" w:type="dxa"/>
          </w:tblCellMar>
        </w:tblPrEx>
        <w:trPr>
          <w:trHeight w:val="221"/>
        </w:trPr>
        <w:tc>
          <w:tcPr>
            <w:tcW w:w="3600" w:type="dxa"/>
          </w:tcPr>
          <w:p w:rsidR="002007C4" w:rsidRDefault="002007C4">
            <w:pPr>
              <w:rPr>
                <w:rFonts w:ascii="Times New Roman" w:hAnsi="Times New Roman"/>
                <w:b/>
                <w:snapToGrid w:val="0"/>
                <w:color w:val="000000"/>
                <w:sz w:val="22"/>
              </w:rPr>
            </w:pPr>
            <w:r>
              <w:rPr>
                <w:rFonts w:ascii="Times New Roman" w:hAnsi="Times New Roman"/>
                <w:b/>
                <w:snapToGrid w:val="0"/>
                <w:color w:val="000000"/>
                <w:sz w:val="22"/>
              </w:rPr>
              <w:t>Item</w:t>
            </w:r>
          </w:p>
        </w:tc>
        <w:tc>
          <w:tcPr>
            <w:tcW w:w="1530" w:type="dxa"/>
          </w:tcPr>
          <w:p w:rsidR="002007C4" w:rsidRDefault="002007C4">
            <w:pPr>
              <w:jc w:val="center"/>
              <w:rPr>
                <w:rFonts w:ascii="Times New Roman" w:hAnsi="Times New Roman"/>
                <w:b/>
                <w:i/>
                <w:shadow w:val="0"/>
                <w:snapToGrid w:val="0"/>
                <w:color w:val="808080"/>
                <w:sz w:val="22"/>
              </w:rPr>
            </w:pPr>
            <w:r>
              <w:rPr>
                <w:rFonts w:ascii="Times New Roman" w:hAnsi="Times New Roman"/>
                <w:b/>
                <w:i/>
                <w:shadow w:val="0"/>
                <w:snapToGrid w:val="0"/>
                <w:color w:val="808080"/>
                <w:sz w:val="22"/>
              </w:rPr>
              <w:t>Actual</w:t>
            </w:r>
          </w:p>
        </w:tc>
        <w:tc>
          <w:tcPr>
            <w:tcW w:w="1530" w:type="dxa"/>
          </w:tcPr>
          <w:p w:rsidR="002007C4" w:rsidRDefault="002007C4">
            <w:pPr>
              <w:jc w:val="center"/>
              <w:rPr>
                <w:rFonts w:ascii="Times New Roman" w:hAnsi="Times New Roman"/>
                <w:b/>
                <w:i/>
                <w:shadow w:val="0"/>
                <w:snapToGrid w:val="0"/>
                <w:color w:val="808080"/>
                <w:sz w:val="22"/>
              </w:rPr>
            </w:pPr>
            <w:r>
              <w:rPr>
                <w:rFonts w:ascii="Times New Roman" w:hAnsi="Times New Roman"/>
                <w:b/>
                <w:i/>
                <w:shadow w:val="0"/>
                <w:snapToGrid w:val="0"/>
                <w:color w:val="808080"/>
                <w:sz w:val="22"/>
              </w:rPr>
              <w:t>Actual</w:t>
            </w:r>
          </w:p>
        </w:tc>
        <w:tc>
          <w:tcPr>
            <w:tcW w:w="1530" w:type="dxa"/>
          </w:tcPr>
          <w:p w:rsidR="002007C4" w:rsidRDefault="002007C4">
            <w:pPr>
              <w:jc w:val="center"/>
              <w:rPr>
                <w:rFonts w:ascii="Times New Roman" w:hAnsi="Times New Roman"/>
                <w:b/>
                <w:i/>
                <w:shadow w:val="0"/>
                <w:snapToGrid w:val="0"/>
                <w:color w:val="808080"/>
                <w:sz w:val="22"/>
              </w:rPr>
            </w:pPr>
            <w:r>
              <w:rPr>
                <w:rFonts w:ascii="Times New Roman" w:hAnsi="Times New Roman"/>
                <w:b/>
                <w:i/>
                <w:shadow w:val="0"/>
                <w:snapToGrid w:val="0"/>
                <w:color w:val="808080"/>
                <w:sz w:val="22"/>
              </w:rPr>
              <w:t>Actual</w:t>
            </w:r>
          </w:p>
        </w:tc>
        <w:tc>
          <w:tcPr>
            <w:tcW w:w="1530" w:type="dxa"/>
          </w:tcPr>
          <w:p w:rsidR="002007C4" w:rsidRDefault="002007C4">
            <w:pPr>
              <w:jc w:val="center"/>
              <w:rPr>
                <w:rFonts w:ascii="Times New Roman" w:hAnsi="Times New Roman"/>
                <w:b/>
                <w:i/>
                <w:shadow w:val="0"/>
                <w:snapToGrid w:val="0"/>
                <w:color w:val="808080"/>
                <w:sz w:val="22"/>
              </w:rPr>
            </w:pPr>
            <w:r>
              <w:rPr>
                <w:rFonts w:ascii="Times New Roman" w:hAnsi="Times New Roman"/>
                <w:b/>
                <w:i/>
                <w:shadow w:val="0"/>
                <w:snapToGrid w:val="0"/>
                <w:color w:val="808080"/>
                <w:sz w:val="22"/>
              </w:rPr>
              <w:t>Actual</w:t>
            </w:r>
          </w:p>
        </w:tc>
      </w:tr>
      <w:tr w:rsidR="002007C4">
        <w:tblPrEx>
          <w:tblCellMar>
            <w:top w:w="0" w:type="dxa"/>
            <w:bottom w:w="0" w:type="dxa"/>
          </w:tblCellMar>
        </w:tblPrEx>
        <w:trPr>
          <w:trHeight w:val="221"/>
        </w:trPr>
        <w:tc>
          <w:tcPr>
            <w:tcW w:w="3600" w:type="dxa"/>
            <w:tcBorders>
              <w:bottom w:val="single" w:sz="6" w:space="0" w:color="auto"/>
            </w:tcBorders>
          </w:tcPr>
          <w:p w:rsidR="002007C4" w:rsidRDefault="002007C4">
            <w:pPr>
              <w:rPr>
                <w:rFonts w:ascii="Times New Roman" w:hAnsi="Times New Roman"/>
                <w:b/>
                <w:snapToGrid w:val="0"/>
                <w:color w:val="000000"/>
                <w:sz w:val="22"/>
              </w:rPr>
            </w:pPr>
          </w:p>
        </w:tc>
        <w:tc>
          <w:tcPr>
            <w:tcW w:w="1530" w:type="dxa"/>
            <w:tcBorders>
              <w:bottom w:val="single" w:sz="6" w:space="0" w:color="auto"/>
            </w:tcBorders>
          </w:tcPr>
          <w:p w:rsidR="002007C4" w:rsidRDefault="00296302">
            <w:pPr>
              <w:jc w:val="center"/>
              <w:rPr>
                <w:rFonts w:ascii="Times New Roman" w:hAnsi="Times New Roman"/>
                <w:b/>
                <w:i/>
                <w:shadow w:val="0"/>
                <w:snapToGrid w:val="0"/>
                <w:color w:val="808080"/>
                <w:sz w:val="22"/>
              </w:rPr>
            </w:pPr>
            <w:r>
              <w:rPr>
                <w:rFonts w:ascii="Times New Roman" w:hAnsi="Times New Roman"/>
                <w:b/>
                <w:i/>
                <w:shadow w:val="0"/>
                <w:snapToGrid w:val="0"/>
                <w:color w:val="808080"/>
                <w:sz w:val="22"/>
              </w:rPr>
              <w:t>2005-06</w:t>
            </w:r>
          </w:p>
        </w:tc>
        <w:tc>
          <w:tcPr>
            <w:tcW w:w="1530" w:type="dxa"/>
            <w:tcBorders>
              <w:bottom w:val="single" w:sz="6" w:space="0" w:color="auto"/>
            </w:tcBorders>
          </w:tcPr>
          <w:p w:rsidR="002007C4" w:rsidRDefault="00296302">
            <w:pPr>
              <w:jc w:val="center"/>
              <w:rPr>
                <w:rFonts w:ascii="Times New Roman" w:hAnsi="Times New Roman"/>
                <w:b/>
                <w:i/>
                <w:shadow w:val="0"/>
                <w:snapToGrid w:val="0"/>
                <w:color w:val="808080"/>
                <w:sz w:val="22"/>
              </w:rPr>
            </w:pPr>
            <w:r>
              <w:rPr>
                <w:rFonts w:ascii="Times New Roman" w:hAnsi="Times New Roman"/>
                <w:b/>
                <w:i/>
                <w:shadow w:val="0"/>
                <w:snapToGrid w:val="0"/>
                <w:color w:val="808080"/>
                <w:sz w:val="22"/>
              </w:rPr>
              <w:t>2006-07</w:t>
            </w:r>
          </w:p>
        </w:tc>
        <w:tc>
          <w:tcPr>
            <w:tcW w:w="1530" w:type="dxa"/>
            <w:tcBorders>
              <w:bottom w:val="single" w:sz="6" w:space="0" w:color="auto"/>
            </w:tcBorders>
          </w:tcPr>
          <w:p w:rsidR="002007C4" w:rsidRDefault="00296302">
            <w:pPr>
              <w:jc w:val="center"/>
              <w:rPr>
                <w:rFonts w:ascii="Times New Roman" w:hAnsi="Times New Roman"/>
                <w:b/>
                <w:i/>
                <w:shadow w:val="0"/>
                <w:snapToGrid w:val="0"/>
                <w:color w:val="808080"/>
                <w:sz w:val="22"/>
              </w:rPr>
            </w:pPr>
            <w:r>
              <w:rPr>
                <w:rFonts w:ascii="Times New Roman" w:hAnsi="Times New Roman"/>
                <w:b/>
                <w:i/>
                <w:shadow w:val="0"/>
                <w:snapToGrid w:val="0"/>
                <w:color w:val="808080"/>
                <w:sz w:val="22"/>
              </w:rPr>
              <w:t>2007-08</w:t>
            </w:r>
          </w:p>
        </w:tc>
        <w:tc>
          <w:tcPr>
            <w:tcW w:w="1530" w:type="dxa"/>
            <w:tcBorders>
              <w:bottom w:val="single" w:sz="6" w:space="0" w:color="auto"/>
            </w:tcBorders>
          </w:tcPr>
          <w:p w:rsidR="002007C4" w:rsidRDefault="00296302">
            <w:pPr>
              <w:jc w:val="center"/>
              <w:rPr>
                <w:rFonts w:ascii="Times New Roman" w:hAnsi="Times New Roman"/>
                <w:b/>
                <w:i/>
                <w:shadow w:val="0"/>
                <w:snapToGrid w:val="0"/>
                <w:color w:val="808080"/>
                <w:sz w:val="22"/>
              </w:rPr>
            </w:pPr>
            <w:r>
              <w:rPr>
                <w:rFonts w:ascii="Times New Roman" w:hAnsi="Times New Roman"/>
                <w:b/>
                <w:i/>
                <w:shadow w:val="0"/>
                <w:snapToGrid w:val="0"/>
                <w:color w:val="808080"/>
                <w:sz w:val="22"/>
              </w:rPr>
              <w:t>2008-09</w:t>
            </w:r>
          </w:p>
        </w:tc>
      </w:tr>
      <w:tr w:rsidR="00923266">
        <w:tblPrEx>
          <w:tblCellMar>
            <w:top w:w="0" w:type="dxa"/>
            <w:bottom w:w="0" w:type="dxa"/>
          </w:tblCellMar>
        </w:tblPrEx>
        <w:trPr>
          <w:trHeight w:val="187"/>
        </w:trPr>
        <w:tc>
          <w:tcPr>
            <w:tcW w:w="3600" w:type="dxa"/>
          </w:tcPr>
          <w:p w:rsidR="00923266" w:rsidRDefault="00923266">
            <w:pPr>
              <w:rPr>
                <w:rFonts w:ascii="Times New Roman" w:hAnsi="Times New Roman"/>
                <w:shadow w:val="0"/>
                <w:snapToGrid w:val="0"/>
                <w:color w:val="000000"/>
                <w:sz w:val="22"/>
              </w:rPr>
            </w:pPr>
            <w:r>
              <w:rPr>
                <w:rFonts w:ascii="Times New Roman" w:hAnsi="Times New Roman"/>
                <w:shadow w:val="0"/>
                <w:snapToGrid w:val="0"/>
                <w:color w:val="000000"/>
                <w:sz w:val="22"/>
              </w:rPr>
              <w:t>Real Estate - New Property</w:t>
            </w:r>
          </w:p>
        </w:tc>
        <w:tc>
          <w:tcPr>
            <w:tcW w:w="1530" w:type="dxa"/>
            <w:vAlign w:val="bottom"/>
          </w:tcPr>
          <w:p w:rsidR="00923266" w:rsidRPr="00923266" w:rsidRDefault="00923266" w:rsidP="00923266">
            <w:pPr>
              <w:jc w:val="center"/>
              <w:rPr>
                <w:shadow w:val="0"/>
              </w:rPr>
            </w:pPr>
            <w:r w:rsidRPr="00923266">
              <w:rPr>
                <w:shadow w:val="0"/>
              </w:rPr>
              <w:t>$47,540,173</w:t>
            </w:r>
          </w:p>
        </w:tc>
        <w:tc>
          <w:tcPr>
            <w:tcW w:w="1530" w:type="dxa"/>
            <w:vAlign w:val="bottom"/>
          </w:tcPr>
          <w:p w:rsidR="00923266" w:rsidRPr="00923266" w:rsidRDefault="00923266" w:rsidP="00923266">
            <w:pPr>
              <w:jc w:val="center"/>
              <w:rPr>
                <w:shadow w:val="0"/>
              </w:rPr>
            </w:pPr>
            <w:r w:rsidRPr="00923266">
              <w:rPr>
                <w:shadow w:val="0"/>
              </w:rPr>
              <w:t>$51,609,198</w:t>
            </w:r>
          </w:p>
        </w:tc>
        <w:tc>
          <w:tcPr>
            <w:tcW w:w="1530" w:type="dxa"/>
            <w:vAlign w:val="bottom"/>
          </w:tcPr>
          <w:p w:rsidR="00923266" w:rsidRPr="00923266" w:rsidRDefault="00923266" w:rsidP="00923266">
            <w:pPr>
              <w:jc w:val="center"/>
              <w:rPr>
                <w:shadow w:val="0"/>
              </w:rPr>
            </w:pPr>
            <w:r w:rsidRPr="00923266">
              <w:rPr>
                <w:shadow w:val="0"/>
              </w:rPr>
              <w:t>$54,046,260</w:t>
            </w:r>
          </w:p>
        </w:tc>
        <w:tc>
          <w:tcPr>
            <w:tcW w:w="1530" w:type="dxa"/>
            <w:vAlign w:val="bottom"/>
          </w:tcPr>
          <w:p w:rsidR="00923266" w:rsidRPr="00923266" w:rsidRDefault="00923266" w:rsidP="00923266">
            <w:pPr>
              <w:jc w:val="center"/>
              <w:rPr>
                <w:shadow w:val="0"/>
                <w:color w:val="0000FF"/>
              </w:rPr>
            </w:pPr>
            <w:r w:rsidRPr="00923266">
              <w:rPr>
                <w:shadow w:val="0"/>
                <w:color w:val="0000FF"/>
              </w:rPr>
              <w:t>$45,294,247</w:t>
            </w:r>
          </w:p>
        </w:tc>
      </w:tr>
      <w:tr w:rsidR="00923266">
        <w:tblPrEx>
          <w:tblCellMar>
            <w:top w:w="0" w:type="dxa"/>
            <w:bottom w:w="0" w:type="dxa"/>
          </w:tblCellMar>
        </w:tblPrEx>
        <w:trPr>
          <w:trHeight w:val="197"/>
        </w:trPr>
        <w:tc>
          <w:tcPr>
            <w:tcW w:w="3600" w:type="dxa"/>
            <w:tcBorders>
              <w:top w:val="single" w:sz="6" w:space="0" w:color="auto"/>
              <w:bottom w:val="double" w:sz="6" w:space="0" w:color="auto"/>
            </w:tcBorders>
          </w:tcPr>
          <w:p w:rsidR="00923266" w:rsidRDefault="00923266">
            <w:pPr>
              <w:rPr>
                <w:rFonts w:ascii="Times New Roman" w:hAnsi="Times New Roman"/>
                <w:i/>
                <w:shadow w:val="0"/>
                <w:snapToGrid w:val="0"/>
                <w:color w:val="000000"/>
                <w:sz w:val="22"/>
              </w:rPr>
            </w:pPr>
            <w:r>
              <w:rPr>
                <w:rFonts w:ascii="Times New Roman" w:hAnsi="Times New Roman"/>
                <w:i/>
                <w:shadow w:val="0"/>
                <w:snapToGrid w:val="0"/>
                <w:color w:val="000000"/>
                <w:sz w:val="22"/>
              </w:rPr>
              <w:t xml:space="preserve"> Percentage Of Total Real Estate</w:t>
            </w:r>
          </w:p>
        </w:tc>
        <w:tc>
          <w:tcPr>
            <w:tcW w:w="1530" w:type="dxa"/>
            <w:tcBorders>
              <w:top w:val="single" w:sz="6" w:space="0" w:color="auto"/>
              <w:bottom w:val="double" w:sz="6" w:space="0" w:color="auto"/>
            </w:tcBorders>
            <w:vAlign w:val="bottom"/>
          </w:tcPr>
          <w:p w:rsidR="00923266" w:rsidRPr="00923266" w:rsidRDefault="00923266" w:rsidP="00923266">
            <w:pPr>
              <w:jc w:val="center"/>
              <w:rPr>
                <w:shadow w:val="0"/>
              </w:rPr>
            </w:pPr>
            <w:r w:rsidRPr="00923266">
              <w:rPr>
                <w:shadow w:val="0"/>
              </w:rPr>
              <w:t>2.19%</w:t>
            </w:r>
          </w:p>
        </w:tc>
        <w:tc>
          <w:tcPr>
            <w:tcW w:w="1530" w:type="dxa"/>
            <w:tcBorders>
              <w:top w:val="single" w:sz="6" w:space="0" w:color="auto"/>
              <w:bottom w:val="double" w:sz="6" w:space="0" w:color="auto"/>
            </w:tcBorders>
            <w:vAlign w:val="bottom"/>
          </w:tcPr>
          <w:p w:rsidR="00923266" w:rsidRPr="00923266" w:rsidRDefault="00923266" w:rsidP="00923266">
            <w:pPr>
              <w:jc w:val="center"/>
              <w:rPr>
                <w:shadow w:val="0"/>
              </w:rPr>
            </w:pPr>
            <w:r w:rsidRPr="00923266">
              <w:rPr>
                <w:shadow w:val="0"/>
              </w:rPr>
              <w:t>2.24%</w:t>
            </w:r>
          </w:p>
        </w:tc>
        <w:tc>
          <w:tcPr>
            <w:tcW w:w="1530" w:type="dxa"/>
            <w:tcBorders>
              <w:top w:val="single" w:sz="6" w:space="0" w:color="auto"/>
              <w:bottom w:val="double" w:sz="6" w:space="0" w:color="auto"/>
            </w:tcBorders>
            <w:vAlign w:val="bottom"/>
          </w:tcPr>
          <w:p w:rsidR="00923266" w:rsidRPr="00923266" w:rsidRDefault="00923266" w:rsidP="00923266">
            <w:pPr>
              <w:jc w:val="center"/>
              <w:rPr>
                <w:shadow w:val="0"/>
              </w:rPr>
            </w:pPr>
            <w:r w:rsidRPr="00923266">
              <w:rPr>
                <w:shadow w:val="0"/>
              </w:rPr>
              <w:t>2.21%</w:t>
            </w:r>
          </w:p>
        </w:tc>
        <w:tc>
          <w:tcPr>
            <w:tcW w:w="1530" w:type="dxa"/>
            <w:tcBorders>
              <w:top w:val="single" w:sz="6" w:space="0" w:color="auto"/>
              <w:bottom w:val="double" w:sz="6" w:space="0" w:color="auto"/>
            </w:tcBorders>
            <w:vAlign w:val="bottom"/>
          </w:tcPr>
          <w:p w:rsidR="00923266" w:rsidRPr="00923266" w:rsidRDefault="00923266" w:rsidP="00923266">
            <w:pPr>
              <w:jc w:val="center"/>
              <w:rPr>
                <w:shadow w:val="0"/>
                <w:color w:val="0000FF"/>
              </w:rPr>
            </w:pPr>
            <w:r w:rsidRPr="00923266">
              <w:rPr>
                <w:shadow w:val="0"/>
                <w:color w:val="0000FF"/>
              </w:rPr>
              <w:t>1.77%</w:t>
            </w:r>
          </w:p>
        </w:tc>
      </w:tr>
      <w:tr w:rsidR="00923266">
        <w:tblPrEx>
          <w:tblCellMar>
            <w:top w:w="0" w:type="dxa"/>
            <w:bottom w:w="0" w:type="dxa"/>
          </w:tblCellMar>
        </w:tblPrEx>
        <w:trPr>
          <w:trHeight w:val="197"/>
        </w:trPr>
        <w:tc>
          <w:tcPr>
            <w:tcW w:w="3600" w:type="dxa"/>
          </w:tcPr>
          <w:p w:rsidR="00923266" w:rsidRDefault="00923266">
            <w:pPr>
              <w:rPr>
                <w:rFonts w:ascii="Times New Roman" w:hAnsi="Times New Roman"/>
                <w:i/>
                <w:shadow w:val="0"/>
                <w:snapToGrid w:val="0"/>
                <w:color w:val="000000"/>
                <w:sz w:val="22"/>
              </w:rPr>
            </w:pPr>
            <w:r>
              <w:rPr>
                <w:rFonts w:ascii="Times New Roman" w:hAnsi="Times New Roman"/>
                <w:shadow w:val="0"/>
                <w:snapToGrid w:val="0"/>
                <w:color w:val="000000"/>
                <w:sz w:val="22"/>
              </w:rPr>
              <w:t xml:space="preserve">Real Estate - </w:t>
            </w:r>
            <w:r>
              <w:rPr>
                <w:rFonts w:ascii="Times New Roman" w:hAnsi="Times New Roman"/>
                <w:i/>
                <w:shadow w:val="0"/>
                <w:snapToGrid w:val="0"/>
                <w:color w:val="000000"/>
                <w:sz w:val="18"/>
              </w:rPr>
              <w:t xml:space="preserve">Reassessment Less </w:t>
            </w:r>
            <w:smartTag w:uri="urn:schemas-microsoft-com:office:smarttags" w:element="place">
              <w:smartTag w:uri="urn:schemas-microsoft-com:office:smarttags" w:element="City">
                <w:r>
                  <w:rPr>
                    <w:rFonts w:ascii="Times New Roman" w:hAnsi="Times New Roman"/>
                    <w:i/>
                    <w:shadow w:val="0"/>
                    <w:snapToGrid w:val="0"/>
                    <w:color w:val="000000"/>
                    <w:sz w:val="18"/>
                  </w:rPr>
                  <w:t>Homestead</w:t>
                </w:r>
              </w:smartTag>
            </w:smartTag>
          </w:p>
        </w:tc>
        <w:tc>
          <w:tcPr>
            <w:tcW w:w="1530" w:type="dxa"/>
            <w:vAlign w:val="bottom"/>
          </w:tcPr>
          <w:p w:rsidR="00923266" w:rsidRPr="00923266" w:rsidRDefault="00923266" w:rsidP="00923266">
            <w:pPr>
              <w:jc w:val="center"/>
              <w:rPr>
                <w:shadow w:val="0"/>
              </w:rPr>
            </w:pPr>
            <w:r w:rsidRPr="00923266">
              <w:rPr>
                <w:shadow w:val="0"/>
              </w:rPr>
              <w:t>$40,198,961</w:t>
            </w:r>
          </w:p>
        </w:tc>
        <w:tc>
          <w:tcPr>
            <w:tcW w:w="1530" w:type="dxa"/>
            <w:vAlign w:val="bottom"/>
          </w:tcPr>
          <w:p w:rsidR="00923266" w:rsidRPr="00923266" w:rsidRDefault="00923266" w:rsidP="00923266">
            <w:pPr>
              <w:jc w:val="center"/>
              <w:rPr>
                <w:shadow w:val="0"/>
              </w:rPr>
            </w:pPr>
            <w:r w:rsidRPr="00923266">
              <w:rPr>
                <w:shadow w:val="0"/>
              </w:rPr>
              <w:t>$85,862,424</w:t>
            </w:r>
          </w:p>
        </w:tc>
        <w:tc>
          <w:tcPr>
            <w:tcW w:w="1530" w:type="dxa"/>
            <w:vAlign w:val="bottom"/>
          </w:tcPr>
          <w:p w:rsidR="00923266" w:rsidRPr="00923266" w:rsidRDefault="00923266" w:rsidP="00923266">
            <w:pPr>
              <w:jc w:val="center"/>
              <w:rPr>
                <w:shadow w:val="0"/>
              </w:rPr>
            </w:pPr>
            <w:r w:rsidRPr="00923266">
              <w:rPr>
                <w:shadow w:val="0"/>
              </w:rPr>
              <w:t>$82,385,392</w:t>
            </w:r>
          </w:p>
        </w:tc>
        <w:tc>
          <w:tcPr>
            <w:tcW w:w="1530" w:type="dxa"/>
            <w:vAlign w:val="bottom"/>
          </w:tcPr>
          <w:p w:rsidR="00923266" w:rsidRPr="00923266" w:rsidRDefault="00923266" w:rsidP="00923266">
            <w:pPr>
              <w:jc w:val="center"/>
              <w:rPr>
                <w:shadow w:val="0"/>
                <w:color w:val="0000FF"/>
              </w:rPr>
            </w:pPr>
            <w:r w:rsidRPr="00923266">
              <w:rPr>
                <w:shadow w:val="0"/>
                <w:color w:val="0000FF"/>
              </w:rPr>
              <w:t>$62,291,983</w:t>
            </w:r>
          </w:p>
        </w:tc>
      </w:tr>
      <w:tr w:rsidR="00923266">
        <w:tblPrEx>
          <w:tblCellMar>
            <w:top w:w="0" w:type="dxa"/>
            <w:bottom w:w="0" w:type="dxa"/>
          </w:tblCellMar>
        </w:tblPrEx>
        <w:trPr>
          <w:trHeight w:val="197"/>
        </w:trPr>
        <w:tc>
          <w:tcPr>
            <w:tcW w:w="3600" w:type="dxa"/>
            <w:tcBorders>
              <w:top w:val="single" w:sz="6" w:space="0" w:color="auto"/>
              <w:bottom w:val="double" w:sz="6" w:space="0" w:color="auto"/>
            </w:tcBorders>
          </w:tcPr>
          <w:p w:rsidR="00923266" w:rsidRDefault="00923266">
            <w:pPr>
              <w:rPr>
                <w:rFonts w:ascii="Times New Roman" w:hAnsi="Times New Roman"/>
                <w:i/>
                <w:shadow w:val="0"/>
                <w:snapToGrid w:val="0"/>
                <w:color w:val="000000"/>
                <w:sz w:val="22"/>
              </w:rPr>
            </w:pPr>
            <w:r>
              <w:rPr>
                <w:rFonts w:ascii="Times New Roman" w:hAnsi="Times New Roman"/>
                <w:i/>
                <w:shadow w:val="0"/>
                <w:snapToGrid w:val="0"/>
                <w:color w:val="000000"/>
                <w:sz w:val="22"/>
              </w:rPr>
              <w:t xml:space="preserve"> Percentage Of Total Real Estate</w:t>
            </w:r>
          </w:p>
        </w:tc>
        <w:tc>
          <w:tcPr>
            <w:tcW w:w="1530" w:type="dxa"/>
            <w:tcBorders>
              <w:top w:val="single" w:sz="6" w:space="0" w:color="auto"/>
              <w:bottom w:val="double" w:sz="6" w:space="0" w:color="auto"/>
            </w:tcBorders>
            <w:vAlign w:val="bottom"/>
          </w:tcPr>
          <w:p w:rsidR="00923266" w:rsidRPr="00923266" w:rsidRDefault="00923266" w:rsidP="00923266">
            <w:pPr>
              <w:jc w:val="center"/>
              <w:rPr>
                <w:shadow w:val="0"/>
              </w:rPr>
            </w:pPr>
            <w:r w:rsidRPr="00923266">
              <w:rPr>
                <w:shadow w:val="0"/>
              </w:rPr>
              <w:t>1.85%</w:t>
            </w:r>
          </w:p>
        </w:tc>
        <w:tc>
          <w:tcPr>
            <w:tcW w:w="1530" w:type="dxa"/>
            <w:tcBorders>
              <w:top w:val="single" w:sz="6" w:space="0" w:color="auto"/>
              <w:bottom w:val="double" w:sz="6" w:space="0" w:color="auto"/>
            </w:tcBorders>
            <w:vAlign w:val="bottom"/>
          </w:tcPr>
          <w:p w:rsidR="00923266" w:rsidRPr="00923266" w:rsidRDefault="00923266" w:rsidP="00923266">
            <w:pPr>
              <w:jc w:val="center"/>
              <w:rPr>
                <w:shadow w:val="0"/>
              </w:rPr>
            </w:pPr>
            <w:r w:rsidRPr="00923266">
              <w:rPr>
                <w:shadow w:val="0"/>
              </w:rPr>
              <w:t>3.72%</w:t>
            </w:r>
          </w:p>
        </w:tc>
        <w:tc>
          <w:tcPr>
            <w:tcW w:w="1530" w:type="dxa"/>
            <w:tcBorders>
              <w:top w:val="single" w:sz="6" w:space="0" w:color="auto"/>
              <w:bottom w:val="double" w:sz="6" w:space="0" w:color="auto"/>
            </w:tcBorders>
            <w:vAlign w:val="bottom"/>
          </w:tcPr>
          <w:p w:rsidR="00923266" w:rsidRPr="00923266" w:rsidRDefault="00923266" w:rsidP="00923266">
            <w:pPr>
              <w:jc w:val="center"/>
              <w:rPr>
                <w:shadow w:val="0"/>
              </w:rPr>
            </w:pPr>
            <w:r w:rsidRPr="00923266">
              <w:rPr>
                <w:shadow w:val="0"/>
              </w:rPr>
              <w:t>3.37%</w:t>
            </w:r>
          </w:p>
        </w:tc>
        <w:tc>
          <w:tcPr>
            <w:tcW w:w="1530" w:type="dxa"/>
            <w:tcBorders>
              <w:top w:val="single" w:sz="6" w:space="0" w:color="auto"/>
              <w:bottom w:val="double" w:sz="6" w:space="0" w:color="auto"/>
            </w:tcBorders>
            <w:vAlign w:val="bottom"/>
          </w:tcPr>
          <w:p w:rsidR="00923266" w:rsidRPr="00923266" w:rsidRDefault="00923266" w:rsidP="00923266">
            <w:pPr>
              <w:jc w:val="center"/>
              <w:rPr>
                <w:shadow w:val="0"/>
                <w:color w:val="0000FF"/>
              </w:rPr>
            </w:pPr>
            <w:r w:rsidRPr="00923266">
              <w:rPr>
                <w:shadow w:val="0"/>
                <w:color w:val="0000FF"/>
              </w:rPr>
              <w:t>2.44%</w:t>
            </w:r>
          </w:p>
        </w:tc>
      </w:tr>
      <w:tr w:rsidR="00923266">
        <w:tblPrEx>
          <w:tblCellMar>
            <w:top w:w="0" w:type="dxa"/>
            <w:bottom w:w="0" w:type="dxa"/>
          </w:tblCellMar>
        </w:tblPrEx>
        <w:trPr>
          <w:trHeight w:val="211"/>
        </w:trPr>
        <w:tc>
          <w:tcPr>
            <w:tcW w:w="3600" w:type="dxa"/>
            <w:tcBorders>
              <w:top w:val="single" w:sz="6" w:space="0" w:color="auto"/>
              <w:bottom w:val="double" w:sz="6" w:space="0" w:color="auto"/>
            </w:tcBorders>
          </w:tcPr>
          <w:p w:rsidR="00923266" w:rsidRDefault="00923266">
            <w:pPr>
              <w:rPr>
                <w:rFonts w:ascii="Times New Roman" w:hAnsi="Times New Roman"/>
                <w:i/>
                <w:shadow w:val="0"/>
                <w:snapToGrid w:val="0"/>
                <w:color w:val="000000"/>
                <w:sz w:val="22"/>
              </w:rPr>
            </w:pPr>
            <w:r>
              <w:rPr>
                <w:rFonts w:ascii="Times New Roman" w:hAnsi="Times New Roman"/>
                <w:i/>
                <w:shadow w:val="0"/>
                <w:snapToGrid w:val="0"/>
                <w:color w:val="000000"/>
                <w:sz w:val="22"/>
              </w:rPr>
              <w:t>Total Assessment - Real Estate</w:t>
            </w:r>
          </w:p>
        </w:tc>
        <w:tc>
          <w:tcPr>
            <w:tcW w:w="1530" w:type="dxa"/>
            <w:tcBorders>
              <w:top w:val="single" w:sz="6" w:space="0" w:color="auto"/>
              <w:bottom w:val="double" w:sz="6" w:space="0" w:color="auto"/>
            </w:tcBorders>
            <w:vAlign w:val="bottom"/>
          </w:tcPr>
          <w:p w:rsidR="00923266" w:rsidRPr="00923266" w:rsidRDefault="00923266" w:rsidP="00923266">
            <w:pPr>
              <w:jc w:val="center"/>
              <w:rPr>
                <w:shadow w:val="0"/>
              </w:rPr>
            </w:pPr>
            <w:r w:rsidRPr="00923266">
              <w:rPr>
                <w:shadow w:val="0"/>
              </w:rPr>
              <w:t>$2,170,973,796</w:t>
            </w:r>
          </w:p>
        </w:tc>
        <w:tc>
          <w:tcPr>
            <w:tcW w:w="1530" w:type="dxa"/>
            <w:tcBorders>
              <w:top w:val="single" w:sz="6" w:space="0" w:color="auto"/>
              <w:bottom w:val="double" w:sz="6" w:space="0" w:color="auto"/>
            </w:tcBorders>
            <w:vAlign w:val="bottom"/>
          </w:tcPr>
          <w:p w:rsidR="00923266" w:rsidRPr="00923266" w:rsidRDefault="00923266" w:rsidP="00923266">
            <w:pPr>
              <w:jc w:val="center"/>
              <w:rPr>
                <w:shadow w:val="0"/>
              </w:rPr>
            </w:pPr>
            <w:r w:rsidRPr="00923266">
              <w:rPr>
                <w:shadow w:val="0"/>
              </w:rPr>
              <w:t>$2,308,445,418</w:t>
            </w:r>
          </w:p>
        </w:tc>
        <w:tc>
          <w:tcPr>
            <w:tcW w:w="1530" w:type="dxa"/>
            <w:tcBorders>
              <w:top w:val="single" w:sz="6" w:space="0" w:color="auto"/>
              <w:bottom w:val="double" w:sz="6" w:space="0" w:color="auto"/>
            </w:tcBorders>
            <w:vAlign w:val="bottom"/>
          </w:tcPr>
          <w:p w:rsidR="00923266" w:rsidRPr="00923266" w:rsidRDefault="00923266" w:rsidP="00923266">
            <w:pPr>
              <w:jc w:val="center"/>
              <w:rPr>
                <w:shadow w:val="0"/>
              </w:rPr>
            </w:pPr>
            <w:r w:rsidRPr="00923266">
              <w:rPr>
                <w:shadow w:val="0"/>
              </w:rPr>
              <w:t>$2,444,877,070</w:t>
            </w:r>
          </w:p>
        </w:tc>
        <w:tc>
          <w:tcPr>
            <w:tcW w:w="1530" w:type="dxa"/>
            <w:tcBorders>
              <w:top w:val="single" w:sz="6" w:space="0" w:color="auto"/>
              <w:bottom w:val="double" w:sz="6" w:space="0" w:color="auto"/>
            </w:tcBorders>
            <w:vAlign w:val="bottom"/>
          </w:tcPr>
          <w:p w:rsidR="00923266" w:rsidRPr="00923266" w:rsidRDefault="00923266" w:rsidP="00923266">
            <w:pPr>
              <w:jc w:val="center"/>
              <w:rPr>
                <w:shadow w:val="0"/>
                <w:color w:val="0000FF"/>
              </w:rPr>
            </w:pPr>
            <w:r w:rsidRPr="00923266">
              <w:rPr>
                <w:shadow w:val="0"/>
                <w:color w:val="0000FF"/>
              </w:rPr>
              <w:t>$2,552,463,300</w:t>
            </w:r>
          </w:p>
        </w:tc>
      </w:tr>
      <w:tr w:rsidR="00923266">
        <w:tblPrEx>
          <w:tblCellMar>
            <w:top w:w="0" w:type="dxa"/>
            <w:bottom w:w="0" w:type="dxa"/>
          </w:tblCellMar>
        </w:tblPrEx>
        <w:trPr>
          <w:trHeight w:val="211"/>
        </w:trPr>
        <w:tc>
          <w:tcPr>
            <w:tcW w:w="3600" w:type="dxa"/>
            <w:tcBorders>
              <w:top w:val="double" w:sz="6" w:space="0" w:color="auto"/>
              <w:bottom w:val="single" w:sz="12" w:space="0" w:color="auto"/>
            </w:tcBorders>
          </w:tcPr>
          <w:p w:rsidR="00923266" w:rsidRDefault="00923266">
            <w:pPr>
              <w:rPr>
                <w:rFonts w:ascii="Times New Roman" w:hAnsi="Times New Roman"/>
                <w:i/>
                <w:shadow w:val="0"/>
                <w:snapToGrid w:val="0"/>
                <w:color w:val="000000"/>
                <w:sz w:val="22"/>
              </w:rPr>
            </w:pPr>
            <w:r>
              <w:rPr>
                <w:rFonts w:ascii="Times New Roman" w:hAnsi="Times New Roman"/>
                <w:i/>
                <w:shadow w:val="0"/>
                <w:snapToGrid w:val="0"/>
                <w:color w:val="000000"/>
                <w:sz w:val="22"/>
              </w:rPr>
              <w:t xml:space="preserve"> Percentage Change Of Real Estate</w:t>
            </w:r>
          </w:p>
        </w:tc>
        <w:tc>
          <w:tcPr>
            <w:tcW w:w="1530" w:type="dxa"/>
            <w:tcBorders>
              <w:top w:val="double" w:sz="6" w:space="0" w:color="auto"/>
              <w:bottom w:val="single" w:sz="12" w:space="0" w:color="auto"/>
            </w:tcBorders>
            <w:vAlign w:val="bottom"/>
          </w:tcPr>
          <w:p w:rsidR="00923266" w:rsidRPr="00923266" w:rsidRDefault="00923266" w:rsidP="00923266">
            <w:pPr>
              <w:jc w:val="center"/>
              <w:rPr>
                <w:shadow w:val="0"/>
              </w:rPr>
            </w:pPr>
            <w:r w:rsidRPr="00923266">
              <w:rPr>
                <w:shadow w:val="0"/>
              </w:rPr>
              <w:t>4.21%</w:t>
            </w:r>
          </w:p>
        </w:tc>
        <w:tc>
          <w:tcPr>
            <w:tcW w:w="1530" w:type="dxa"/>
            <w:tcBorders>
              <w:top w:val="double" w:sz="6" w:space="0" w:color="auto"/>
              <w:bottom w:val="single" w:sz="12" w:space="0" w:color="auto"/>
            </w:tcBorders>
            <w:vAlign w:val="bottom"/>
          </w:tcPr>
          <w:p w:rsidR="00923266" w:rsidRPr="00923266" w:rsidRDefault="00923266" w:rsidP="00923266">
            <w:pPr>
              <w:jc w:val="center"/>
              <w:rPr>
                <w:shadow w:val="0"/>
              </w:rPr>
            </w:pPr>
            <w:r w:rsidRPr="00923266">
              <w:rPr>
                <w:shadow w:val="0"/>
              </w:rPr>
              <w:t>6.33%</w:t>
            </w:r>
          </w:p>
        </w:tc>
        <w:tc>
          <w:tcPr>
            <w:tcW w:w="1530" w:type="dxa"/>
            <w:tcBorders>
              <w:top w:val="double" w:sz="6" w:space="0" w:color="auto"/>
              <w:bottom w:val="single" w:sz="12" w:space="0" w:color="auto"/>
            </w:tcBorders>
            <w:vAlign w:val="bottom"/>
          </w:tcPr>
          <w:p w:rsidR="00923266" w:rsidRPr="00923266" w:rsidRDefault="00923266" w:rsidP="00923266">
            <w:pPr>
              <w:jc w:val="center"/>
              <w:rPr>
                <w:shadow w:val="0"/>
              </w:rPr>
            </w:pPr>
            <w:r w:rsidRPr="00923266">
              <w:rPr>
                <w:shadow w:val="0"/>
              </w:rPr>
              <w:t>5.91%</w:t>
            </w:r>
          </w:p>
        </w:tc>
        <w:tc>
          <w:tcPr>
            <w:tcW w:w="1530" w:type="dxa"/>
            <w:tcBorders>
              <w:top w:val="double" w:sz="6" w:space="0" w:color="auto"/>
              <w:bottom w:val="single" w:sz="12" w:space="0" w:color="auto"/>
            </w:tcBorders>
            <w:vAlign w:val="bottom"/>
          </w:tcPr>
          <w:p w:rsidR="00923266" w:rsidRPr="00923266" w:rsidRDefault="00923266" w:rsidP="00923266">
            <w:pPr>
              <w:jc w:val="center"/>
              <w:rPr>
                <w:shadow w:val="0"/>
                <w:color w:val="0000FF"/>
              </w:rPr>
            </w:pPr>
            <w:r w:rsidRPr="00923266">
              <w:rPr>
                <w:shadow w:val="0"/>
                <w:color w:val="0000FF"/>
              </w:rPr>
              <w:t>4.40%</w:t>
            </w:r>
          </w:p>
        </w:tc>
      </w:tr>
      <w:tr w:rsidR="00923266">
        <w:tblPrEx>
          <w:tblCellMar>
            <w:top w:w="0" w:type="dxa"/>
            <w:bottom w:w="0" w:type="dxa"/>
          </w:tblCellMar>
        </w:tblPrEx>
        <w:trPr>
          <w:trHeight w:val="187"/>
        </w:trPr>
        <w:tc>
          <w:tcPr>
            <w:tcW w:w="3600" w:type="dxa"/>
            <w:tcBorders>
              <w:top w:val="single" w:sz="12" w:space="0" w:color="auto"/>
              <w:bottom w:val="single" w:sz="6" w:space="0" w:color="auto"/>
            </w:tcBorders>
          </w:tcPr>
          <w:p w:rsidR="00923266" w:rsidRDefault="00923266">
            <w:pPr>
              <w:rPr>
                <w:rFonts w:ascii="Times New Roman" w:hAnsi="Times New Roman"/>
                <w:shadow w:val="0"/>
                <w:snapToGrid w:val="0"/>
                <w:color w:val="000000"/>
                <w:sz w:val="22"/>
              </w:rPr>
            </w:pPr>
            <w:r>
              <w:rPr>
                <w:rFonts w:ascii="Times New Roman" w:hAnsi="Times New Roman"/>
                <w:shadow w:val="0"/>
                <w:snapToGrid w:val="0"/>
                <w:color w:val="000000"/>
                <w:sz w:val="22"/>
              </w:rPr>
              <w:t>Tangible Property</w:t>
            </w:r>
          </w:p>
        </w:tc>
        <w:tc>
          <w:tcPr>
            <w:tcW w:w="1530" w:type="dxa"/>
            <w:tcBorders>
              <w:top w:val="single" w:sz="12" w:space="0" w:color="auto"/>
              <w:bottom w:val="single" w:sz="6" w:space="0" w:color="auto"/>
            </w:tcBorders>
            <w:vAlign w:val="bottom"/>
          </w:tcPr>
          <w:p w:rsidR="00923266" w:rsidRPr="00923266" w:rsidRDefault="00923266" w:rsidP="00923266">
            <w:pPr>
              <w:jc w:val="center"/>
              <w:rPr>
                <w:shadow w:val="0"/>
              </w:rPr>
            </w:pPr>
            <w:r w:rsidRPr="00923266">
              <w:rPr>
                <w:shadow w:val="0"/>
              </w:rPr>
              <w:t>$150,090,171</w:t>
            </w:r>
          </w:p>
        </w:tc>
        <w:tc>
          <w:tcPr>
            <w:tcW w:w="1530" w:type="dxa"/>
            <w:tcBorders>
              <w:top w:val="single" w:sz="12" w:space="0" w:color="auto"/>
              <w:bottom w:val="single" w:sz="6" w:space="0" w:color="auto"/>
            </w:tcBorders>
            <w:vAlign w:val="bottom"/>
          </w:tcPr>
          <w:p w:rsidR="00923266" w:rsidRPr="00923266" w:rsidRDefault="00923266" w:rsidP="00923266">
            <w:pPr>
              <w:jc w:val="center"/>
              <w:rPr>
                <w:shadow w:val="0"/>
              </w:rPr>
            </w:pPr>
            <w:r w:rsidRPr="00923266">
              <w:rPr>
                <w:shadow w:val="0"/>
              </w:rPr>
              <w:t>$155,100,432</w:t>
            </w:r>
          </w:p>
        </w:tc>
        <w:tc>
          <w:tcPr>
            <w:tcW w:w="1530" w:type="dxa"/>
            <w:tcBorders>
              <w:top w:val="single" w:sz="12" w:space="0" w:color="auto"/>
              <w:bottom w:val="single" w:sz="6" w:space="0" w:color="auto"/>
            </w:tcBorders>
            <w:vAlign w:val="bottom"/>
          </w:tcPr>
          <w:p w:rsidR="00923266" w:rsidRPr="00923266" w:rsidRDefault="00923266" w:rsidP="00923266">
            <w:pPr>
              <w:jc w:val="center"/>
              <w:rPr>
                <w:shadow w:val="0"/>
              </w:rPr>
            </w:pPr>
            <w:r w:rsidRPr="00923266">
              <w:rPr>
                <w:shadow w:val="0"/>
              </w:rPr>
              <w:t>$176,278,563</w:t>
            </w:r>
          </w:p>
        </w:tc>
        <w:tc>
          <w:tcPr>
            <w:tcW w:w="1530" w:type="dxa"/>
            <w:tcBorders>
              <w:top w:val="single" w:sz="12" w:space="0" w:color="auto"/>
              <w:bottom w:val="single" w:sz="6" w:space="0" w:color="auto"/>
            </w:tcBorders>
            <w:vAlign w:val="bottom"/>
          </w:tcPr>
          <w:p w:rsidR="00923266" w:rsidRPr="00923266" w:rsidRDefault="00923266" w:rsidP="00923266">
            <w:pPr>
              <w:jc w:val="center"/>
              <w:rPr>
                <w:shadow w:val="0"/>
                <w:color w:val="0000FF"/>
              </w:rPr>
            </w:pPr>
            <w:r w:rsidRPr="00923266">
              <w:rPr>
                <w:shadow w:val="0"/>
                <w:color w:val="0000FF"/>
              </w:rPr>
              <w:t>$177,585,910</w:t>
            </w:r>
          </w:p>
        </w:tc>
      </w:tr>
      <w:tr w:rsidR="00923266">
        <w:tblPrEx>
          <w:tblCellMar>
            <w:top w:w="0" w:type="dxa"/>
            <w:bottom w:w="0" w:type="dxa"/>
          </w:tblCellMar>
        </w:tblPrEx>
        <w:trPr>
          <w:trHeight w:val="197"/>
        </w:trPr>
        <w:tc>
          <w:tcPr>
            <w:tcW w:w="3600" w:type="dxa"/>
            <w:tcBorders>
              <w:bottom w:val="single" w:sz="12" w:space="0" w:color="auto"/>
            </w:tcBorders>
          </w:tcPr>
          <w:p w:rsidR="00923266" w:rsidRDefault="00923266">
            <w:pPr>
              <w:rPr>
                <w:rFonts w:ascii="Times New Roman" w:hAnsi="Times New Roman"/>
                <w:i/>
                <w:shadow w:val="0"/>
                <w:snapToGrid w:val="0"/>
                <w:color w:val="000000"/>
                <w:sz w:val="22"/>
              </w:rPr>
            </w:pPr>
            <w:r>
              <w:rPr>
                <w:rFonts w:ascii="Times New Roman" w:hAnsi="Times New Roman"/>
                <w:i/>
                <w:shadow w:val="0"/>
                <w:snapToGrid w:val="0"/>
                <w:color w:val="000000"/>
                <w:sz w:val="22"/>
              </w:rPr>
              <w:t xml:space="preserve"> Percentage Change</w:t>
            </w:r>
          </w:p>
        </w:tc>
        <w:tc>
          <w:tcPr>
            <w:tcW w:w="1530" w:type="dxa"/>
            <w:tcBorders>
              <w:bottom w:val="single" w:sz="12" w:space="0" w:color="auto"/>
            </w:tcBorders>
            <w:vAlign w:val="bottom"/>
          </w:tcPr>
          <w:p w:rsidR="00923266" w:rsidRPr="00923266" w:rsidRDefault="00923266" w:rsidP="00923266">
            <w:pPr>
              <w:jc w:val="center"/>
              <w:rPr>
                <w:shadow w:val="0"/>
              </w:rPr>
            </w:pPr>
            <w:r w:rsidRPr="00923266">
              <w:rPr>
                <w:shadow w:val="0"/>
              </w:rPr>
              <w:t>2.18%</w:t>
            </w:r>
          </w:p>
        </w:tc>
        <w:tc>
          <w:tcPr>
            <w:tcW w:w="1530" w:type="dxa"/>
            <w:tcBorders>
              <w:bottom w:val="single" w:sz="12" w:space="0" w:color="auto"/>
            </w:tcBorders>
            <w:vAlign w:val="bottom"/>
          </w:tcPr>
          <w:p w:rsidR="00923266" w:rsidRPr="00923266" w:rsidRDefault="00923266" w:rsidP="00923266">
            <w:pPr>
              <w:jc w:val="center"/>
              <w:rPr>
                <w:shadow w:val="0"/>
              </w:rPr>
            </w:pPr>
            <w:r w:rsidRPr="00923266">
              <w:rPr>
                <w:shadow w:val="0"/>
              </w:rPr>
              <w:t>3.34%</w:t>
            </w:r>
          </w:p>
        </w:tc>
        <w:tc>
          <w:tcPr>
            <w:tcW w:w="1530" w:type="dxa"/>
            <w:tcBorders>
              <w:bottom w:val="single" w:sz="12" w:space="0" w:color="auto"/>
            </w:tcBorders>
            <w:vAlign w:val="bottom"/>
          </w:tcPr>
          <w:p w:rsidR="00923266" w:rsidRPr="00923266" w:rsidRDefault="00923266" w:rsidP="00923266">
            <w:pPr>
              <w:jc w:val="center"/>
              <w:rPr>
                <w:shadow w:val="0"/>
              </w:rPr>
            </w:pPr>
            <w:r w:rsidRPr="00923266">
              <w:rPr>
                <w:shadow w:val="0"/>
              </w:rPr>
              <w:t>13.65%</w:t>
            </w:r>
          </w:p>
        </w:tc>
        <w:tc>
          <w:tcPr>
            <w:tcW w:w="1530" w:type="dxa"/>
            <w:tcBorders>
              <w:bottom w:val="single" w:sz="12" w:space="0" w:color="auto"/>
            </w:tcBorders>
            <w:vAlign w:val="bottom"/>
          </w:tcPr>
          <w:p w:rsidR="00923266" w:rsidRPr="00923266" w:rsidRDefault="00923266" w:rsidP="00923266">
            <w:pPr>
              <w:jc w:val="center"/>
              <w:rPr>
                <w:shadow w:val="0"/>
                <w:color w:val="0000FF"/>
              </w:rPr>
            </w:pPr>
            <w:r w:rsidRPr="00923266">
              <w:rPr>
                <w:shadow w:val="0"/>
                <w:color w:val="0000FF"/>
              </w:rPr>
              <w:t>0.74%</w:t>
            </w:r>
          </w:p>
        </w:tc>
      </w:tr>
      <w:tr w:rsidR="00923266">
        <w:tblPrEx>
          <w:tblCellMar>
            <w:top w:w="0" w:type="dxa"/>
            <w:bottom w:w="0" w:type="dxa"/>
          </w:tblCellMar>
        </w:tblPrEx>
        <w:trPr>
          <w:trHeight w:val="187"/>
        </w:trPr>
        <w:tc>
          <w:tcPr>
            <w:tcW w:w="3600" w:type="dxa"/>
            <w:tcBorders>
              <w:top w:val="single" w:sz="12" w:space="0" w:color="auto"/>
              <w:bottom w:val="single" w:sz="6" w:space="0" w:color="auto"/>
            </w:tcBorders>
          </w:tcPr>
          <w:p w:rsidR="00923266" w:rsidRDefault="00923266">
            <w:pPr>
              <w:rPr>
                <w:rFonts w:ascii="Times New Roman" w:hAnsi="Times New Roman"/>
                <w:shadow w:val="0"/>
                <w:snapToGrid w:val="0"/>
                <w:color w:val="000000"/>
                <w:sz w:val="22"/>
              </w:rPr>
            </w:pPr>
            <w:r>
              <w:rPr>
                <w:rFonts w:ascii="Times New Roman" w:hAnsi="Times New Roman"/>
                <w:shadow w:val="0"/>
                <w:snapToGrid w:val="0"/>
                <w:color w:val="000000"/>
                <w:sz w:val="22"/>
              </w:rPr>
              <w:t>Public Service Real Estate</w:t>
            </w:r>
          </w:p>
        </w:tc>
        <w:tc>
          <w:tcPr>
            <w:tcW w:w="1530" w:type="dxa"/>
            <w:tcBorders>
              <w:top w:val="single" w:sz="12" w:space="0" w:color="auto"/>
              <w:bottom w:val="single" w:sz="6" w:space="0" w:color="auto"/>
            </w:tcBorders>
            <w:vAlign w:val="bottom"/>
          </w:tcPr>
          <w:p w:rsidR="00923266" w:rsidRPr="00923266" w:rsidRDefault="00923266" w:rsidP="00923266">
            <w:pPr>
              <w:jc w:val="center"/>
              <w:rPr>
                <w:shadow w:val="0"/>
              </w:rPr>
            </w:pPr>
            <w:r w:rsidRPr="00923266">
              <w:rPr>
                <w:shadow w:val="0"/>
              </w:rPr>
              <w:t>$11,931,065</w:t>
            </w:r>
          </w:p>
        </w:tc>
        <w:tc>
          <w:tcPr>
            <w:tcW w:w="1530" w:type="dxa"/>
            <w:tcBorders>
              <w:top w:val="single" w:sz="12" w:space="0" w:color="auto"/>
              <w:bottom w:val="single" w:sz="6" w:space="0" w:color="auto"/>
            </w:tcBorders>
            <w:vAlign w:val="bottom"/>
          </w:tcPr>
          <w:p w:rsidR="00923266" w:rsidRPr="00923266" w:rsidRDefault="00923266" w:rsidP="00923266">
            <w:pPr>
              <w:jc w:val="center"/>
              <w:rPr>
                <w:shadow w:val="0"/>
              </w:rPr>
            </w:pPr>
            <w:r w:rsidRPr="00923266">
              <w:rPr>
                <w:shadow w:val="0"/>
              </w:rPr>
              <w:t>$12,328,662</w:t>
            </w:r>
          </w:p>
        </w:tc>
        <w:tc>
          <w:tcPr>
            <w:tcW w:w="1530" w:type="dxa"/>
            <w:tcBorders>
              <w:top w:val="single" w:sz="12" w:space="0" w:color="auto"/>
              <w:bottom w:val="single" w:sz="6" w:space="0" w:color="auto"/>
            </w:tcBorders>
            <w:vAlign w:val="bottom"/>
          </w:tcPr>
          <w:p w:rsidR="00923266" w:rsidRPr="00923266" w:rsidRDefault="00923266" w:rsidP="00923266">
            <w:pPr>
              <w:jc w:val="center"/>
              <w:rPr>
                <w:shadow w:val="0"/>
              </w:rPr>
            </w:pPr>
            <w:r w:rsidRPr="00923266">
              <w:rPr>
                <w:shadow w:val="0"/>
              </w:rPr>
              <w:t>$8,214,105</w:t>
            </w:r>
          </w:p>
        </w:tc>
        <w:tc>
          <w:tcPr>
            <w:tcW w:w="1530" w:type="dxa"/>
            <w:tcBorders>
              <w:top w:val="single" w:sz="12" w:space="0" w:color="auto"/>
              <w:bottom w:val="single" w:sz="6" w:space="0" w:color="auto"/>
            </w:tcBorders>
            <w:vAlign w:val="bottom"/>
          </w:tcPr>
          <w:p w:rsidR="00923266" w:rsidRPr="00923266" w:rsidRDefault="00923266" w:rsidP="00923266">
            <w:pPr>
              <w:jc w:val="center"/>
              <w:rPr>
                <w:shadow w:val="0"/>
                <w:color w:val="0000FF"/>
              </w:rPr>
            </w:pPr>
            <w:r w:rsidRPr="00923266">
              <w:rPr>
                <w:shadow w:val="0"/>
                <w:color w:val="0000FF"/>
              </w:rPr>
              <w:t>$8,345,518</w:t>
            </w:r>
          </w:p>
        </w:tc>
      </w:tr>
      <w:tr w:rsidR="00923266">
        <w:tblPrEx>
          <w:tblCellMar>
            <w:top w:w="0" w:type="dxa"/>
            <w:bottom w:w="0" w:type="dxa"/>
          </w:tblCellMar>
        </w:tblPrEx>
        <w:trPr>
          <w:trHeight w:val="197"/>
        </w:trPr>
        <w:tc>
          <w:tcPr>
            <w:tcW w:w="3600" w:type="dxa"/>
            <w:tcBorders>
              <w:bottom w:val="single" w:sz="12" w:space="0" w:color="auto"/>
            </w:tcBorders>
          </w:tcPr>
          <w:p w:rsidR="00923266" w:rsidRDefault="00923266">
            <w:pPr>
              <w:rPr>
                <w:rFonts w:ascii="Times New Roman" w:hAnsi="Times New Roman"/>
                <w:i/>
                <w:shadow w:val="0"/>
                <w:snapToGrid w:val="0"/>
                <w:color w:val="000000"/>
                <w:sz w:val="22"/>
              </w:rPr>
            </w:pPr>
            <w:r>
              <w:rPr>
                <w:rFonts w:ascii="Times New Roman" w:hAnsi="Times New Roman"/>
                <w:i/>
                <w:shadow w:val="0"/>
                <w:snapToGrid w:val="0"/>
                <w:color w:val="000000"/>
                <w:sz w:val="22"/>
              </w:rPr>
              <w:t xml:space="preserve"> Percentage Change</w:t>
            </w:r>
          </w:p>
        </w:tc>
        <w:tc>
          <w:tcPr>
            <w:tcW w:w="1530" w:type="dxa"/>
            <w:tcBorders>
              <w:bottom w:val="single" w:sz="12" w:space="0" w:color="auto"/>
            </w:tcBorders>
            <w:vAlign w:val="bottom"/>
          </w:tcPr>
          <w:p w:rsidR="00923266" w:rsidRPr="00923266" w:rsidRDefault="00923266" w:rsidP="00923266">
            <w:pPr>
              <w:jc w:val="center"/>
              <w:rPr>
                <w:shadow w:val="0"/>
              </w:rPr>
            </w:pPr>
            <w:r w:rsidRPr="00923266">
              <w:rPr>
                <w:shadow w:val="0"/>
              </w:rPr>
              <w:t>0.00%</w:t>
            </w:r>
          </w:p>
        </w:tc>
        <w:tc>
          <w:tcPr>
            <w:tcW w:w="1530" w:type="dxa"/>
            <w:tcBorders>
              <w:bottom w:val="single" w:sz="12" w:space="0" w:color="auto"/>
            </w:tcBorders>
            <w:vAlign w:val="bottom"/>
          </w:tcPr>
          <w:p w:rsidR="00923266" w:rsidRPr="00923266" w:rsidRDefault="00923266" w:rsidP="00923266">
            <w:pPr>
              <w:jc w:val="center"/>
              <w:rPr>
                <w:shadow w:val="0"/>
              </w:rPr>
            </w:pPr>
            <w:r w:rsidRPr="00923266">
              <w:rPr>
                <w:shadow w:val="0"/>
              </w:rPr>
              <w:t>3.33%</w:t>
            </w:r>
          </w:p>
        </w:tc>
        <w:tc>
          <w:tcPr>
            <w:tcW w:w="1530" w:type="dxa"/>
            <w:tcBorders>
              <w:bottom w:val="single" w:sz="12" w:space="0" w:color="auto"/>
            </w:tcBorders>
            <w:vAlign w:val="bottom"/>
          </w:tcPr>
          <w:p w:rsidR="00923266" w:rsidRPr="00923266" w:rsidRDefault="00923266" w:rsidP="00923266">
            <w:pPr>
              <w:jc w:val="center"/>
              <w:rPr>
                <w:shadow w:val="0"/>
              </w:rPr>
            </w:pPr>
            <w:r w:rsidRPr="00923266">
              <w:rPr>
                <w:shadow w:val="0"/>
              </w:rPr>
              <w:t>-33.37%</w:t>
            </w:r>
          </w:p>
        </w:tc>
        <w:tc>
          <w:tcPr>
            <w:tcW w:w="1530" w:type="dxa"/>
            <w:tcBorders>
              <w:bottom w:val="single" w:sz="12" w:space="0" w:color="auto"/>
            </w:tcBorders>
            <w:vAlign w:val="bottom"/>
          </w:tcPr>
          <w:p w:rsidR="00923266" w:rsidRPr="00923266" w:rsidRDefault="00923266" w:rsidP="00923266">
            <w:pPr>
              <w:jc w:val="center"/>
              <w:rPr>
                <w:shadow w:val="0"/>
                <w:color w:val="0000FF"/>
              </w:rPr>
            </w:pPr>
            <w:r w:rsidRPr="00923266">
              <w:rPr>
                <w:shadow w:val="0"/>
                <w:color w:val="0000FF"/>
              </w:rPr>
              <w:t>1.60%</w:t>
            </w:r>
          </w:p>
        </w:tc>
      </w:tr>
      <w:tr w:rsidR="00923266">
        <w:tblPrEx>
          <w:tblCellMar>
            <w:top w:w="0" w:type="dxa"/>
            <w:bottom w:w="0" w:type="dxa"/>
          </w:tblCellMar>
        </w:tblPrEx>
        <w:trPr>
          <w:trHeight w:val="187"/>
        </w:trPr>
        <w:tc>
          <w:tcPr>
            <w:tcW w:w="3600" w:type="dxa"/>
            <w:tcBorders>
              <w:top w:val="single" w:sz="12" w:space="0" w:color="auto"/>
              <w:bottom w:val="single" w:sz="6" w:space="0" w:color="auto"/>
            </w:tcBorders>
          </w:tcPr>
          <w:p w:rsidR="00923266" w:rsidRDefault="00923266">
            <w:pPr>
              <w:rPr>
                <w:rFonts w:ascii="Times New Roman" w:hAnsi="Times New Roman"/>
                <w:shadow w:val="0"/>
                <w:snapToGrid w:val="0"/>
                <w:color w:val="000000"/>
                <w:sz w:val="22"/>
              </w:rPr>
            </w:pPr>
            <w:r>
              <w:rPr>
                <w:rFonts w:ascii="Times New Roman" w:hAnsi="Times New Roman"/>
                <w:shadow w:val="0"/>
                <w:snapToGrid w:val="0"/>
                <w:color w:val="000000"/>
                <w:sz w:val="22"/>
              </w:rPr>
              <w:t>Public Service Tangible</w:t>
            </w:r>
          </w:p>
        </w:tc>
        <w:tc>
          <w:tcPr>
            <w:tcW w:w="1530" w:type="dxa"/>
            <w:tcBorders>
              <w:top w:val="single" w:sz="12" w:space="0" w:color="auto"/>
              <w:bottom w:val="single" w:sz="6" w:space="0" w:color="auto"/>
            </w:tcBorders>
            <w:vAlign w:val="bottom"/>
          </w:tcPr>
          <w:p w:rsidR="00923266" w:rsidRPr="00923266" w:rsidRDefault="00923266" w:rsidP="00923266">
            <w:pPr>
              <w:jc w:val="center"/>
              <w:rPr>
                <w:shadow w:val="0"/>
              </w:rPr>
            </w:pPr>
            <w:r w:rsidRPr="00923266">
              <w:rPr>
                <w:shadow w:val="0"/>
              </w:rPr>
              <w:t>$48,923,782</w:t>
            </w:r>
          </w:p>
        </w:tc>
        <w:tc>
          <w:tcPr>
            <w:tcW w:w="1530" w:type="dxa"/>
            <w:tcBorders>
              <w:top w:val="single" w:sz="12" w:space="0" w:color="auto"/>
              <w:bottom w:val="single" w:sz="6" w:space="0" w:color="auto"/>
            </w:tcBorders>
            <w:vAlign w:val="bottom"/>
          </w:tcPr>
          <w:p w:rsidR="00923266" w:rsidRPr="00923266" w:rsidRDefault="00923266" w:rsidP="00923266">
            <w:pPr>
              <w:jc w:val="center"/>
              <w:rPr>
                <w:shadow w:val="0"/>
              </w:rPr>
            </w:pPr>
            <w:r w:rsidRPr="00923266">
              <w:rPr>
                <w:shadow w:val="0"/>
              </w:rPr>
              <w:t>$36,561,072</w:t>
            </w:r>
          </w:p>
        </w:tc>
        <w:tc>
          <w:tcPr>
            <w:tcW w:w="1530" w:type="dxa"/>
            <w:tcBorders>
              <w:top w:val="single" w:sz="12" w:space="0" w:color="auto"/>
              <w:bottom w:val="single" w:sz="6" w:space="0" w:color="auto"/>
            </w:tcBorders>
            <w:vAlign w:val="bottom"/>
          </w:tcPr>
          <w:p w:rsidR="00923266" w:rsidRPr="00923266" w:rsidRDefault="00923266" w:rsidP="00923266">
            <w:pPr>
              <w:jc w:val="center"/>
              <w:rPr>
                <w:shadow w:val="0"/>
              </w:rPr>
            </w:pPr>
            <w:r w:rsidRPr="00923266">
              <w:rPr>
                <w:shadow w:val="0"/>
              </w:rPr>
              <w:t>$28,382,217</w:t>
            </w:r>
          </w:p>
        </w:tc>
        <w:tc>
          <w:tcPr>
            <w:tcW w:w="1530" w:type="dxa"/>
            <w:tcBorders>
              <w:top w:val="single" w:sz="12" w:space="0" w:color="auto"/>
              <w:bottom w:val="single" w:sz="6" w:space="0" w:color="auto"/>
            </w:tcBorders>
            <w:vAlign w:val="bottom"/>
          </w:tcPr>
          <w:p w:rsidR="00923266" w:rsidRPr="00923266" w:rsidRDefault="00923266" w:rsidP="00923266">
            <w:pPr>
              <w:jc w:val="center"/>
              <w:rPr>
                <w:shadow w:val="0"/>
                <w:color w:val="0000FF"/>
              </w:rPr>
            </w:pPr>
            <w:r w:rsidRPr="00923266">
              <w:rPr>
                <w:shadow w:val="0"/>
                <w:color w:val="0000FF"/>
              </w:rPr>
              <w:t>$25,200,040</w:t>
            </w:r>
          </w:p>
        </w:tc>
      </w:tr>
      <w:tr w:rsidR="00923266">
        <w:tblPrEx>
          <w:tblCellMar>
            <w:top w:w="0" w:type="dxa"/>
            <w:bottom w:w="0" w:type="dxa"/>
          </w:tblCellMar>
        </w:tblPrEx>
        <w:trPr>
          <w:trHeight w:val="197"/>
        </w:trPr>
        <w:tc>
          <w:tcPr>
            <w:tcW w:w="3600" w:type="dxa"/>
            <w:tcBorders>
              <w:bottom w:val="single" w:sz="12" w:space="0" w:color="auto"/>
            </w:tcBorders>
          </w:tcPr>
          <w:p w:rsidR="00923266" w:rsidRDefault="00923266">
            <w:pPr>
              <w:rPr>
                <w:rFonts w:ascii="Times New Roman" w:hAnsi="Times New Roman"/>
                <w:i/>
                <w:shadow w:val="0"/>
                <w:snapToGrid w:val="0"/>
                <w:color w:val="000000"/>
                <w:sz w:val="22"/>
              </w:rPr>
            </w:pPr>
            <w:r>
              <w:rPr>
                <w:rFonts w:ascii="Times New Roman" w:hAnsi="Times New Roman"/>
                <w:i/>
                <w:shadow w:val="0"/>
                <w:snapToGrid w:val="0"/>
                <w:color w:val="000000"/>
                <w:sz w:val="22"/>
              </w:rPr>
              <w:t xml:space="preserve"> Percentage Change</w:t>
            </w:r>
          </w:p>
        </w:tc>
        <w:tc>
          <w:tcPr>
            <w:tcW w:w="1530" w:type="dxa"/>
            <w:tcBorders>
              <w:bottom w:val="single" w:sz="12" w:space="0" w:color="auto"/>
            </w:tcBorders>
            <w:vAlign w:val="bottom"/>
          </w:tcPr>
          <w:p w:rsidR="00923266" w:rsidRPr="00923266" w:rsidRDefault="00923266" w:rsidP="00923266">
            <w:pPr>
              <w:jc w:val="center"/>
              <w:rPr>
                <w:shadow w:val="0"/>
              </w:rPr>
            </w:pPr>
            <w:r w:rsidRPr="00923266">
              <w:rPr>
                <w:shadow w:val="0"/>
              </w:rPr>
              <w:t>-1.17%</w:t>
            </w:r>
          </w:p>
        </w:tc>
        <w:tc>
          <w:tcPr>
            <w:tcW w:w="1530" w:type="dxa"/>
            <w:tcBorders>
              <w:bottom w:val="single" w:sz="12" w:space="0" w:color="auto"/>
            </w:tcBorders>
            <w:vAlign w:val="bottom"/>
          </w:tcPr>
          <w:p w:rsidR="00923266" w:rsidRPr="00923266" w:rsidRDefault="00923266" w:rsidP="00923266">
            <w:pPr>
              <w:jc w:val="center"/>
              <w:rPr>
                <w:shadow w:val="0"/>
              </w:rPr>
            </w:pPr>
            <w:r w:rsidRPr="00923266">
              <w:rPr>
                <w:shadow w:val="0"/>
              </w:rPr>
              <w:t>-25.27%</w:t>
            </w:r>
          </w:p>
        </w:tc>
        <w:tc>
          <w:tcPr>
            <w:tcW w:w="1530" w:type="dxa"/>
            <w:tcBorders>
              <w:bottom w:val="single" w:sz="12" w:space="0" w:color="auto"/>
            </w:tcBorders>
            <w:vAlign w:val="bottom"/>
          </w:tcPr>
          <w:p w:rsidR="00923266" w:rsidRPr="00923266" w:rsidRDefault="00923266" w:rsidP="00923266">
            <w:pPr>
              <w:jc w:val="center"/>
              <w:rPr>
                <w:shadow w:val="0"/>
              </w:rPr>
            </w:pPr>
            <w:r w:rsidRPr="00923266">
              <w:rPr>
                <w:shadow w:val="0"/>
              </w:rPr>
              <w:t>-22.37%</w:t>
            </w:r>
          </w:p>
        </w:tc>
        <w:tc>
          <w:tcPr>
            <w:tcW w:w="1530" w:type="dxa"/>
            <w:tcBorders>
              <w:bottom w:val="single" w:sz="12" w:space="0" w:color="auto"/>
            </w:tcBorders>
            <w:vAlign w:val="bottom"/>
          </w:tcPr>
          <w:p w:rsidR="00923266" w:rsidRPr="00923266" w:rsidRDefault="00923266" w:rsidP="00923266">
            <w:pPr>
              <w:jc w:val="center"/>
              <w:rPr>
                <w:shadow w:val="0"/>
                <w:color w:val="0000FF"/>
              </w:rPr>
            </w:pPr>
            <w:r w:rsidRPr="00923266">
              <w:rPr>
                <w:shadow w:val="0"/>
                <w:color w:val="0000FF"/>
              </w:rPr>
              <w:t>-11.21%</w:t>
            </w:r>
          </w:p>
        </w:tc>
      </w:tr>
      <w:tr w:rsidR="00923266">
        <w:tblPrEx>
          <w:tblCellMar>
            <w:top w:w="0" w:type="dxa"/>
            <w:bottom w:w="0" w:type="dxa"/>
          </w:tblCellMar>
        </w:tblPrEx>
        <w:trPr>
          <w:trHeight w:val="197"/>
        </w:trPr>
        <w:tc>
          <w:tcPr>
            <w:tcW w:w="3600" w:type="dxa"/>
            <w:tcBorders>
              <w:bottom w:val="single" w:sz="12" w:space="0" w:color="auto"/>
            </w:tcBorders>
          </w:tcPr>
          <w:p w:rsidR="00923266" w:rsidRDefault="00923266" w:rsidP="002A308E">
            <w:pPr>
              <w:rPr>
                <w:rFonts w:ascii="Times New Roman" w:hAnsi="Times New Roman"/>
                <w:shadow w:val="0"/>
                <w:snapToGrid w:val="0"/>
                <w:color w:val="000000"/>
                <w:sz w:val="22"/>
              </w:rPr>
            </w:pPr>
            <w:r>
              <w:rPr>
                <w:rFonts w:ascii="Times New Roman" w:hAnsi="Times New Roman"/>
                <w:shadow w:val="0"/>
                <w:snapToGrid w:val="0"/>
                <w:color w:val="000000"/>
                <w:sz w:val="22"/>
              </w:rPr>
              <w:t>Distilled Spirits</w:t>
            </w:r>
          </w:p>
        </w:tc>
        <w:tc>
          <w:tcPr>
            <w:tcW w:w="1530" w:type="dxa"/>
            <w:tcBorders>
              <w:bottom w:val="single" w:sz="12" w:space="0" w:color="auto"/>
            </w:tcBorders>
            <w:vAlign w:val="bottom"/>
          </w:tcPr>
          <w:p w:rsidR="00923266" w:rsidRPr="00923266" w:rsidRDefault="00923266" w:rsidP="00923266">
            <w:pPr>
              <w:jc w:val="center"/>
              <w:rPr>
                <w:shadow w:val="0"/>
              </w:rPr>
            </w:pPr>
            <w:r w:rsidRPr="00923266">
              <w:rPr>
                <w:shadow w:val="0"/>
              </w:rPr>
              <w:t>$80,520,336</w:t>
            </w:r>
          </w:p>
        </w:tc>
        <w:tc>
          <w:tcPr>
            <w:tcW w:w="1530" w:type="dxa"/>
            <w:tcBorders>
              <w:bottom w:val="single" w:sz="12" w:space="0" w:color="auto"/>
            </w:tcBorders>
            <w:vAlign w:val="bottom"/>
          </w:tcPr>
          <w:p w:rsidR="00923266" w:rsidRPr="00923266" w:rsidRDefault="00923266" w:rsidP="00923266">
            <w:pPr>
              <w:jc w:val="center"/>
              <w:rPr>
                <w:shadow w:val="0"/>
              </w:rPr>
            </w:pPr>
            <w:r w:rsidRPr="00923266">
              <w:rPr>
                <w:shadow w:val="0"/>
              </w:rPr>
              <w:t>$91,964,625</w:t>
            </w:r>
          </w:p>
        </w:tc>
        <w:tc>
          <w:tcPr>
            <w:tcW w:w="1530" w:type="dxa"/>
            <w:tcBorders>
              <w:bottom w:val="single" w:sz="12" w:space="0" w:color="auto"/>
            </w:tcBorders>
            <w:vAlign w:val="bottom"/>
          </w:tcPr>
          <w:p w:rsidR="00923266" w:rsidRPr="00923266" w:rsidRDefault="00923266" w:rsidP="00923266">
            <w:pPr>
              <w:jc w:val="center"/>
              <w:rPr>
                <w:shadow w:val="0"/>
              </w:rPr>
            </w:pPr>
            <w:r w:rsidRPr="00923266">
              <w:rPr>
                <w:shadow w:val="0"/>
              </w:rPr>
              <w:t>$81,081,400</w:t>
            </w:r>
          </w:p>
        </w:tc>
        <w:tc>
          <w:tcPr>
            <w:tcW w:w="1530" w:type="dxa"/>
            <w:tcBorders>
              <w:bottom w:val="single" w:sz="12" w:space="0" w:color="auto"/>
            </w:tcBorders>
            <w:vAlign w:val="bottom"/>
          </w:tcPr>
          <w:p w:rsidR="00923266" w:rsidRPr="00923266" w:rsidRDefault="00923266" w:rsidP="00923266">
            <w:pPr>
              <w:jc w:val="center"/>
              <w:rPr>
                <w:shadow w:val="0"/>
                <w:color w:val="0000FF"/>
              </w:rPr>
            </w:pPr>
            <w:r w:rsidRPr="00923266">
              <w:rPr>
                <w:shadow w:val="0"/>
                <w:color w:val="0000FF"/>
              </w:rPr>
              <w:t>$97,942,920</w:t>
            </w:r>
          </w:p>
        </w:tc>
      </w:tr>
      <w:tr w:rsidR="00923266">
        <w:tblPrEx>
          <w:tblCellMar>
            <w:top w:w="0" w:type="dxa"/>
            <w:bottom w:w="0" w:type="dxa"/>
          </w:tblCellMar>
        </w:tblPrEx>
        <w:trPr>
          <w:trHeight w:val="197"/>
        </w:trPr>
        <w:tc>
          <w:tcPr>
            <w:tcW w:w="3600" w:type="dxa"/>
            <w:tcBorders>
              <w:bottom w:val="single" w:sz="12" w:space="0" w:color="auto"/>
            </w:tcBorders>
          </w:tcPr>
          <w:p w:rsidR="00923266" w:rsidRDefault="00923266" w:rsidP="002A308E">
            <w:pPr>
              <w:rPr>
                <w:rFonts w:ascii="Times New Roman" w:hAnsi="Times New Roman"/>
                <w:i/>
                <w:shadow w:val="0"/>
                <w:snapToGrid w:val="0"/>
                <w:color w:val="000000"/>
                <w:sz w:val="22"/>
              </w:rPr>
            </w:pPr>
            <w:r>
              <w:rPr>
                <w:rFonts w:ascii="Times New Roman" w:hAnsi="Times New Roman"/>
                <w:i/>
                <w:shadow w:val="0"/>
                <w:snapToGrid w:val="0"/>
                <w:color w:val="000000"/>
                <w:sz w:val="22"/>
              </w:rPr>
              <w:t xml:space="preserve"> Percentage Change</w:t>
            </w:r>
          </w:p>
        </w:tc>
        <w:tc>
          <w:tcPr>
            <w:tcW w:w="1530" w:type="dxa"/>
            <w:tcBorders>
              <w:bottom w:val="single" w:sz="12" w:space="0" w:color="auto"/>
            </w:tcBorders>
            <w:vAlign w:val="bottom"/>
          </w:tcPr>
          <w:p w:rsidR="00923266" w:rsidRPr="00923266" w:rsidRDefault="00923266" w:rsidP="00923266">
            <w:pPr>
              <w:jc w:val="center"/>
              <w:rPr>
                <w:shadow w:val="0"/>
              </w:rPr>
            </w:pPr>
            <w:r w:rsidRPr="00923266">
              <w:rPr>
                <w:shadow w:val="0"/>
              </w:rPr>
              <w:t>0.00%</w:t>
            </w:r>
          </w:p>
        </w:tc>
        <w:tc>
          <w:tcPr>
            <w:tcW w:w="1530" w:type="dxa"/>
            <w:tcBorders>
              <w:bottom w:val="single" w:sz="12" w:space="0" w:color="auto"/>
            </w:tcBorders>
            <w:vAlign w:val="bottom"/>
          </w:tcPr>
          <w:p w:rsidR="00923266" w:rsidRPr="00923266" w:rsidRDefault="00923266" w:rsidP="00923266">
            <w:pPr>
              <w:jc w:val="center"/>
              <w:rPr>
                <w:shadow w:val="0"/>
              </w:rPr>
            </w:pPr>
            <w:r w:rsidRPr="00923266">
              <w:rPr>
                <w:shadow w:val="0"/>
              </w:rPr>
              <w:t>14.21%</w:t>
            </w:r>
          </w:p>
        </w:tc>
        <w:tc>
          <w:tcPr>
            <w:tcW w:w="1530" w:type="dxa"/>
            <w:tcBorders>
              <w:bottom w:val="single" w:sz="12" w:space="0" w:color="auto"/>
            </w:tcBorders>
            <w:vAlign w:val="bottom"/>
          </w:tcPr>
          <w:p w:rsidR="00923266" w:rsidRPr="00923266" w:rsidRDefault="00923266" w:rsidP="00923266">
            <w:pPr>
              <w:jc w:val="center"/>
              <w:rPr>
                <w:shadow w:val="0"/>
              </w:rPr>
            </w:pPr>
            <w:r w:rsidRPr="00923266">
              <w:rPr>
                <w:shadow w:val="0"/>
              </w:rPr>
              <w:t>-11.83%</w:t>
            </w:r>
          </w:p>
        </w:tc>
        <w:tc>
          <w:tcPr>
            <w:tcW w:w="1530" w:type="dxa"/>
            <w:tcBorders>
              <w:bottom w:val="single" w:sz="12" w:space="0" w:color="auto"/>
            </w:tcBorders>
            <w:vAlign w:val="bottom"/>
          </w:tcPr>
          <w:p w:rsidR="00923266" w:rsidRPr="00923266" w:rsidRDefault="00923266" w:rsidP="00923266">
            <w:pPr>
              <w:jc w:val="center"/>
              <w:rPr>
                <w:shadow w:val="0"/>
                <w:color w:val="0000FF"/>
              </w:rPr>
            </w:pPr>
            <w:r w:rsidRPr="00923266">
              <w:rPr>
                <w:shadow w:val="0"/>
                <w:color w:val="0000FF"/>
              </w:rPr>
              <w:t>20.80%</w:t>
            </w:r>
          </w:p>
        </w:tc>
      </w:tr>
      <w:tr w:rsidR="00923266">
        <w:tblPrEx>
          <w:tblCellMar>
            <w:top w:w="0" w:type="dxa"/>
            <w:bottom w:w="0" w:type="dxa"/>
          </w:tblCellMar>
        </w:tblPrEx>
        <w:trPr>
          <w:trHeight w:val="187"/>
        </w:trPr>
        <w:tc>
          <w:tcPr>
            <w:tcW w:w="3600" w:type="dxa"/>
            <w:tcBorders>
              <w:top w:val="single" w:sz="12" w:space="0" w:color="auto"/>
              <w:bottom w:val="single" w:sz="6" w:space="0" w:color="auto"/>
            </w:tcBorders>
          </w:tcPr>
          <w:p w:rsidR="00923266" w:rsidRDefault="00923266">
            <w:pPr>
              <w:rPr>
                <w:rFonts w:ascii="Times New Roman" w:hAnsi="Times New Roman"/>
                <w:shadow w:val="0"/>
                <w:snapToGrid w:val="0"/>
                <w:color w:val="000000"/>
                <w:sz w:val="22"/>
              </w:rPr>
            </w:pPr>
            <w:r>
              <w:rPr>
                <w:rFonts w:ascii="Times New Roman" w:hAnsi="Times New Roman"/>
                <w:shadow w:val="0"/>
                <w:snapToGrid w:val="0"/>
                <w:color w:val="000000"/>
                <w:sz w:val="22"/>
              </w:rPr>
              <w:t>Motor Vehicle</w:t>
            </w:r>
          </w:p>
        </w:tc>
        <w:tc>
          <w:tcPr>
            <w:tcW w:w="1530" w:type="dxa"/>
            <w:tcBorders>
              <w:top w:val="single" w:sz="12" w:space="0" w:color="auto"/>
              <w:bottom w:val="single" w:sz="6" w:space="0" w:color="auto"/>
            </w:tcBorders>
            <w:vAlign w:val="bottom"/>
          </w:tcPr>
          <w:p w:rsidR="00923266" w:rsidRPr="00923266" w:rsidRDefault="00923266" w:rsidP="00923266">
            <w:pPr>
              <w:jc w:val="center"/>
              <w:rPr>
                <w:shadow w:val="0"/>
              </w:rPr>
            </w:pPr>
            <w:r w:rsidRPr="00923266">
              <w:rPr>
                <w:shadow w:val="0"/>
              </w:rPr>
              <w:t>$281,230,067</w:t>
            </w:r>
          </w:p>
        </w:tc>
        <w:tc>
          <w:tcPr>
            <w:tcW w:w="1530" w:type="dxa"/>
            <w:tcBorders>
              <w:top w:val="single" w:sz="12" w:space="0" w:color="auto"/>
              <w:bottom w:val="single" w:sz="6" w:space="0" w:color="auto"/>
            </w:tcBorders>
            <w:vAlign w:val="bottom"/>
          </w:tcPr>
          <w:p w:rsidR="00923266" w:rsidRPr="00923266" w:rsidRDefault="00923266" w:rsidP="00923266">
            <w:pPr>
              <w:jc w:val="center"/>
              <w:rPr>
                <w:shadow w:val="0"/>
              </w:rPr>
            </w:pPr>
            <w:r w:rsidRPr="00923266">
              <w:rPr>
                <w:shadow w:val="0"/>
              </w:rPr>
              <w:t>$294,392,415</w:t>
            </w:r>
          </w:p>
        </w:tc>
        <w:tc>
          <w:tcPr>
            <w:tcW w:w="1530" w:type="dxa"/>
            <w:tcBorders>
              <w:top w:val="single" w:sz="12" w:space="0" w:color="auto"/>
              <w:bottom w:val="single" w:sz="6" w:space="0" w:color="auto"/>
            </w:tcBorders>
            <w:vAlign w:val="bottom"/>
          </w:tcPr>
          <w:p w:rsidR="00923266" w:rsidRPr="00923266" w:rsidRDefault="00923266" w:rsidP="00923266">
            <w:pPr>
              <w:jc w:val="center"/>
              <w:rPr>
                <w:shadow w:val="0"/>
              </w:rPr>
            </w:pPr>
            <w:r w:rsidRPr="00923266">
              <w:rPr>
                <w:shadow w:val="0"/>
              </w:rPr>
              <w:t>$297,532,456</w:t>
            </w:r>
          </w:p>
        </w:tc>
        <w:tc>
          <w:tcPr>
            <w:tcW w:w="1530" w:type="dxa"/>
            <w:tcBorders>
              <w:top w:val="single" w:sz="12" w:space="0" w:color="auto"/>
              <w:bottom w:val="single" w:sz="6" w:space="0" w:color="auto"/>
            </w:tcBorders>
            <w:vAlign w:val="bottom"/>
          </w:tcPr>
          <w:p w:rsidR="00923266" w:rsidRPr="00923266" w:rsidRDefault="00923266" w:rsidP="00923266">
            <w:pPr>
              <w:jc w:val="center"/>
              <w:rPr>
                <w:shadow w:val="0"/>
                <w:color w:val="0000FF"/>
              </w:rPr>
            </w:pPr>
            <w:r w:rsidRPr="00923266">
              <w:rPr>
                <w:shadow w:val="0"/>
                <w:color w:val="0000FF"/>
              </w:rPr>
              <w:t>$309,314,080</w:t>
            </w:r>
          </w:p>
        </w:tc>
      </w:tr>
      <w:tr w:rsidR="00923266">
        <w:tblPrEx>
          <w:tblCellMar>
            <w:top w:w="0" w:type="dxa"/>
            <w:bottom w:w="0" w:type="dxa"/>
          </w:tblCellMar>
        </w:tblPrEx>
        <w:trPr>
          <w:trHeight w:val="197"/>
        </w:trPr>
        <w:tc>
          <w:tcPr>
            <w:tcW w:w="3600" w:type="dxa"/>
            <w:tcBorders>
              <w:top w:val="single" w:sz="6" w:space="0" w:color="auto"/>
              <w:bottom w:val="double" w:sz="6" w:space="0" w:color="auto"/>
            </w:tcBorders>
          </w:tcPr>
          <w:p w:rsidR="00923266" w:rsidRDefault="00923266">
            <w:pPr>
              <w:rPr>
                <w:rFonts w:ascii="Times New Roman" w:hAnsi="Times New Roman"/>
                <w:i/>
                <w:shadow w:val="0"/>
                <w:snapToGrid w:val="0"/>
                <w:color w:val="000000"/>
                <w:sz w:val="22"/>
              </w:rPr>
            </w:pPr>
            <w:r>
              <w:rPr>
                <w:rFonts w:ascii="Times New Roman" w:hAnsi="Times New Roman"/>
                <w:i/>
                <w:shadow w:val="0"/>
                <w:snapToGrid w:val="0"/>
                <w:color w:val="000000"/>
                <w:sz w:val="22"/>
              </w:rPr>
              <w:t xml:space="preserve"> Percentage Change</w:t>
            </w:r>
          </w:p>
        </w:tc>
        <w:tc>
          <w:tcPr>
            <w:tcW w:w="1530" w:type="dxa"/>
            <w:tcBorders>
              <w:top w:val="single" w:sz="6" w:space="0" w:color="auto"/>
              <w:bottom w:val="double" w:sz="6" w:space="0" w:color="auto"/>
            </w:tcBorders>
            <w:vAlign w:val="bottom"/>
          </w:tcPr>
          <w:p w:rsidR="00923266" w:rsidRPr="00923266" w:rsidRDefault="00923266" w:rsidP="00923266">
            <w:pPr>
              <w:jc w:val="center"/>
              <w:rPr>
                <w:shadow w:val="0"/>
              </w:rPr>
            </w:pPr>
            <w:r w:rsidRPr="00923266">
              <w:rPr>
                <w:shadow w:val="0"/>
              </w:rPr>
              <w:t>10.92%</w:t>
            </w:r>
          </w:p>
        </w:tc>
        <w:tc>
          <w:tcPr>
            <w:tcW w:w="1530" w:type="dxa"/>
            <w:tcBorders>
              <w:top w:val="single" w:sz="6" w:space="0" w:color="auto"/>
              <w:bottom w:val="double" w:sz="6" w:space="0" w:color="auto"/>
            </w:tcBorders>
            <w:vAlign w:val="bottom"/>
          </w:tcPr>
          <w:p w:rsidR="00923266" w:rsidRPr="00923266" w:rsidRDefault="00923266" w:rsidP="00923266">
            <w:pPr>
              <w:jc w:val="center"/>
              <w:rPr>
                <w:shadow w:val="0"/>
              </w:rPr>
            </w:pPr>
            <w:r w:rsidRPr="00923266">
              <w:rPr>
                <w:shadow w:val="0"/>
              </w:rPr>
              <w:t>4.68%</w:t>
            </w:r>
          </w:p>
        </w:tc>
        <w:tc>
          <w:tcPr>
            <w:tcW w:w="1530" w:type="dxa"/>
            <w:tcBorders>
              <w:top w:val="single" w:sz="6" w:space="0" w:color="auto"/>
              <w:bottom w:val="double" w:sz="6" w:space="0" w:color="auto"/>
            </w:tcBorders>
            <w:vAlign w:val="bottom"/>
          </w:tcPr>
          <w:p w:rsidR="00923266" w:rsidRPr="00923266" w:rsidRDefault="00923266" w:rsidP="00923266">
            <w:pPr>
              <w:jc w:val="center"/>
              <w:rPr>
                <w:shadow w:val="0"/>
              </w:rPr>
            </w:pPr>
            <w:r w:rsidRPr="00923266">
              <w:rPr>
                <w:shadow w:val="0"/>
              </w:rPr>
              <w:t>1.07%</w:t>
            </w:r>
          </w:p>
        </w:tc>
        <w:tc>
          <w:tcPr>
            <w:tcW w:w="1530" w:type="dxa"/>
            <w:tcBorders>
              <w:top w:val="single" w:sz="6" w:space="0" w:color="auto"/>
              <w:bottom w:val="double" w:sz="6" w:space="0" w:color="auto"/>
            </w:tcBorders>
            <w:vAlign w:val="bottom"/>
          </w:tcPr>
          <w:p w:rsidR="00923266" w:rsidRPr="00923266" w:rsidRDefault="00923266" w:rsidP="00923266">
            <w:pPr>
              <w:jc w:val="center"/>
              <w:rPr>
                <w:shadow w:val="0"/>
                <w:color w:val="0000FF"/>
              </w:rPr>
            </w:pPr>
            <w:r w:rsidRPr="00923266">
              <w:rPr>
                <w:shadow w:val="0"/>
                <w:color w:val="0000FF"/>
              </w:rPr>
              <w:t>3.96%</w:t>
            </w:r>
          </w:p>
        </w:tc>
      </w:tr>
      <w:tr w:rsidR="00923266">
        <w:tblPrEx>
          <w:tblCellMar>
            <w:top w:w="0" w:type="dxa"/>
            <w:bottom w:w="0" w:type="dxa"/>
          </w:tblCellMar>
        </w:tblPrEx>
        <w:trPr>
          <w:trHeight w:val="197"/>
        </w:trPr>
        <w:tc>
          <w:tcPr>
            <w:tcW w:w="3600" w:type="dxa"/>
            <w:tcBorders>
              <w:top w:val="double" w:sz="6" w:space="0" w:color="auto"/>
              <w:bottom w:val="single" w:sz="6" w:space="0" w:color="auto"/>
            </w:tcBorders>
            <w:shd w:val="clear" w:color="auto" w:fill="F3F3F3"/>
          </w:tcPr>
          <w:p w:rsidR="00923266" w:rsidRDefault="00923266">
            <w:pPr>
              <w:rPr>
                <w:rFonts w:ascii="Times New Roman" w:hAnsi="Times New Roman"/>
                <w:b/>
                <w:shadow w:val="0"/>
                <w:snapToGrid w:val="0"/>
                <w:color w:val="000000"/>
                <w:sz w:val="22"/>
              </w:rPr>
            </w:pPr>
            <w:r>
              <w:rPr>
                <w:rFonts w:ascii="Times New Roman" w:hAnsi="Times New Roman"/>
                <w:b/>
                <w:shadow w:val="0"/>
                <w:snapToGrid w:val="0"/>
                <w:color w:val="000000"/>
                <w:sz w:val="22"/>
              </w:rPr>
              <w:t>Grand Total</w:t>
            </w:r>
          </w:p>
        </w:tc>
        <w:tc>
          <w:tcPr>
            <w:tcW w:w="1530" w:type="dxa"/>
            <w:tcBorders>
              <w:top w:val="double" w:sz="6" w:space="0" w:color="auto"/>
              <w:bottom w:val="single" w:sz="6" w:space="0" w:color="auto"/>
            </w:tcBorders>
            <w:shd w:val="clear" w:color="auto" w:fill="F3F3F3"/>
            <w:vAlign w:val="bottom"/>
          </w:tcPr>
          <w:p w:rsidR="00923266" w:rsidRPr="00923266" w:rsidRDefault="00923266" w:rsidP="00923266">
            <w:pPr>
              <w:jc w:val="center"/>
              <w:rPr>
                <w:b/>
                <w:shadow w:val="0"/>
              </w:rPr>
            </w:pPr>
            <w:r w:rsidRPr="00923266">
              <w:rPr>
                <w:b/>
                <w:shadow w:val="0"/>
              </w:rPr>
              <w:t>$2,743,669,217</w:t>
            </w:r>
          </w:p>
        </w:tc>
        <w:tc>
          <w:tcPr>
            <w:tcW w:w="1530" w:type="dxa"/>
            <w:tcBorders>
              <w:top w:val="double" w:sz="6" w:space="0" w:color="auto"/>
              <w:bottom w:val="single" w:sz="6" w:space="0" w:color="auto"/>
            </w:tcBorders>
            <w:shd w:val="clear" w:color="auto" w:fill="F3F3F3"/>
            <w:vAlign w:val="bottom"/>
          </w:tcPr>
          <w:p w:rsidR="00923266" w:rsidRPr="00923266" w:rsidRDefault="00923266" w:rsidP="00923266">
            <w:pPr>
              <w:jc w:val="center"/>
              <w:rPr>
                <w:b/>
                <w:shadow w:val="0"/>
              </w:rPr>
            </w:pPr>
            <w:r w:rsidRPr="00923266">
              <w:rPr>
                <w:b/>
                <w:shadow w:val="0"/>
              </w:rPr>
              <w:t>$2,898,792,624</w:t>
            </w:r>
          </w:p>
        </w:tc>
        <w:tc>
          <w:tcPr>
            <w:tcW w:w="1530" w:type="dxa"/>
            <w:tcBorders>
              <w:top w:val="double" w:sz="6" w:space="0" w:color="auto"/>
              <w:bottom w:val="single" w:sz="6" w:space="0" w:color="auto"/>
            </w:tcBorders>
            <w:shd w:val="clear" w:color="auto" w:fill="F3F3F3"/>
            <w:vAlign w:val="bottom"/>
          </w:tcPr>
          <w:p w:rsidR="00923266" w:rsidRPr="00923266" w:rsidRDefault="00923266" w:rsidP="00923266">
            <w:pPr>
              <w:jc w:val="center"/>
              <w:rPr>
                <w:b/>
                <w:shadow w:val="0"/>
              </w:rPr>
            </w:pPr>
            <w:r w:rsidRPr="00923266">
              <w:rPr>
                <w:b/>
                <w:shadow w:val="0"/>
              </w:rPr>
              <w:t>$3,036,365,811</w:t>
            </w:r>
          </w:p>
        </w:tc>
        <w:tc>
          <w:tcPr>
            <w:tcW w:w="1530" w:type="dxa"/>
            <w:tcBorders>
              <w:top w:val="double" w:sz="6" w:space="0" w:color="auto"/>
              <w:bottom w:val="single" w:sz="6" w:space="0" w:color="auto"/>
            </w:tcBorders>
            <w:shd w:val="clear" w:color="auto" w:fill="F3F3F3"/>
            <w:vAlign w:val="bottom"/>
          </w:tcPr>
          <w:p w:rsidR="00923266" w:rsidRPr="00923266" w:rsidRDefault="00923266" w:rsidP="00923266">
            <w:pPr>
              <w:jc w:val="center"/>
              <w:rPr>
                <w:b/>
                <w:shadow w:val="0"/>
                <w:color w:val="0000FF"/>
              </w:rPr>
            </w:pPr>
            <w:r w:rsidRPr="00923266">
              <w:rPr>
                <w:b/>
                <w:shadow w:val="0"/>
                <w:color w:val="0000FF"/>
              </w:rPr>
              <w:t>$3,170,851,768</w:t>
            </w:r>
          </w:p>
        </w:tc>
      </w:tr>
      <w:tr w:rsidR="00923266">
        <w:tblPrEx>
          <w:tblCellMar>
            <w:top w:w="0" w:type="dxa"/>
            <w:bottom w:w="0" w:type="dxa"/>
          </w:tblCellMar>
        </w:tblPrEx>
        <w:trPr>
          <w:trHeight w:val="197"/>
        </w:trPr>
        <w:tc>
          <w:tcPr>
            <w:tcW w:w="3600" w:type="dxa"/>
            <w:tcBorders>
              <w:bottom w:val="single" w:sz="12" w:space="0" w:color="auto"/>
            </w:tcBorders>
          </w:tcPr>
          <w:p w:rsidR="00923266" w:rsidRDefault="00923266">
            <w:pPr>
              <w:rPr>
                <w:rFonts w:ascii="Times New Roman" w:hAnsi="Times New Roman"/>
                <w:i/>
                <w:shadow w:val="0"/>
                <w:snapToGrid w:val="0"/>
                <w:color w:val="000000"/>
                <w:sz w:val="22"/>
              </w:rPr>
            </w:pPr>
            <w:r>
              <w:rPr>
                <w:rFonts w:ascii="Times New Roman" w:hAnsi="Times New Roman"/>
                <w:i/>
                <w:shadow w:val="0"/>
                <w:snapToGrid w:val="0"/>
                <w:color w:val="000000"/>
                <w:sz w:val="22"/>
              </w:rPr>
              <w:t xml:space="preserve"> Percentage Change</w:t>
            </w:r>
          </w:p>
        </w:tc>
        <w:tc>
          <w:tcPr>
            <w:tcW w:w="1530" w:type="dxa"/>
            <w:tcBorders>
              <w:bottom w:val="single" w:sz="12" w:space="0" w:color="auto"/>
            </w:tcBorders>
            <w:vAlign w:val="bottom"/>
          </w:tcPr>
          <w:p w:rsidR="00923266" w:rsidRPr="00923266" w:rsidRDefault="00923266" w:rsidP="00923266">
            <w:pPr>
              <w:jc w:val="center"/>
              <w:rPr>
                <w:shadow w:val="0"/>
              </w:rPr>
            </w:pPr>
            <w:r w:rsidRPr="00923266">
              <w:rPr>
                <w:shadow w:val="0"/>
              </w:rPr>
              <w:t>4.50%</w:t>
            </w:r>
          </w:p>
        </w:tc>
        <w:tc>
          <w:tcPr>
            <w:tcW w:w="1530" w:type="dxa"/>
            <w:tcBorders>
              <w:bottom w:val="single" w:sz="12" w:space="0" w:color="auto"/>
            </w:tcBorders>
            <w:vAlign w:val="bottom"/>
          </w:tcPr>
          <w:p w:rsidR="00923266" w:rsidRPr="00923266" w:rsidRDefault="00923266" w:rsidP="00923266">
            <w:pPr>
              <w:jc w:val="center"/>
              <w:rPr>
                <w:shadow w:val="0"/>
              </w:rPr>
            </w:pPr>
            <w:r w:rsidRPr="00923266">
              <w:rPr>
                <w:shadow w:val="0"/>
              </w:rPr>
              <w:t>5.65%</w:t>
            </w:r>
          </w:p>
        </w:tc>
        <w:tc>
          <w:tcPr>
            <w:tcW w:w="1530" w:type="dxa"/>
            <w:tcBorders>
              <w:bottom w:val="single" w:sz="12" w:space="0" w:color="auto"/>
            </w:tcBorders>
            <w:vAlign w:val="bottom"/>
          </w:tcPr>
          <w:p w:rsidR="00923266" w:rsidRPr="00923266" w:rsidRDefault="00923266" w:rsidP="00923266">
            <w:pPr>
              <w:jc w:val="center"/>
              <w:rPr>
                <w:shadow w:val="0"/>
              </w:rPr>
            </w:pPr>
            <w:r w:rsidRPr="00923266">
              <w:rPr>
                <w:shadow w:val="0"/>
              </w:rPr>
              <w:t>4.75%</w:t>
            </w:r>
          </w:p>
        </w:tc>
        <w:tc>
          <w:tcPr>
            <w:tcW w:w="1530" w:type="dxa"/>
            <w:tcBorders>
              <w:bottom w:val="single" w:sz="12" w:space="0" w:color="auto"/>
            </w:tcBorders>
            <w:vAlign w:val="bottom"/>
          </w:tcPr>
          <w:p w:rsidR="00923266" w:rsidRPr="00923266" w:rsidRDefault="00923266" w:rsidP="00923266">
            <w:pPr>
              <w:jc w:val="center"/>
              <w:rPr>
                <w:shadow w:val="0"/>
                <w:color w:val="0000FF"/>
              </w:rPr>
            </w:pPr>
            <w:r w:rsidRPr="00923266">
              <w:rPr>
                <w:shadow w:val="0"/>
                <w:color w:val="0000FF"/>
              </w:rPr>
              <w:t>4.43%</w:t>
            </w:r>
          </w:p>
        </w:tc>
      </w:tr>
      <w:tr w:rsidR="00923266">
        <w:tblPrEx>
          <w:tblCellMar>
            <w:top w:w="0" w:type="dxa"/>
            <w:bottom w:w="0" w:type="dxa"/>
          </w:tblCellMar>
        </w:tblPrEx>
        <w:trPr>
          <w:trHeight w:val="187"/>
        </w:trPr>
        <w:tc>
          <w:tcPr>
            <w:tcW w:w="3600" w:type="dxa"/>
            <w:tcBorders>
              <w:bottom w:val="single" w:sz="6" w:space="0" w:color="auto"/>
            </w:tcBorders>
          </w:tcPr>
          <w:p w:rsidR="00923266" w:rsidRDefault="00923266">
            <w:pPr>
              <w:rPr>
                <w:rFonts w:ascii="Times New Roman" w:hAnsi="Times New Roman"/>
                <w:shadow w:val="0"/>
                <w:snapToGrid w:val="0"/>
                <w:color w:val="000000"/>
                <w:sz w:val="22"/>
              </w:rPr>
            </w:pPr>
            <w:r>
              <w:rPr>
                <w:rFonts w:ascii="Times New Roman" w:hAnsi="Times New Roman"/>
                <w:shadow w:val="0"/>
                <w:snapToGrid w:val="0"/>
                <w:color w:val="000000"/>
                <w:sz w:val="22"/>
              </w:rPr>
              <w:t xml:space="preserve"> Less Motor Vehicles</w:t>
            </w:r>
          </w:p>
        </w:tc>
        <w:tc>
          <w:tcPr>
            <w:tcW w:w="1530" w:type="dxa"/>
            <w:tcBorders>
              <w:bottom w:val="single" w:sz="6" w:space="0" w:color="auto"/>
            </w:tcBorders>
            <w:vAlign w:val="bottom"/>
          </w:tcPr>
          <w:p w:rsidR="00923266" w:rsidRPr="00923266" w:rsidRDefault="00923266" w:rsidP="00923266">
            <w:pPr>
              <w:jc w:val="center"/>
              <w:rPr>
                <w:shadow w:val="0"/>
              </w:rPr>
            </w:pPr>
            <w:r w:rsidRPr="00923266">
              <w:rPr>
                <w:shadow w:val="0"/>
              </w:rPr>
              <w:t>$2,462,439,150</w:t>
            </w:r>
          </w:p>
        </w:tc>
        <w:tc>
          <w:tcPr>
            <w:tcW w:w="1530" w:type="dxa"/>
            <w:tcBorders>
              <w:bottom w:val="single" w:sz="6" w:space="0" w:color="auto"/>
            </w:tcBorders>
            <w:vAlign w:val="bottom"/>
          </w:tcPr>
          <w:p w:rsidR="00923266" w:rsidRPr="00923266" w:rsidRDefault="00923266" w:rsidP="00923266">
            <w:pPr>
              <w:jc w:val="center"/>
              <w:rPr>
                <w:shadow w:val="0"/>
              </w:rPr>
            </w:pPr>
            <w:r w:rsidRPr="00923266">
              <w:rPr>
                <w:shadow w:val="0"/>
              </w:rPr>
              <w:t>$2,604,400,209</w:t>
            </w:r>
          </w:p>
        </w:tc>
        <w:tc>
          <w:tcPr>
            <w:tcW w:w="1530" w:type="dxa"/>
            <w:tcBorders>
              <w:bottom w:val="single" w:sz="6" w:space="0" w:color="auto"/>
            </w:tcBorders>
            <w:vAlign w:val="bottom"/>
          </w:tcPr>
          <w:p w:rsidR="00923266" w:rsidRPr="00923266" w:rsidRDefault="00923266" w:rsidP="00923266">
            <w:pPr>
              <w:jc w:val="center"/>
              <w:rPr>
                <w:shadow w:val="0"/>
              </w:rPr>
            </w:pPr>
            <w:r w:rsidRPr="00923266">
              <w:rPr>
                <w:shadow w:val="0"/>
              </w:rPr>
              <w:t>$2,738,833,355</w:t>
            </w:r>
          </w:p>
        </w:tc>
        <w:tc>
          <w:tcPr>
            <w:tcW w:w="1530" w:type="dxa"/>
            <w:tcBorders>
              <w:bottom w:val="single" w:sz="6" w:space="0" w:color="auto"/>
            </w:tcBorders>
            <w:vAlign w:val="bottom"/>
          </w:tcPr>
          <w:p w:rsidR="00923266" w:rsidRPr="00923266" w:rsidRDefault="00923266" w:rsidP="00923266">
            <w:pPr>
              <w:jc w:val="center"/>
              <w:rPr>
                <w:shadow w:val="0"/>
                <w:color w:val="0000FF"/>
              </w:rPr>
            </w:pPr>
            <w:r w:rsidRPr="00923266">
              <w:rPr>
                <w:shadow w:val="0"/>
                <w:color w:val="0000FF"/>
              </w:rPr>
              <w:t>$2,861,537,688</w:t>
            </w:r>
          </w:p>
        </w:tc>
      </w:tr>
      <w:tr w:rsidR="00923266">
        <w:tblPrEx>
          <w:tblCellMar>
            <w:top w:w="0" w:type="dxa"/>
            <w:bottom w:w="0" w:type="dxa"/>
          </w:tblCellMar>
        </w:tblPrEx>
        <w:trPr>
          <w:trHeight w:val="197"/>
        </w:trPr>
        <w:tc>
          <w:tcPr>
            <w:tcW w:w="3600" w:type="dxa"/>
            <w:tcBorders>
              <w:bottom w:val="single" w:sz="12" w:space="0" w:color="auto"/>
            </w:tcBorders>
          </w:tcPr>
          <w:p w:rsidR="00923266" w:rsidRDefault="00923266">
            <w:pPr>
              <w:rPr>
                <w:rFonts w:ascii="Times New Roman" w:hAnsi="Times New Roman"/>
                <w:i/>
                <w:shadow w:val="0"/>
                <w:snapToGrid w:val="0"/>
                <w:color w:val="000000"/>
                <w:sz w:val="22"/>
              </w:rPr>
            </w:pPr>
            <w:r>
              <w:rPr>
                <w:rFonts w:ascii="Times New Roman" w:hAnsi="Times New Roman"/>
                <w:i/>
                <w:shadow w:val="0"/>
                <w:snapToGrid w:val="0"/>
                <w:color w:val="000000"/>
                <w:sz w:val="22"/>
              </w:rPr>
              <w:t xml:space="preserve"> Percentage Change</w:t>
            </w:r>
          </w:p>
        </w:tc>
        <w:tc>
          <w:tcPr>
            <w:tcW w:w="1530" w:type="dxa"/>
            <w:tcBorders>
              <w:bottom w:val="single" w:sz="12" w:space="0" w:color="auto"/>
            </w:tcBorders>
            <w:vAlign w:val="bottom"/>
          </w:tcPr>
          <w:p w:rsidR="00923266" w:rsidRPr="00923266" w:rsidRDefault="00923266" w:rsidP="00923266">
            <w:pPr>
              <w:jc w:val="center"/>
              <w:rPr>
                <w:shadow w:val="0"/>
              </w:rPr>
            </w:pPr>
            <w:r w:rsidRPr="00923266">
              <w:rPr>
                <w:shadow w:val="0"/>
              </w:rPr>
              <w:t>3.81%</w:t>
            </w:r>
          </w:p>
        </w:tc>
        <w:tc>
          <w:tcPr>
            <w:tcW w:w="1530" w:type="dxa"/>
            <w:tcBorders>
              <w:bottom w:val="single" w:sz="12" w:space="0" w:color="auto"/>
            </w:tcBorders>
            <w:vAlign w:val="bottom"/>
          </w:tcPr>
          <w:p w:rsidR="00923266" w:rsidRPr="00923266" w:rsidRDefault="00923266" w:rsidP="00923266">
            <w:pPr>
              <w:jc w:val="center"/>
              <w:rPr>
                <w:shadow w:val="0"/>
              </w:rPr>
            </w:pPr>
            <w:r w:rsidRPr="00923266">
              <w:rPr>
                <w:shadow w:val="0"/>
              </w:rPr>
              <w:t>9.34%</w:t>
            </w:r>
          </w:p>
        </w:tc>
        <w:tc>
          <w:tcPr>
            <w:tcW w:w="1530" w:type="dxa"/>
            <w:tcBorders>
              <w:bottom w:val="single" w:sz="12" w:space="0" w:color="auto"/>
            </w:tcBorders>
            <w:vAlign w:val="bottom"/>
          </w:tcPr>
          <w:p w:rsidR="00923266" w:rsidRPr="00923266" w:rsidRDefault="00923266" w:rsidP="00923266">
            <w:pPr>
              <w:jc w:val="center"/>
              <w:rPr>
                <w:shadow w:val="0"/>
              </w:rPr>
            </w:pPr>
            <w:r w:rsidRPr="00923266">
              <w:rPr>
                <w:shadow w:val="0"/>
              </w:rPr>
              <w:t>5.16%</w:t>
            </w:r>
          </w:p>
        </w:tc>
        <w:tc>
          <w:tcPr>
            <w:tcW w:w="1530" w:type="dxa"/>
            <w:tcBorders>
              <w:bottom w:val="single" w:sz="12" w:space="0" w:color="auto"/>
            </w:tcBorders>
            <w:vAlign w:val="bottom"/>
          </w:tcPr>
          <w:p w:rsidR="00923266" w:rsidRPr="00923266" w:rsidRDefault="00923266" w:rsidP="00923266">
            <w:pPr>
              <w:jc w:val="center"/>
              <w:rPr>
                <w:shadow w:val="0"/>
                <w:color w:val="0000FF"/>
              </w:rPr>
            </w:pPr>
            <w:r w:rsidRPr="00923266">
              <w:rPr>
                <w:shadow w:val="0"/>
                <w:color w:val="0000FF"/>
              </w:rPr>
              <w:t>4.48%</w:t>
            </w:r>
          </w:p>
        </w:tc>
      </w:tr>
    </w:tbl>
    <w:p w:rsidR="002007C4" w:rsidRDefault="002007C4">
      <w:pPr>
        <w:rPr>
          <w:rFonts w:ascii="Times New Roman" w:hAnsi="Times New Roman"/>
          <w:shadow w:val="0"/>
          <w:sz w:val="24"/>
        </w:rPr>
      </w:pPr>
    </w:p>
    <w:p w:rsidR="002007C4" w:rsidRDefault="002007C4">
      <w:pPr>
        <w:rPr>
          <w:rFonts w:ascii="Times New Roman" w:hAnsi="Times New Roman"/>
          <w:shadow w:val="0"/>
          <w:sz w:val="24"/>
          <w:szCs w:val="24"/>
        </w:rPr>
      </w:pPr>
      <w:r>
        <w:rPr>
          <w:rFonts w:ascii="Times New Roman" w:hAnsi="Times New Roman"/>
          <w:shadow w:val="0"/>
          <w:sz w:val="24"/>
          <w:szCs w:val="24"/>
        </w:rPr>
        <w:t xml:space="preserve">As noted above the actual assessed value of property was </w:t>
      </w:r>
      <w:r w:rsidR="00923266">
        <w:rPr>
          <w:rFonts w:ascii="Times New Roman" w:hAnsi="Times New Roman"/>
          <w:shadow w:val="0"/>
          <w:sz w:val="24"/>
          <w:szCs w:val="24"/>
        </w:rPr>
        <w:t>higher</w:t>
      </w:r>
      <w:r w:rsidR="00DB7885">
        <w:rPr>
          <w:rFonts w:ascii="Times New Roman" w:hAnsi="Times New Roman"/>
          <w:shadow w:val="0"/>
          <w:sz w:val="24"/>
          <w:szCs w:val="24"/>
        </w:rPr>
        <w:t xml:space="preserve"> </w:t>
      </w:r>
      <w:r>
        <w:rPr>
          <w:rFonts w:ascii="Times New Roman" w:hAnsi="Times New Roman"/>
          <w:shadow w:val="0"/>
          <w:sz w:val="24"/>
          <w:szCs w:val="24"/>
        </w:rPr>
        <w:t xml:space="preserve">than projected in the tentative working budget.  Because of the equalizing features of SEEK, this means that required local effort from the 30 cent levy and the local share of Tier 1 </w:t>
      </w:r>
      <w:r>
        <w:rPr>
          <w:rFonts w:ascii="Times New Roman" w:hAnsi="Times New Roman"/>
          <w:shadow w:val="0"/>
          <w:sz w:val="24"/>
          <w:szCs w:val="24"/>
          <w:u w:val="single"/>
        </w:rPr>
        <w:t xml:space="preserve">will be </w:t>
      </w:r>
      <w:r w:rsidR="00923266">
        <w:rPr>
          <w:rFonts w:ascii="Times New Roman" w:hAnsi="Times New Roman"/>
          <w:shadow w:val="0"/>
          <w:sz w:val="24"/>
          <w:szCs w:val="24"/>
          <w:u w:val="single"/>
        </w:rPr>
        <w:t>higher</w:t>
      </w:r>
      <w:r>
        <w:rPr>
          <w:rFonts w:ascii="Times New Roman" w:hAnsi="Times New Roman"/>
          <w:shadow w:val="0"/>
          <w:sz w:val="24"/>
          <w:szCs w:val="24"/>
        </w:rPr>
        <w:t xml:space="preserve">; which will </w:t>
      </w:r>
      <w:r w:rsidR="00923266">
        <w:rPr>
          <w:rFonts w:ascii="Times New Roman" w:hAnsi="Times New Roman"/>
          <w:shadow w:val="0"/>
          <w:sz w:val="24"/>
          <w:szCs w:val="24"/>
        </w:rPr>
        <w:t xml:space="preserve">decrease </w:t>
      </w:r>
      <w:r>
        <w:rPr>
          <w:rFonts w:ascii="Times New Roman" w:hAnsi="Times New Roman"/>
          <w:shadow w:val="0"/>
          <w:sz w:val="24"/>
          <w:szCs w:val="24"/>
        </w:rPr>
        <w:t xml:space="preserve">projected receipts from the state through SEEK.  Projected </w:t>
      </w:r>
      <w:r w:rsidR="00296302">
        <w:rPr>
          <w:rFonts w:ascii="Times New Roman" w:hAnsi="Times New Roman"/>
          <w:shadow w:val="0"/>
          <w:sz w:val="24"/>
          <w:szCs w:val="24"/>
        </w:rPr>
        <w:t>2008-09</w:t>
      </w:r>
      <w:r>
        <w:rPr>
          <w:rFonts w:ascii="Times New Roman" w:hAnsi="Times New Roman"/>
          <w:shadow w:val="0"/>
          <w:sz w:val="24"/>
          <w:szCs w:val="24"/>
        </w:rPr>
        <w:t xml:space="preserve"> GF state </w:t>
      </w:r>
      <w:r w:rsidR="00C26B64">
        <w:rPr>
          <w:rFonts w:ascii="Times New Roman" w:hAnsi="Times New Roman"/>
          <w:shadow w:val="0"/>
          <w:sz w:val="24"/>
          <w:szCs w:val="24"/>
        </w:rPr>
        <w:t xml:space="preserve">general fund </w:t>
      </w:r>
      <w:r>
        <w:rPr>
          <w:rFonts w:ascii="Times New Roman" w:hAnsi="Times New Roman"/>
          <w:shadow w:val="0"/>
          <w:sz w:val="24"/>
          <w:szCs w:val="24"/>
        </w:rPr>
        <w:t xml:space="preserve">SEEK revenue to </w:t>
      </w:r>
      <w:r w:rsidR="00296302">
        <w:rPr>
          <w:rFonts w:ascii="Times New Roman" w:hAnsi="Times New Roman"/>
          <w:shadow w:val="0"/>
          <w:sz w:val="24"/>
          <w:szCs w:val="24"/>
        </w:rPr>
        <w:t>Franklin</w:t>
      </w:r>
      <w:r>
        <w:rPr>
          <w:rFonts w:ascii="Times New Roman" w:hAnsi="Times New Roman"/>
          <w:shadow w:val="0"/>
          <w:sz w:val="24"/>
          <w:szCs w:val="24"/>
        </w:rPr>
        <w:t xml:space="preserve"> County Schools in the May Tentative Budget, including the FSPK match, was $</w:t>
      </w:r>
      <w:r w:rsidR="00C75770">
        <w:rPr>
          <w:rFonts w:ascii="Times New Roman" w:hAnsi="Times New Roman"/>
          <w:shadow w:val="0"/>
          <w:sz w:val="24"/>
          <w:szCs w:val="24"/>
        </w:rPr>
        <w:t>18,</w:t>
      </w:r>
      <w:r w:rsidR="00C26B64">
        <w:rPr>
          <w:rFonts w:ascii="Times New Roman" w:hAnsi="Times New Roman"/>
          <w:shadow w:val="0"/>
          <w:sz w:val="24"/>
          <w:szCs w:val="24"/>
        </w:rPr>
        <w:t>257</w:t>
      </w:r>
      <w:r w:rsidR="00C75770">
        <w:rPr>
          <w:rFonts w:ascii="Times New Roman" w:hAnsi="Times New Roman"/>
          <w:shadow w:val="0"/>
          <w:sz w:val="24"/>
          <w:szCs w:val="24"/>
        </w:rPr>
        <w:t>,</w:t>
      </w:r>
      <w:r w:rsidR="00C26B64">
        <w:rPr>
          <w:rFonts w:ascii="Times New Roman" w:hAnsi="Times New Roman"/>
          <w:shadow w:val="0"/>
          <w:sz w:val="24"/>
          <w:szCs w:val="24"/>
        </w:rPr>
        <w:t>179</w:t>
      </w:r>
      <w:r>
        <w:rPr>
          <w:rFonts w:ascii="Times New Roman" w:hAnsi="Times New Roman"/>
          <w:shadow w:val="0"/>
          <w:sz w:val="24"/>
          <w:szCs w:val="24"/>
        </w:rPr>
        <w:t xml:space="preserve">.  With the </w:t>
      </w:r>
      <w:r w:rsidR="00923266">
        <w:rPr>
          <w:rFonts w:ascii="Times New Roman" w:hAnsi="Times New Roman"/>
          <w:shadow w:val="0"/>
          <w:sz w:val="24"/>
          <w:szCs w:val="24"/>
        </w:rPr>
        <w:t>higher</w:t>
      </w:r>
      <w:r w:rsidR="00DB7885">
        <w:rPr>
          <w:rFonts w:ascii="Times New Roman" w:hAnsi="Times New Roman"/>
          <w:shadow w:val="0"/>
          <w:sz w:val="24"/>
          <w:szCs w:val="24"/>
        </w:rPr>
        <w:t xml:space="preserve"> </w:t>
      </w:r>
      <w:r>
        <w:rPr>
          <w:rFonts w:ascii="Times New Roman" w:hAnsi="Times New Roman"/>
          <w:shadow w:val="0"/>
          <w:sz w:val="24"/>
          <w:szCs w:val="24"/>
        </w:rPr>
        <w:t xml:space="preserve">assessment </w:t>
      </w:r>
      <w:r w:rsidR="00296302">
        <w:rPr>
          <w:rFonts w:ascii="Times New Roman" w:hAnsi="Times New Roman"/>
          <w:shadow w:val="0"/>
          <w:sz w:val="24"/>
          <w:szCs w:val="24"/>
        </w:rPr>
        <w:t>2008-09</w:t>
      </w:r>
      <w:r>
        <w:rPr>
          <w:rFonts w:ascii="Times New Roman" w:hAnsi="Times New Roman"/>
          <w:shadow w:val="0"/>
          <w:sz w:val="24"/>
          <w:szCs w:val="24"/>
        </w:rPr>
        <w:t xml:space="preserve"> GF SEEK (with </w:t>
      </w:r>
      <w:r w:rsidR="00C75770">
        <w:rPr>
          <w:rFonts w:ascii="Times New Roman" w:hAnsi="Times New Roman"/>
          <w:shadow w:val="0"/>
          <w:sz w:val="24"/>
          <w:szCs w:val="24"/>
        </w:rPr>
        <w:t xml:space="preserve">lower final </w:t>
      </w:r>
      <w:smartTag w:uri="urn:schemas-microsoft-com:office:smarttags" w:element="City">
        <w:r w:rsidR="00C75770">
          <w:rPr>
            <w:rFonts w:ascii="Times New Roman" w:hAnsi="Times New Roman"/>
            <w:shadow w:val="0"/>
            <w:sz w:val="24"/>
            <w:szCs w:val="24"/>
          </w:rPr>
          <w:t>ADA</w:t>
        </w:r>
      </w:smartTag>
      <w:r w:rsidR="00C75770">
        <w:rPr>
          <w:rFonts w:ascii="Times New Roman" w:hAnsi="Times New Roman"/>
          <w:shadow w:val="0"/>
          <w:sz w:val="24"/>
          <w:szCs w:val="24"/>
        </w:rPr>
        <w:t xml:space="preserve"> for 07-08 and </w:t>
      </w:r>
      <w:r w:rsidR="00C26B64">
        <w:rPr>
          <w:rFonts w:ascii="Times New Roman" w:hAnsi="Times New Roman"/>
          <w:shadow w:val="0"/>
          <w:sz w:val="24"/>
          <w:szCs w:val="24"/>
        </w:rPr>
        <w:t xml:space="preserve">no </w:t>
      </w:r>
      <w:r w:rsidR="00C75770">
        <w:rPr>
          <w:rFonts w:ascii="Times New Roman" w:hAnsi="Times New Roman"/>
          <w:shadow w:val="0"/>
          <w:sz w:val="24"/>
          <w:szCs w:val="24"/>
        </w:rPr>
        <w:t xml:space="preserve">projected </w:t>
      </w:r>
      <w:smartTag w:uri="urn:schemas-microsoft-com:office:smarttags" w:element="City">
        <w:smartTag w:uri="urn:schemas-microsoft-com:office:smarttags" w:element="place">
          <w:r>
            <w:rPr>
              <w:rFonts w:ascii="Times New Roman" w:hAnsi="Times New Roman"/>
              <w:shadow w:val="0"/>
              <w:sz w:val="24"/>
              <w:szCs w:val="24"/>
            </w:rPr>
            <w:t>ADA</w:t>
          </w:r>
        </w:smartTag>
      </w:smartTag>
      <w:r>
        <w:rPr>
          <w:rFonts w:ascii="Times New Roman" w:hAnsi="Times New Roman"/>
          <w:shadow w:val="0"/>
          <w:sz w:val="24"/>
          <w:szCs w:val="24"/>
        </w:rPr>
        <w:t xml:space="preserve"> growth during the first 2 months of 0</w:t>
      </w:r>
      <w:r w:rsidR="00923266">
        <w:rPr>
          <w:rFonts w:ascii="Times New Roman" w:hAnsi="Times New Roman"/>
          <w:shadow w:val="0"/>
          <w:sz w:val="24"/>
          <w:szCs w:val="24"/>
        </w:rPr>
        <w:t>8</w:t>
      </w:r>
      <w:r>
        <w:rPr>
          <w:rFonts w:ascii="Times New Roman" w:hAnsi="Times New Roman"/>
          <w:shadow w:val="0"/>
          <w:sz w:val="24"/>
          <w:szCs w:val="24"/>
        </w:rPr>
        <w:t>-0</w:t>
      </w:r>
      <w:r w:rsidR="00923266">
        <w:rPr>
          <w:rFonts w:ascii="Times New Roman" w:hAnsi="Times New Roman"/>
          <w:shadow w:val="0"/>
          <w:sz w:val="24"/>
          <w:szCs w:val="24"/>
        </w:rPr>
        <w:t>9</w:t>
      </w:r>
      <w:r>
        <w:rPr>
          <w:rFonts w:ascii="Times New Roman" w:hAnsi="Times New Roman"/>
          <w:shadow w:val="0"/>
          <w:sz w:val="24"/>
          <w:szCs w:val="24"/>
        </w:rPr>
        <w:t>) is now expected to be $</w:t>
      </w:r>
      <w:r w:rsidR="00C75770">
        <w:rPr>
          <w:rFonts w:ascii="Times New Roman" w:hAnsi="Times New Roman"/>
          <w:shadow w:val="0"/>
          <w:sz w:val="24"/>
          <w:szCs w:val="24"/>
        </w:rPr>
        <w:t>1</w:t>
      </w:r>
      <w:r w:rsidR="00C26B64">
        <w:rPr>
          <w:rFonts w:ascii="Times New Roman" w:hAnsi="Times New Roman"/>
          <w:shadow w:val="0"/>
          <w:sz w:val="24"/>
          <w:szCs w:val="24"/>
        </w:rPr>
        <w:t>7</w:t>
      </w:r>
      <w:r w:rsidR="00C75770">
        <w:rPr>
          <w:rFonts w:ascii="Times New Roman" w:hAnsi="Times New Roman"/>
          <w:shadow w:val="0"/>
          <w:sz w:val="24"/>
          <w:szCs w:val="24"/>
        </w:rPr>
        <w:t>,</w:t>
      </w:r>
      <w:r w:rsidR="00C26B64">
        <w:rPr>
          <w:rFonts w:ascii="Times New Roman" w:hAnsi="Times New Roman"/>
          <w:shadow w:val="0"/>
          <w:sz w:val="24"/>
          <w:szCs w:val="24"/>
        </w:rPr>
        <w:t>963</w:t>
      </w:r>
      <w:r w:rsidR="00C75770">
        <w:rPr>
          <w:rFonts w:ascii="Times New Roman" w:hAnsi="Times New Roman"/>
          <w:shadow w:val="0"/>
          <w:sz w:val="24"/>
          <w:szCs w:val="24"/>
        </w:rPr>
        <w:t>,</w:t>
      </w:r>
      <w:r w:rsidR="00C26B64">
        <w:rPr>
          <w:rFonts w:ascii="Times New Roman" w:hAnsi="Times New Roman"/>
          <w:shadow w:val="0"/>
          <w:sz w:val="24"/>
          <w:szCs w:val="24"/>
        </w:rPr>
        <w:t>588</w:t>
      </w:r>
      <w:r w:rsidR="00923266">
        <w:rPr>
          <w:rFonts w:ascii="Times New Roman" w:hAnsi="Times New Roman"/>
          <w:shadow w:val="0"/>
          <w:sz w:val="24"/>
          <w:szCs w:val="24"/>
        </w:rPr>
        <w:t>,</w:t>
      </w:r>
      <w:r>
        <w:rPr>
          <w:rFonts w:ascii="Times New Roman" w:hAnsi="Times New Roman"/>
          <w:shadow w:val="0"/>
          <w:sz w:val="24"/>
          <w:szCs w:val="24"/>
        </w:rPr>
        <w:t xml:space="preserve"> a </w:t>
      </w:r>
      <w:r w:rsidR="00923266">
        <w:rPr>
          <w:rFonts w:ascii="Times New Roman" w:hAnsi="Times New Roman"/>
          <w:shadow w:val="0"/>
          <w:sz w:val="24"/>
          <w:szCs w:val="24"/>
        </w:rPr>
        <w:t>de</w:t>
      </w:r>
      <w:r>
        <w:rPr>
          <w:rFonts w:ascii="Times New Roman" w:hAnsi="Times New Roman"/>
          <w:shadow w:val="0"/>
          <w:sz w:val="24"/>
          <w:szCs w:val="24"/>
        </w:rPr>
        <w:t>crease of $</w:t>
      </w:r>
      <w:r w:rsidR="00C75770">
        <w:rPr>
          <w:rFonts w:ascii="Times New Roman" w:hAnsi="Times New Roman"/>
          <w:shadow w:val="0"/>
          <w:sz w:val="24"/>
          <w:szCs w:val="24"/>
        </w:rPr>
        <w:t>2</w:t>
      </w:r>
      <w:r w:rsidR="00C26B64">
        <w:rPr>
          <w:rFonts w:ascii="Times New Roman" w:hAnsi="Times New Roman"/>
          <w:shadow w:val="0"/>
          <w:sz w:val="24"/>
          <w:szCs w:val="24"/>
        </w:rPr>
        <w:t>93</w:t>
      </w:r>
      <w:r w:rsidR="00C75770">
        <w:rPr>
          <w:rFonts w:ascii="Times New Roman" w:hAnsi="Times New Roman"/>
          <w:shadow w:val="0"/>
          <w:sz w:val="24"/>
          <w:szCs w:val="24"/>
        </w:rPr>
        <w:t>,</w:t>
      </w:r>
      <w:r w:rsidR="00C26B64">
        <w:rPr>
          <w:rFonts w:ascii="Times New Roman" w:hAnsi="Times New Roman"/>
          <w:shadow w:val="0"/>
          <w:sz w:val="24"/>
          <w:szCs w:val="24"/>
        </w:rPr>
        <w:t>591</w:t>
      </w:r>
      <w:r>
        <w:rPr>
          <w:rFonts w:ascii="Times New Roman" w:hAnsi="Times New Roman"/>
          <w:shadow w:val="0"/>
          <w:sz w:val="24"/>
          <w:szCs w:val="24"/>
        </w:rPr>
        <w:t xml:space="preserve">. </w:t>
      </w:r>
    </w:p>
    <w:p w:rsidR="002007C4" w:rsidRDefault="002007C4">
      <w:pPr>
        <w:rPr>
          <w:rFonts w:ascii="Times New Roman" w:hAnsi="Times New Roman"/>
          <w:shadow w:val="0"/>
          <w:sz w:val="24"/>
        </w:rPr>
      </w:pPr>
    </w:p>
    <w:p w:rsidR="002007C4" w:rsidRDefault="002007C4">
      <w:pPr>
        <w:rPr>
          <w:rFonts w:ascii="Times New Roman" w:hAnsi="Times New Roman"/>
          <w:shadow w:val="0"/>
          <w:sz w:val="24"/>
        </w:rPr>
      </w:pPr>
      <w:r>
        <w:rPr>
          <w:rFonts w:ascii="Times New Roman" w:hAnsi="Times New Roman"/>
          <w:shadow w:val="0"/>
          <w:sz w:val="24"/>
        </w:rPr>
        <w:t xml:space="preserve">The Kentucky Revenue Cabinet submits the certified assessment for each local district to the Kentucky Department of Education.  Upon receipt of the certified assessment the Kentucky Department of Education calculates permissible tax levies pursuant to two different statutes.  The first permissible tax rate calculation is pursuant to KRS 160.470 (House Bill 44) and generates three possible tax levies.  First, KRS 160.470 provides that a local taxing authority may levy a tax rate that will produce the same revenue as received the prior year, exclusive of new property, without conducting a public hearing and not subject to recall.  This rate is </w:t>
      </w:r>
      <w:r>
        <w:rPr>
          <w:rFonts w:ascii="Times New Roman" w:hAnsi="Times New Roman"/>
          <w:shadow w:val="0"/>
          <w:sz w:val="24"/>
        </w:rPr>
        <w:lastRenderedPageBreak/>
        <w:t xml:space="preserve">referred to as the compensating rate.  Second, KRS 160.470 provides that a local taxing authority may levy a tax rate that will produce 4% more revenue than was received the prior year, exclusive of new property, provided the taxing authority conducts a public hearing following advertisement pursuant to said statute.  After conducting a public hearing the taxing authority may levy a rate that will generate a 4% increase in revenue, exclusive of new property, that is not subject to recall.  This rate is referred to as the 4% increase rate.  </w:t>
      </w:r>
    </w:p>
    <w:p w:rsidR="002007C4" w:rsidRDefault="002007C4">
      <w:pPr>
        <w:rPr>
          <w:rFonts w:ascii="Times New Roman" w:hAnsi="Times New Roman"/>
          <w:shadow w:val="0"/>
          <w:sz w:val="24"/>
        </w:rPr>
      </w:pPr>
    </w:p>
    <w:p w:rsidR="002007C4" w:rsidRDefault="002007C4">
      <w:pPr>
        <w:rPr>
          <w:rFonts w:ascii="Times New Roman" w:hAnsi="Times New Roman"/>
          <w:shadow w:val="0"/>
          <w:sz w:val="24"/>
        </w:rPr>
      </w:pPr>
      <w:r>
        <w:rPr>
          <w:rFonts w:ascii="Times New Roman" w:hAnsi="Times New Roman"/>
          <w:shadow w:val="0"/>
          <w:sz w:val="24"/>
        </w:rPr>
        <w:t>The final rate allowed by KRS 160.470 is pursuant to subsection (1) of the statute.  This rate is essentially based on the rate that could have been levied in 1978/79 to the 1978/79 assessment.  This rate is referred to as the subsection (1) rate.  If the subsection (1) rate is higher than the 4% rate it may be levied under the public hearing requirements for the 4% rate; however, the levy is subject to recall and the taxing authority levying such a rate is required to follow statutory requirements for public notice that a rate subject to recall has been levied.  The notice must include instructions on how a recall may be obtained.</w:t>
      </w:r>
    </w:p>
    <w:p w:rsidR="002007C4" w:rsidRDefault="002007C4">
      <w:pPr>
        <w:rPr>
          <w:rFonts w:ascii="Times New Roman" w:hAnsi="Times New Roman"/>
          <w:shadow w:val="0"/>
          <w:sz w:val="24"/>
        </w:rPr>
      </w:pPr>
    </w:p>
    <w:p w:rsidR="002007C4" w:rsidRDefault="002007C4">
      <w:pPr>
        <w:rPr>
          <w:rFonts w:ascii="Times New Roman" w:hAnsi="Times New Roman"/>
          <w:shadow w:val="0"/>
          <w:sz w:val="24"/>
        </w:rPr>
      </w:pPr>
      <w:r>
        <w:rPr>
          <w:rFonts w:ascii="Times New Roman" w:hAnsi="Times New Roman"/>
          <w:shadow w:val="0"/>
          <w:sz w:val="24"/>
        </w:rPr>
        <w:t>The second permissible tax rate is pursuant to KRS 157.440, the law that established the SEEK program.  Application of KRS 157.440 generates the required equivalent tax levy for the base SEEK and permissible equivalent tax rates for Tier 1 of SEEK and the school facility tax (FSPK).   No public hearing is required to levy the tax rates allowed pursuant to KRS 157.440 and the levy is not subject to recall even if the rates are higher than the subsection (1) rate.</w:t>
      </w:r>
    </w:p>
    <w:p w:rsidR="002007C4" w:rsidRDefault="002007C4">
      <w:pPr>
        <w:rPr>
          <w:rFonts w:ascii="Times New Roman" w:hAnsi="Times New Roman"/>
          <w:shadow w:val="0"/>
          <w:sz w:val="24"/>
        </w:rPr>
      </w:pPr>
    </w:p>
    <w:p w:rsidR="002007C4" w:rsidRDefault="002007C4">
      <w:pPr>
        <w:rPr>
          <w:rFonts w:ascii="Times New Roman" w:hAnsi="Times New Roman"/>
          <w:shadow w:val="0"/>
          <w:sz w:val="24"/>
        </w:rPr>
      </w:pPr>
      <w:r>
        <w:rPr>
          <w:rFonts w:ascii="Times New Roman" w:hAnsi="Times New Roman"/>
          <w:shadow w:val="0"/>
          <w:sz w:val="24"/>
        </w:rPr>
        <w:t xml:space="preserve">Sometimes the district has the option to levy a small tax to offset lost revenue from exonerations of the prior year.  The exoneration allowance also allows the district to recover from higher local effort because exonerations were included in the equivalent rate used to calculate prior year required local effort.  </w:t>
      </w:r>
      <w:smartTag w:uri="urn:schemas-microsoft-com:office:smarttags" w:element="place">
        <w:smartTag w:uri="urn:schemas-microsoft-com:office:smarttags" w:element="PlaceName">
          <w:r w:rsidR="00296302">
            <w:rPr>
              <w:rFonts w:ascii="Times New Roman" w:hAnsi="Times New Roman"/>
              <w:shadow w:val="0"/>
              <w:sz w:val="24"/>
            </w:rPr>
            <w:t>Franklin</w:t>
          </w:r>
        </w:smartTag>
        <w:r>
          <w:rPr>
            <w:rFonts w:ascii="Times New Roman" w:hAnsi="Times New Roman"/>
            <w:shadow w:val="0"/>
            <w:sz w:val="24"/>
          </w:rPr>
          <w:t xml:space="preserve"> </w:t>
        </w:r>
        <w:smartTag w:uri="urn:schemas-microsoft-com:office:smarttags" w:element="PlaceName">
          <w:r>
            <w:rPr>
              <w:rFonts w:ascii="Times New Roman" w:hAnsi="Times New Roman"/>
              <w:shadow w:val="0"/>
              <w:sz w:val="24"/>
            </w:rPr>
            <w:t>County</w:t>
          </w:r>
        </w:smartTag>
      </w:smartTag>
      <w:r>
        <w:rPr>
          <w:rFonts w:ascii="Times New Roman" w:hAnsi="Times New Roman"/>
          <w:shadow w:val="0"/>
          <w:sz w:val="24"/>
        </w:rPr>
        <w:t xml:space="preserve"> has this option in </w:t>
      </w:r>
      <w:r w:rsidR="00296302">
        <w:rPr>
          <w:rFonts w:ascii="Times New Roman" w:hAnsi="Times New Roman"/>
          <w:shadow w:val="0"/>
          <w:sz w:val="24"/>
        </w:rPr>
        <w:t>2008-09</w:t>
      </w:r>
      <w:r>
        <w:rPr>
          <w:rFonts w:ascii="Times New Roman" w:hAnsi="Times New Roman"/>
          <w:shadow w:val="0"/>
          <w:sz w:val="24"/>
        </w:rPr>
        <w:t xml:space="preserve"> for a recovery rate of 0.</w:t>
      </w:r>
      <w:r w:rsidR="00923266">
        <w:rPr>
          <w:rFonts w:ascii="Times New Roman" w:hAnsi="Times New Roman"/>
          <w:shadow w:val="0"/>
          <w:sz w:val="24"/>
        </w:rPr>
        <w:t>1</w:t>
      </w:r>
      <w:r>
        <w:rPr>
          <w:rFonts w:ascii="Times New Roman" w:hAnsi="Times New Roman"/>
          <w:shadow w:val="0"/>
          <w:sz w:val="24"/>
        </w:rPr>
        <w:t xml:space="preserve"> cent (see “Recover Exn Rate” in Table B).  The </w:t>
      </w:r>
      <w:r w:rsidR="00296302">
        <w:rPr>
          <w:rFonts w:ascii="Times New Roman" w:hAnsi="Times New Roman"/>
          <w:shadow w:val="0"/>
          <w:sz w:val="24"/>
        </w:rPr>
        <w:t>2008-09</w:t>
      </w:r>
      <w:r>
        <w:rPr>
          <w:rFonts w:ascii="Times New Roman" w:hAnsi="Times New Roman"/>
          <w:shadow w:val="0"/>
          <w:sz w:val="24"/>
        </w:rPr>
        <w:t xml:space="preserve"> rates calculated by the KDE for </w:t>
      </w:r>
      <w:smartTag w:uri="urn:schemas-microsoft-com:office:smarttags" w:element="place">
        <w:smartTag w:uri="urn:schemas-microsoft-com:office:smarttags" w:element="PlaceName">
          <w:r w:rsidR="00296302">
            <w:rPr>
              <w:rFonts w:ascii="Times New Roman" w:hAnsi="Times New Roman"/>
              <w:shadow w:val="0"/>
              <w:sz w:val="24"/>
            </w:rPr>
            <w:t>Franklin</w:t>
          </w:r>
        </w:smartTag>
        <w:r>
          <w:rPr>
            <w:rFonts w:ascii="Times New Roman" w:hAnsi="Times New Roman"/>
            <w:shadow w:val="0"/>
            <w:sz w:val="24"/>
          </w:rPr>
          <w:t xml:space="preserve"> </w:t>
        </w:r>
        <w:smartTag w:uri="urn:schemas-microsoft-com:office:smarttags" w:element="PlaceName">
          <w:r>
            <w:rPr>
              <w:rFonts w:ascii="Times New Roman" w:hAnsi="Times New Roman"/>
              <w:shadow w:val="0"/>
              <w:sz w:val="24"/>
            </w:rPr>
            <w:t>County</w:t>
          </w:r>
        </w:smartTag>
      </w:smartTag>
      <w:r>
        <w:rPr>
          <w:rFonts w:ascii="Times New Roman" w:hAnsi="Times New Roman"/>
          <w:shadow w:val="0"/>
          <w:sz w:val="24"/>
        </w:rPr>
        <w:t xml:space="preserve"> are displayed in Table B. </w:t>
      </w:r>
    </w:p>
    <w:p w:rsidR="002007C4" w:rsidRDefault="002007C4">
      <w:pPr>
        <w:rPr>
          <w:rFonts w:ascii="Times New Roman" w:hAnsi="Times New Roman"/>
          <w:shadow w:val="0"/>
          <w:sz w:val="24"/>
        </w:rPr>
      </w:pPr>
    </w:p>
    <w:p w:rsidR="002007C4" w:rsidRDefault="002007C4">
      <w:pPr>
        <w:pStyle w:val="Heading2"/>
        <w:rPr>
          <w:rFonts w:ascii="Times New Roman" w:hAnsi="Times New Roman"/>
          <w:b/>
        </w:rPr>
      </w:pPr>
      <w:r>
        <w:rPr>
          <w:rFonts w:ascii="Times New Roman" w:hAnsi="Times New Roman"/>
          <w:b/>
        </w:rPr>
        <w:t>Table B</w:t>
      </w:r>
      <w:r w:rsidR="00923266">
        <w:rPr>
          <w:rFonts w:ascii="Times New Roman" w:hAnsi="Times New Roman"/>
          <w:b/>
        </w:rPr>
        <w:t xml:space="preserve"> - </w:t>
      </w:r>
      <w:r>
        <w:rPr>
          <w:rFonts w:ascii="Times New Roman" w:hAnsi="Times New Roman"/>
          <w:b/>
        </w:rPr>
        <w:t>Permissible Tax Rates Certified by Kentucky Department of Education</w:t>
      </w:r>
    </w:p>
    <w:p w:rsidR="002007C4" w:rsidRDefault="002007C4">
      <w:pPr>
        <w:jc w:val="center"/>
        <w:rPr>
          <w:rFonts w:ascii="Times New Roman" w:hAnsi="Times New Roman"/>
          <w:shadow w:val="0"/>
          <w:sz w:val="24"/>
        </w:rPr>
      </w:pPr>
    </w:p>
    <w:tbl>
      <w:tblPr>
        <w:tblW w:w="9690" w:type="dxa"/>
        <w:tblInd w:w="-240" w:type="dxa"/>
        <w:tblLayout w:type="fixed"/>
        <w:tblCellMar>
          <w:left w:w="30" w:type="dxa"/>
          <w:right w:w="30" w:type="dxa"/>
        </w:tblCellMar>
        <w:tblLook w:val="0000"/>
      </w:tblPr>
      <w:tblGrid>
        <w:gridCol w:w="1800"/>
        <w:gridCol w:w="1440"/>
        <w:gridCol w:w="1440"/>
        <w:gridCol w:w="1530"/>
        <w:gridCol w:w="1530"/>
        <w:gridCol w:w="1950"/>
      </w:tblGrid>
      <w:tr w:rsidR="002007C4">
        <w:tblPrEx>
          <w:tblCellMar>
            <w:top w:w="0" w:type="dxa"/>
            <w:bottom w:w="0" w:type="dxa"/>
          </w:tblCellMar>
        </w:tblPrEx>
        <w:trPr>
          <w:trHeight w:val="187"/>
        </w:trPr>
        <w:tc>
          <w:tcPr>
            <w:tcW w:w="1800" w:type="dxa"/>
            <w:tcBorders>
              <w:top w:val="single" w:sz="12" w:space="0" w:color="000000"/>
              <w:left w:val="single" w:sz="12" w:space="0" w:color="000000"/>
            </w:tcBorders>
          </w:tcPr>
          <w:p w:rsidR="002007C4" w:rsidRDefault="002007C4">
            <w:pPr>
              <w:jc w:val="right"/>
              <w:rPr>
                <w:rFonts w:ascii="Times New Roman" w:hAnsi="Times New Roman"/>
                <w:snapToGrid w:val="0"/>
                <w:color w:val="000000"/>
              </w:rPr>
            </w:pPr>
          </w:p>
        </w:tc>
        <w:tc>
          <w:tcPr>
            <w:tcW w:w="1440" w:type="dxa"/>
            <w:tcBorders>
              <w:top w:val="single" w:sz="12" w:space="0" w:color="000000"/>
            </w:tcBorders>
          </w:tcPr>
          <w:p w:rsidR="002007C4" w:rsidRDefault="002007C4">
            <w:pPr>
              <w:jc w:val="center"/>
              <w:rPr>
                <w:rFonts w:ascii="Times New Roman" w:hAnsi="Times New Roman"/>
                <w:shadow w:val="0"/>
                <w:snapToGrid w:val="0"/>
                <w:color w:val="000000"/>
              </w:rPr>
            </w:pPr>
            <w:r>
              <w:rPr>
                <w:rFonts w:ascii="Times New Roman" w:hAnsi="Times New Roman"/>
                <w:shadow w:val="0"/>
                <w:snapToGrid w:val="0"/>
                <w:color w:val="000000"/>
              </w:rPr>
              <w:t>SEEK</w:t>
            </w:r>
          </w:p>
        </w:tc>
        <w:tc>
          <w:tcPr>
            <w:tcW w:w="1440" w:type="dxa"/>
            <w:tcBorders>
              <w:top w:val="single" w:sz="12" w:space="0" w:color="000000"/>
            </w:tcBorders>
          </w:tcPr>
          <w:p w:rsidR="002007C4" w:rsidRDefault="002007C4">
            <w:pPr>
              <w:rPr>
                <w:rFonts w:ascii="Times New Roman" w:hAnsi="Times New Roman"/>
                <w:shadow w:val="0"/>
                <w:snapToGrid w:val="0"/>
                <w:color w:val="000000"/>
              </w:rPr>
            </w:pPr>
            <w:r>
              <w:rPr>
                <w:rFonts w:ascii="Times New Roman" w:hAnsi="Times New Roman"/>
                <w:shadow w:val="0"/>
                <w:snapToGrid w:val="0"/>
                <w:color w:val="000000"/>
              </w:rPr>
              <w:t>Compensating</w:t>
            </w:r>
          </w:p>
        </w:tc>
        <w:tc>
          <w:tcPr>
            <w:tcW w:w="1530" w:type="dxa"/>
            <w:tcBorders>
              <w:top w:val="single" w:sz="12" w:space="0" w:color="000000"/>
            </w:tcBorders>
          </w:tcPr>
          <w:p w:rsidR="002007C4" w:rsidRDefault="002007C4">
            <w:pPr>
              <w:jc w:val="center"/>
              <w:rPr>
                <w:rFonts w:ascii="Times New Roman" w:hAnsi="Times New Roman"/>
                <w:shadow w:val="0"/>
                <w:snapToGrid w:val="0"/>
                <w:color w:val="000000"/>
              </w:rPr>
            </w:pPr>
            <w:r>
              <w:rPr>
                <w:rFonts w:ascii="Times New Roman" w:hAnsi="Times New Roman"/>
                <w:shadow w:val="0"/>
                <w:snapToGrid w:val="0"/>
                <w:color w:val="000000"/>
              </w:rPr>
              <w:t>Subsection (1)</w:t>
            </w:r>
          </w:p>
        </w:tc>
        <w:tc>
          <w:tcPr>
            <w:tcW w:w="1530" w:type="dxa"/>
            <w:tcBorders>
              <w:top w:val="single" w:sz="12" w:space="0" w:color="000000"/>
            </w:tcBorders>
          </w:tcPr>
          <w:p w:rsidR="002007C4" w:rsidRDefault="002007C4">
            <w:pPr>
              <w:jc w:val="center"/>
              <w:rPr>
                <w:rFonts w:ascii="Times New Roman" w:hAnsi="Times New Roman"/>
                <w:shadow w:val="0"/>
                <w:snapToGrid w:val="0"/>
                <w:color w:val="000000"/>
              </w:rPr>
            </w:pPr>
            <w:r>
              <w:rPr>
                <w:rFonts w:ascii="Times New Roman" w:hAnsi="Times New Roman"/>
                <w:shadow w:val="0"/>
                <w:snapToGrid w:val="0"/>
                <w:color w:val="000000"/>
              </w:rPr>
              <w:t>4% Increase</w:t>
            </w:r>
          </w:p>
        </w:tc>
        <w:tc>
          <w:tcPr>
            <w:tcW w:w="1950" w:type="dxa"/>
            <w:tcBorders>
              <w:top w:val="single" w:sz="12" w:space="0" w:color="000000"/>
              <w:right w:val="single" w:sz="12" w:space="0" w:color="000000"/>
            </w:tcBorders>
          </w:tcPr>
          <w:p w:rsidR="002007C4" w:rsidRDefault="002007C4">
            <w:pPr>
              <w:rPr>
                <w:rFonts w:ascii="Times New Roman" w:hAnsi="Times New Roman"/>
                <w:snapToGrid w:val="0"/>
                <w:color w:val="000000"/>
              </w:rPr>
            </w:pPr>
          </w:p>
        </w:tc>
      </w:tr>
      <w:tr w:rsidR="002007C4">
        <w:tblPrEx>
          <w:tblCellMar>
            <w:top w:w="0" w:type="dxa"/>
            <w:bottom w:w="0" w:type="dxa"/>
          </w:tblCellMar>
        </w:tblPrEx>
        <w:trPr>
          <w:trHeight w:val="197"/>
        </w:trPr>
        <w:tc>
          <w:tcPr>
            <w:tcW w:w="1800" w:type="dxa"/>
            <w:tcBorders>
              <w:left w:val="single" w:sz="12" w:space="0" w:color="000000"/>
            </w:tcBorders>
          </w:tcPr>
          <w:p w:rsidR="002007C4" w:rsidRDefault="002007C4">
            <w:pPr>
              <w:jc w:val="right"/>
              <w:rPr>
                <w:rFonts w:ascii="Times New Roman" w:hAnsi="Times New Roman"/>
                <w:snapToGrid w:val="0"/>
                <w:color w:val="000000"/>
              </w:rPr>
            </w:pPr>
          </w:p>
        </w:tc>
        <w:tc>
          <w:tcPr>
            <w:tcW w:w="1440" w:type="dxa"/>
          </w:tcPr>
          <w:p w:rsidR="002007C4" w:rsidRDefault="002007C4">
            <w:pPr>
              <w:jc w:val="center"/>
              <w:rPr>
                <w:rFonts w:ascii="Times New Roman" w:hAnsi="Times New Roman"/>
                <w:snapToGrid w:val="0"/>
                <w:color w:val="000000"/>
              </w:rPr>
            </w:pPr>
            <w:r>
              <w:rPr>
                <w:rFonts w:ascii="Times New Roman" w:hAnsi="Times New Roman"/>
                <w:snapToGrid w:val="0"/>
                <w:color w:val="000000"/>
              </w:rPr>
              <w:t>s/</w:t>
            </w:r>
          </w:p>
        </w:tc>
        <w:tc>
          <w:tcPr>
            <w:tcW w:w="1440" w:type="dxa"/>
          </w:tcPr>
          <w:p w:rsidR="002007C4" w:rsidRDefault="002007C4">
            <w:pPr>
              <w:jc w:val="center"/>
              <w:rPr>
                <w:rFonts w:ascii="Times New Roman" w:hAnsi="Times New Roman"/>
                <w:snapToGrid w:val="0"/>
                <w:color w:val="000000"/>
              </w:rPr>
            </w:pPr>
            <w:r>
              <w:rPr>
                <w:rFonts w:ascii="Times New Roman" w:hAnsi="Times New Roman"/>
                <w:snapToGrid w:val="0"/>
                <w:color w:val="000000"/>
              </w:rPr>
              <w:t>1/</w:t>
            </w:r>
          </w:p>
        </w:tc>
        <w:tc>
          <w:tcPr>
            <w:tcW w:w="1530" w:type="dxa"/>
          </w:tcPr>
          <w:p w:rsidR="002007C4" w:rsidRDefault="002007C4">
            <w:pPr>
              <w:jc w:val="center"/>
              <w:rPr>
                <w:rFonts w:ascii="Times New Roman" w:hAnsi="Times New Roman"/>
                <w:snapToGrid w:val="0"/>
                <w:color w:val="000000"/>
              </w:rPr>
            </w:pPr>
            <w:r>
              <w:rPr>
                <w:rFonts w:ascii="Times New Roman" w:hAnsi="Times New Roman"/>
                <w:snapToGrid w:val="0"/>
                <w:color w:val="000000"/>
              </w:rPr>
              <w:t>2/</w:t>
            </w:r>
          </w:p>
        </w:tc>
        <w:tc>
          <w:tcPr>
            <w:tcW w:w="1530" w:type="dxa"/>
          </w:tcPr>
          <w:p w:rsidR="002007C4" w:rsidRDefault="002007C4">
            <w:pPr>
              <w:jc w:val="center"/>
              <w:rPr>
                <w:rFonts w:ascii="Times New Roman" w:hAnsi="Times New Roman"/>
                <w:snapToGrid w:val="0"/>
                <w:color w:val="000000"/>
              </w:rPr>
            </w:pPr>
            <w:r>
              <w:rPr>
                <w:rFonts w:ascii="Times New Roman" w:hAnsi="Times New Roman"/>
                <w:snapToGrid w:val="0"/>
                <w:color w:val="000000"/>
              </w:rPr>
              <w:t>3/</w:t>
            </w:r>
          </w:p>
        </w:tc>
        <w:tc>
          <w:tcPr>
            <w:tcW w:w="1950" w:type="dxa"/>
            <w:tcBorders>
              <w:right w:val="single" w:sz="12" w:space="0" w:color="000000"/>
            </w:tcBorders>
          </w:tcPr>
          <w:p w:rsidR="002007C4" w:rsidRDefault="002007C4">
            <w:pPr>
              <w:jc w:val="center"/>
              <w:rPr>
                <w:rFonts w:ascii="Times New Roman" w:hAnsi="Times New Roman"/>
                <w:snapToGrid w:val="0"/>
                <w:color w:val="000000"/>
              </w:rPr>
            </w:pPr>
          </w:p>
        </w:tc>
      </w:tr>
      <w:tr w:rsidR="00923266">
        <w:tblPrEx>
          <w:tblCellMar>
            <w:top w:w="0" w:type="dxa"/>
            <w:bottom w:w="0" w:type="dxa"/>
          </w:tblCellMar>
        </w:tblPrEx>
        <w:trPr>
          <w:trHeight w:val="187"/>
        </w:trPr>
        <w:tc>
          <w:tcPr>
            <w:tcW w:w="1800" w:type="dxa"/>
            <w:tcBorders>
              <w:top w:val="single" w:sz="12" w:space="0" w:color="000000"/>
              <w:left w:val="single" w:sz="12" w:space="0" w:color="000000"/>
            </w:tcBorders>
          </w:tcPr>
          <w:p w:rsidR="00923266" w:rsidRDefault="00923266">
            <w:pPr>
              <w:rPr>
                <w:rFonts w:ascii="Times New Roman" w:hAnsi="Times New Roman"/>
                <w:shadow w:val="0"/>
                <w:snapToGrid w:val="0"/>
                <w:color w:val="000000"/>
              </w:rPr>
            </w:pPr>
            <w:r>
              <w:rPr>
                <w:rFonts w:ascii="Times New Roman" w:hAnsi="Times New Roman"/>
                <w:shadow w:val="0"/>
                <w:snapToGrid w:val="0"/>
                <w:color w:val="000000"/>
              </w:rPr>
              <w:t>Real Estate Rate</w:t>
            </w:r>
          </w:p>
        </w:tc>
        <w:tc>
          <w:tcPr>
            <w:tcW w:w="1440" w:type="dxa"/>
            <w:tcBorders>
              <w:top w:val="single" w:sz="12" w:space="0" w:color="000000"/>
            </w:tcBorders>
            <w:vAlign w:val="bottom"/>
          </w:tcPr>
          <w:p w:rsidR="00923266" w:rsidRPr="00C75770" w:rsidRDefault="00923266">
            <w:pPr>
              <w:jc w:val="center"/>
              <w:rPr>
                <w:shadow w:val="0"/>
                <w:sz w:val="18"/>
                <w:szCs w:val="18"/>
              </w:rPr>
            </w:pPr>
            <w:r w:rsidRPr="00C75770">
              <w:rPr>
                <w:shadow w:val="0"/>
                <w:sz w:val="18"/>
                <w:szCs w:val="18"/>
              </w:rPr>
              <w:t>$0.414</w:t>
            </w:r>
          </w:p>
        </w:tc>
        <w:tc>
          <w:tcPr>
            <w:tcW w:w="1440" w:type="dxa"/>
            <w:tcBorders>
              <w:top w:val="single" w:sz="12" w:space="0" w:color="000000"/>
            </w:tcBorders>
            <w:vAlign w:val="bottom"/>
          </w:tcPr>
          <w:p w:rsidR="00923266" w:rsidRPr="00C75770" w:rsidRDefault="00923266">
            <w:pPr>
              <w:jc w:val="center"/>
              <w:rPr>
                <w:shadow w:val="0"/>
                <w:sz w:val="18"/>
                <w:szCs w:val="18"/>
              </w:rPr>
            </w:pPr>
            <w:r w:rsidRPr="00C75770">
              <w:rPr>
                <w:shadow w:val="0"/>
                <w:sz w:val="18"/>
                <w:szCs w:val="18"/>
              </w:rPr>
              <w:t>$0.509</w:t>
            </w:r>
          </w:p>
        </w:tc>
        <w:tc>
          <w:tcPr>
            <w:tcW w:w="1530" w:type="dxa"/>
            <w:tcBorders>
              <w:top w:val="single" w:sz="12" w:space="0" w:color="000000"/>
            </w:tcBorders>
            <w:vAlign w:val="bottom"/>
          </w:tcPr>
          <w:p w:rsidR="00923266" w:rsidRPr="00C75770" w:rsidRDefault="00923266">
            <w:pPr>
              <w:jc w:val="center"/>
              <w:rPr>
                <w:shadow w:val="0"/>
                <w:sz w:val="18"/>
                <w:szCs w:val="18"/>
              </w:rPr>
            </w:pPr>
            <w:r w:rsidRPr="00C75770">
              <w:rPr>
                <w:shadow w:val="0"/>
                <w:sz w:val="18"/>
                <w:szCs w:val="18"/>
              </w:rPr>
              <w:t>$0.576</w:t>
            </w:r>
          </w:p>
        </w:tc>
        <w:tc>
          <w:tcPr>
            <w:tcW w:w="1530" w:type="dxa"/>
            <w:tcBorders>
              <w:top w:val="single" w:sz="12" w:space="0" w:color="000000"/>
            </w:tcBorders>
            <w:vAlign w:val="bottom"/>
          </w:tcPr>
          <w:p w:rsidR="00923266" w:rsidRPr="00C75770" w:rsidRDefault="00923266">
            <w:pPr>
              <w:jc w:val="center"/>
              <w:rPr>
                <w:shadow w:val="0"/>
                <w:sz w:val="18"/>
                <w:szCs w:val="18"/>
              </w:rPr>
            </w:pPr>
            <w:r w:rsidRPr="00C75770">
              <w:rPr>
                <w:shadow w:val="0"/>
                <w:sz w:val="18"/>
                <w:szCs w:val="18"/>
              </w:rPr>
              <w:t>$0.529</w:t>
            </w:r>
          </w:p>
        </w:tc>
        <w:tc>
          <w:tcPr>
            <w:tcW w:w="1950" w:type="dxa"/>
            <w:tcBorders>
              <w:top w:val="single" w:sz="12" w:space="0" w:color="000000"/>
              <w:right w:val="single" w:sz="12" w:space="0" w:color="000000"/>
            </w:tcBorders>
          </w:tcPr>
          <w:p w:rsidR="00923266" w:rsidRDefault="00923266">
            <w:pPr>
              <w:jc w:val="right"/>
              <w:rPr>
                <w:rFonts w:ascii="Times New Roman" w:hAnsi="Times New Roman"/>
                <w:shadow w:val="0"/>
                <w:snapToGrid w:val="0"/>
                <w:color w:val="000000"/>
              </w:rPr>
            </w:pPr>
          </w:p>
        </w:tc>
      </w:tr>
      <w:tr w:rsidR="00923266">
        <w:tblPrEx>
          <w:tblCellMar>
            <w:top w:w="0" w:type="dxa"/>
            <w:bottom w:w="0" w:type="dxa"/>
          </w:tblCellMar>
        </w:tblPrEx>
        <w:trPr>
          <w:trHeight w:val="197"/>
        </w:trPr>
        <w:tc>
          <w:tcPr>
            <w:tcW w:w="1800" w:type="dxa"/>
            <w:tcBorders>
              <w:left w:val="single" w:sz="12" w:space="0" w:color="000000"/>
            </w:tcBorders>
          </w:tcPr>
          <w:p w:rsidR="00923266" w:rsidRDefault="00923266">
            <w:pPr>
              <w:rPr>
                <w:rFonts w:ascii="Times New Roman" w:hAnsi="Times New Roman"/>
                <w:shadow w:val="0"/>
                <w:snapToGrid w:val="0"/>
                <w:color w:val="000000"/>
              </w:rPr>
            </w:pPr>
            <w:r>
              <w:rPr>
                <w:rFonts w:ascii="Times New Roman" w:hAnsi="Times New Roman"/>
                <w:shadow w:val="0"/>
                <w:snapToGrid w:val="0"/>
                <w:color w:val="000000"/>
              </w:rPr>
              <w:t>Real Estate Revenue</w:t>
            </w:r>
          </w:p>
        </w:tc>
        <w:tc>
          <w:tcPr>
            <w:tcW w:w="1440" w:type="dxa"/>
            <w:vAlign w:val="bottom"/>
          </w:tcPr>
          <w:p w:rsidR="00923266" w:rsidRPr="00C75770" w:rsidRDefault="00923266">
            <w:pPr>
              <w:jc w:val="center"/>
              <w:rPr>
                <w:shadow w:val="0"/>
                <w:sz w:val="18"/>
                <w:szCs w:val="18"/>
              </w:rPr>
            </w:pPr>
            <w:r w:rsidRPr="00C75770">
              <w:rPr>
                <w:shadow w:val="0"/>
                <w:sz w:val="18"/>
                <w:szCs w:val="18"/>
              </w:rPr>
              <w:t xml:space="preserve">$10,601,749 </w:t>
            </w:r>
          </w:p>
        </w:tc>
        <w:tc>
          <w:tcPr>
            <w:tcW w:w="1440" w:type="dxa"/>
            <w:vAlign w:val="bottom"/>
          </w:tcPr>
          <w:p w:rsidR="00923266" w:rsidRPr="00C75770" w:rsidRDefault="00923266">
            <w:pPr>
              <w:jc w:val="center"/>
              <w:rPr>
                <w:shadow w:val="0"/>
                <w:sz w:val="18"/>
                <w:szCs w:val="18"/>
              </w:rPr>
            </w:pPr>
            <w:r w:rsidRPr="00C75770">
              <w:rPr>
                <w:shadow w:val="0"/>
                <w:sz w:val="18"/>
                <w:szCs w:val="18"/>
              </w:rPr>
              <w:t xml:space="preserve">$13,034,517 </w:t>
            </w:r>
          </w:p>
        </w:tc>
        <w:tc>
          <w:tcPr>
            <w:tcW w:w="1530" w:type="dxa"/>
            <w:vAlign w:val="bottom"/>
          </w:tcPr>
          <w:p w:rsidR="00923266" w:rsidRPr="00C75770" w:rsidRDefault="00923266">
            <w:pPr>
              <w:jc w:val="center"/>
              <w:rPr>
                <w:shadow w:val="0"/>
                <w:sz w:val="18"/>
                <w:szCs w:val="18"/>
              </w:rPr>
            </w:pPr>
            <w:r w:rsidRPr="00C75770">
              <w:rPr>
                <w:shadow w:val="0"/>
                <w:sz w:val="18"/>
                <w:szCs w:val="18"/>
              </w:rPr>
              <w:t xml:space="preserve">$14,750,259 </w:t>
            </w:r>
          </w:p>
        </w:tc>
        <w:tc>
          <w:tcPr>
            <w:tcW w:w="1530" w:type="dxa"/>
            <w:vAlign w:val="bottom"/>
          </w:tcPr>
          <w:p w:rsidR="00923266" w:rsidRPr="00C75770" w:rsidRDefault="00923266">
            <w:pPr>
              <w:jc w:val="center"/>
              <w:rPr>
                <w:shadow w:val="0"/>
                <w:sz w:val="18"/>
                <w:szCs w:val="18"/>
              </w:rPr>
            </w:pPr>
            <w:r w:rsidRPr="00C75770">
              <w:rPr>
                <w:shadow w:val="0"/>
                <w:sz w:val="18"/>
                <w:szCs w:val="18"/>
              </w:rPr>
              <w:t xml:space="preserve">$13,546,679 </w:t>
            </w:r>
          </w:p>
        </w:tc>
        <w:tc>
          <w:tcPr>
            <w:tcW w:w="1950" w:type="dxa"/>
            <w:tcBorders>
              <w:right w:val="single" w:sz="12" w:space="0" w:color="000000"/>
            </w:tcBorders>
          </w:tcPr>
          <w:p w:rsidR="00923266" w:rsidRDefault="00923266">
            <w:pPr>
              <w:jc w:val="right"/>
              <w:rPr>
                <w:rFonts w:ascii="Times New Roman" w:hAnsi="Times New Roman"/>
                <w:shadow w:val="0"/>
                <w:snapToGrid w:val="0"/>
                <w:color w:val="000000"/>
              </w:rPr>
            </w:pPr>
          </w:p>
        </w:tc>
      </w:tr>
      <w:tr w:rsidR="00923266">
        <w:tblPrEx>
          <w:tblCellMar>
            <w:top w:w="0" w:type="dxa"/>
            <w:bottom w:w="0" w:type="dxa"/>
          </w:tblCellMar>
        </w:tblPrEx>
        <w:trPr>
          <w:trHeight w:val="187"/>
        </w:trPr>
        <w:tc>
          <w:tcPr>
            <w:tcW w:w="1800" w:type="dxa"/>
            <w:tcBorders>
              <w:top w:val="single" w:sz="12" w:space="0" w:color="000000"/>
              <w:left w:val="single" w:sz="12" w:space="0" w:color="000000"/>
            </w:tcBorders>
          </w:tcPr>
          <w:p w:rsidR="00923266" w:rsidRDefault="00923266">
            <w:pPr>
              <w:rPr>
                <w:rFonts w:ascii="Times New Roman" w:hAnsi="Times New Roman"/>
                <w:shadow w:val="0"/>
                <w:snapToGrid w:val="0"/>
                <w:color w:val="000000"/>
              </w:rPr>
            </w:pPr>
            <w:r>
              <w:rPr>
                <w:rFonts w:ascii="Times New Roman" w:hAnsi="Times New Roman"/>
                <w:shadow w:val="0"/>
                <w:snapToGrid w:val="0"/>
                <w:color w:val="000000"/>
              </w:rPr>
              <w:t>Tangible Rate</w:t>
            </w:r>
          </w:p>
        </w:tc>
        <w:tc>
          <w:tcPr>
            <w:tcW w:w="1440" w:type="dxa"/>
            <w:tcBorders>
              <w:top w:val="single" w:sz="12" w:space="0" w:color="000000"/>
            </w:tcBorders>
            <w:vAlign w:val="bottom"/>
          </w:tcPr>
          <w:p w:rsidR="00923266" w:rsidRPr="00C75770" w:rsidRDefault="00923266">
            <w:pPr>
              <w:jc w:val="center"/>
              <w:rPr>
                <w:shadow w:val="0"/>
                <w:sz w:val="18"/>
                <w:szCs w:val="18"/>
              </w:rPr>
            </w:pPr>
            <w:r w:rsidRPr="00C75770">
              <w:rPr>
                <w:shadow w:val="0"/>
                <w:sz w:val="18"/>
                <w:szCs w:val="18"/>
              </w:rPr>
              <w:t xml:space="preserve">0.509 </w:t>
            </w:r>
          </w:p>
        </w:tc>
        <w:tc>
          <w:tcPr>
            <w:tcW w:w="1440" w:type="dxa"/>
            <w:tcBorders>
              <w:top w:val="single" w:sz="12" w:space="0" w:color="000000"/>
            </w:tcBorders>
            <w:vAlign w:val="bottom"/>
          </w:tcPr>
          <w:p w:rsidR="00923266" w:rsidRPr="00C75770" w:rsidRDefault="00923266">
            <w:pPr>
              <w:jc w:val="center"/>
              <w:rPr>
                <w:shadow w:val="0"/>
                <w:sz w:val="18"/>
                <w:szCs w:val="18"/>
              </w:rPr>
            </w:pPr>
            <w:r w:rsidRPr="00C75770">
              <w:rPr>
                <w:shadow w:val="0"/>
                <w:sz w:val="18"/>
                <w:szCs w:val="18"/>
              </w:rPr>
              <w:t xml:space="preserve">0.509 </w:t>
            </w:r>
          </w:p>
        </w:tc>
        <w:tc>
          <w:tcPr>
            <w:tcW w:w="1530" w:type="dxa"/>
            <w:tcBorders>
              <w:top w:val="single" w:sz="12" w:space="0" w:color="000000"/>
            </w:tcBorders>
            <w:vAlign w:val="bottom"/>
          </w:tcPr>
          <w:p w:rsidR="00923266" w:rsidRPr="00C75770" w:rsidRDefault="00923266">
            <w:pPr>
              <w:jc w:val="center"/>
              <w:rPr>
                <w:shadow w:val="0"/>
                <w:sz w:val="18"/>
                <w:szCs w:val="18"/>
              </w:rPr>
            </w:pPr>
            <w:r w:rsidRPr="00C75770">
              <w:rPr>
                <w:shadow w:val="0"/>
                <w:sz w:val="18"/>
                <w:szCs w:val="18"/>
              </w:rPr>
              <w:t xml:space="preserve">0.576 </w:t>
            </w:r>
          </w:p>
        </w:tc>
        <w:tc>
          <w:tcPr>
            <w:tcW w:w="1530" w:type="dxa"/>
            <w:tcBorders>
              <w:top w:val="single" w:sz="12" w:space="0" w:color="000000"/>
            </w:tcBorders>
            <w:vAlign w:val="bottom"/>
          </w:tcPr>
          <w:p w:rsidR="00923266" w:rsidRPr="00C75770" w:rsidRDefault="00923266">
            <w:pPr>
              <w:jc w:val="center"/>
              <w:rPr>
                <w:shadow w:val="0"/>
                <w:sz w:val="18"/>
                <w:szCs w:val="18"/>
              </w:rPr>
            </w:pPr>
            <w:r w:rsidRPr="00C75770">
              <w:rPr>
                <w:shadow w:val="0"/>
                <w:sz w:val="18"/>
                <w:szCs w:val="18"/>
              </w:rPr>
              <w:t xml:space="preserve">0.529 </w:t>
            </w:r>
          </w:p>
        </w:tc>
        <w:tc>
          <w:tcPr>
            <w:tcW w:w="1950" w:type="dxa"/>
            <w:tcBorders>
              <w:top w:val="single" w:sz="12" w:space="0" w:color="000000"/>
              <w:right w:val="single" w:sz="12" w:space="0" w:color="000000"/>
            </w:tcBorders>
          </w:tcPr>
          <w:p w:rsidR="00923266" w:rsidRDefault="00923266">
            <w:pPr>
              <w:jc w:val="right"/>
              <w:rPr>
                <w:rFonts w:ascii="Times New Roman" w:hAnsi="Times New Roman"/>
                <w:shadow w:val="0"/>
                <w:snapToGrid w:val="0"/>
                <w:color w:val="000000"/>
              </w:rPr>
            </w:pPr>
          </w:p>
        </w:tc>
      </w:tr>
      <w:tr w:rsidR="00923266">
        <w:tblPrEx>
          <w:tblCellMar>
            <w:top w:w="0" w:type="dxa"/>
            <w:bottom w:w="0" w:type="dxa"/>
          </w:tblCellMar>
        </w:tblPrEx>
        <w:trPr>
          <w:trHeight w:val="197"/>
        </w:trPr>
        <w:tc>
          <w:tcPr>
            <w:tcW w:w="1800" w:type="dxa"/>
            <w:tcBorders>
              <w:left w:val="single" w:sz="12" w:space="0" w:color="000000"/>
            </w:tcBorders>
          </w:tcPr>
          <w:p w:rsidR="00923266" w:rsidRDefault="00923266">
            <w:pPr>
              <w:rPr>
                <w:rFonts w:ascii="Times New Roman" w:hAnsi="Times New Roman"/>
                <w:shadow w:val="0"/>
                <w:snapToGrid w:val="0"/>
                <w:color w:val="000000"/>
              </w:rPr>
            </w:pPr>
            <w:r>
              <w:rPr>
                <w:rFonts w:ascii="Times New Roman" w:hAnsi="Times New Roman"/>
                <w:shadow w:val="0"/>
                <w:snapToGrid w:val="0"/>
                <w:color w:val="000000"/>
              </w:rPr>
              <w:t>Tangible Revenue</w:t>
            </w:r>
          </w:p>
        </w:tc>
        <w:tc>
          <w:tcPr>
            <w:tcW w:w="1440" w:type="dxa"/>
            <w:vAlign w:val="bottom"/>
          </w:tcPr>
          <w:p w:rsidR="00923266" w:rsidRPr="00C75770" w:rsidRDefault="00923266">
            <w:pPr>
              <w:jc w:val="center"/>
              <w:rPr>
                <w:shadow w:val="0"/>
                <w:sz w:val="18"/>
                <w:szCs w:val="18"/>
              </w:rPr>
            </w:pPr>
            <w:r w:rsidRPr="00C75770">
              <w:rPr>
                <w:shadow w:val="0"/>
                <w:sz w:val="18"/>
                <w:szCs w:val="18"/>
              </w:rPr>
              <w:t xml:space="preserve">$1,245,018 </w:t>
            </w:r>
          </w:p>
        </w:tc>
        <w:tc>
          <w:tcPr>
            <w:tcW w:w="1440" w:type="dxa"/>
            <w:vAlign w:val="bottom"/>
          </w:tcPr>
          <w:p w:rsidR="00923266" w:rsidRPr="00C75770" w:rsidRDefault="00923266">
            <w:pPr>
              <w:jc w:val="center"/>
              <w:rPr>
                <w:shadow w:val="0"/>
                <w:sz w:val="18"/>
                <w:szCs w:val="18"/>
              </w:rPr>
            </w:pPr>
            <w:r w:rsidRPr="00C75770">
              <w:rPr>
                <w:shadow w:val="0"/>
                <w:sz w:val="18"/>
                <w:szCs w:val="18"/>
              </w:rPr>
              <w:t xml:space="preserve">$1,530,710 </w:t>
            </w:r>
          </w:p>
        </w:tc>
        <w:tc>
          <w:tcPr>
            <w:tcW w:w="1530" w:type="dxa"/>
            <w:vAlign w:val="bottom"/>
          </w:tcPr>
          <w:p w:rsidR="00923266" w:rsidRPr="00C75770" w:rsidRDefault="00923266">
            <w:pPr>
              <w:jc w:val="center"/>
              <w:rPr>
                <w:shadow w:val="0"/>
                <w:sz w:val="18"/>
                <w:szCs w:val="18"/>
              </w:rPr>
            </w:pPr>
            <w:r w:rsidRPr="00C75770">
              <w:rPr>
                <w:shadow w:val="0"/>
                <w:sz w:val="18"/>
                <w:szCs w:val="18"/>
              </w:rPr>
              <w:t xml:space="preserve">$1,732,198 </w:t>
            </w:r>
          </w:p>
        </w:tc>
        <w:tc>
          <w:tcPr>
            <w:tcW w:w="1530" w:type="dxa"/>
            <w:vAlign w:val="bottom"/>
          </w:tcPr>
          <w:p w:rsidR="00923266" w:rsidRPr="00C75770" w:rsidRDefault="00923266">
            <w:pPr>
              <w:jc w:val="center"/>
              <w:rPr>
                <w:shadow w:val="0"/>
                <w:sz w:val="18"/>
                <w:szCs w:val="18"/>
              </w:rPr>
            </w:pPr>
            <w:r w:rsidRPr="00C75770">
              <w:rPr>
                <w:shadow w:val="0"/>
                <w:sz w:val="18"/>
                <w:szCs w:val="18"/>
              </w:rPr>
              <w:t xml:space="preserve">$1,590,856 </w:t>
            </w:r>
          </w:p>
        </w:tc>
        <w:tc>
          <w:tcPr>
            <w:tcW w:w="1950" w:type="dxa"/>
            <w:tcBorders>
              <w:right w:val="single" w:sz="12" w:space="0" w:color="000000"/>
            </w:tcBorders>
          </w:tcPr>
          <w:p w:rsidR="00923266" w:rsidRDefault="00923266">
            <w:pPr>
              <w:jc w:val="right"/>
              <w:rPr>
                <w:rFonts w:ascii="Times New Roman" w:hAnsi="Times New Roman"/>
                <w:shadow w:val="0"/>
                <w:snapToGrid w:val="0"/>
                <w:color w:val="000000"/>
              </w:rPr>
            </w:pPr>
          </w:p>
        </w:tc>
      </w:tr>
      <w:tr w:rsidR="00923266">
        <w:tblPrEx>
          <w:tblCellMar>
            <w:top w:w="0" w:type="dxa"/>
            <w:bottom w:w="0" w:type="dxa"/>
          </w:tblCellMar>
        </w:tblPrEx>
        <w:trPr>
          <w:trHeight w:val="211"/>
        </w:trPr>
        <w:tc>
          <w:tcPr>
            <w:tcW w:w="1800" w:type="dxa"/>
            <w:tcBorders>
              <w:top w:val="single" w:sz="12" w:space="0" w:color="000000"/>
              <w:left w:val="single" w:sz="12" w:space="0" w:color="000000"/>
              <w:bottom w:val="single" w:sz="12" w:space="0" w:color="000000"/>
            </w:tcBorders>
            <w:shd w:val="pct5" w:color="auto" w:fill="FFFFFF"/>
          </w:tcPr>
          <w:p w:rsidR="00923266" w:rsidRDefault="00923266">
            <w:pPr>
              <w:rPr>
                <w:rFonts w:ascii="Times New Roman" w:hAnsi="Times New Roman"/>
                <w:shadow w:val="0"/>
                <w:snapToGrid w:val="0"/>
                <w:color w:val="000000"/>
              </w:rPr>
            </w:pPr>
            <w:r>
              <w:rPr>
                <w:rFonts w:ascii="Times New Roman" w:hAnsi="Times New Roman"/>
                <w:shadow w:val="0"/>
                <w:snapToGrid w:val="0"/>
                <w:color w:val="000000"/>
              </w:rPr>
              <w:t>Subtotal Revenue</w:t>
            </w:r>
          </w:p>
        </w:tc>
        <w:tc>
          <w:tcPr>
            <w:tcW w:w="1440" w:type="dxa"/>
            <w:tcBorders>
              <w:top w:val="single" w:sz="12" w:space="0" w:color="000000"/>
              <w:bottom w:val="single" w:sz="12" w:space="0" w:color="000000"/>
            </w:tcBorders>
            <w:shd w:val="pct5" w:color="auto" w:fill="FFFFFF"/>
            <w:vAlign w:val="bottom"/>
          </w:tcPr>
          <w:p w:rsidR="00923266" w:rsidRPr="00C75770" w:rsidRDefault="00923266">
            <w:pPr>
              <w:jc w:val="center"/>
              <w:rPr>
                <w:b/>
                <w:bCs/>
                <w:shadow w:val="0"/>
                <w:sz w:val="18"/>
                <w:szCs w:val="18"/>
              </w:rPr>
            </w:pPr>
            <w:r w:rsidRPr="00C75770">
              <w:rPr>
                <w:b/>
                <w:bCs/>
                <w:shadow w:val="0"/>
                <w:sz w:val="18"/>
                <w:szCs w:val="18"/>
              </w:rPr>
              <w:t xml:space="preserve">$11,846,767 </w:t>
            </w:r>
          </w:p>
        </w:tc>
        <w:tc>
          <w:tcPr>
            <w:tcW w:w="1440" w:type="dxa"/>
            <w:tcBorders>
              <w:top w:val="single" w:sz="12" w:space="0" w:color="000000"/>
              <w:bottom w:val="single" w:sz="12" w:space="0" w:color="000000"/>
            </w:tcBorders>
            <w:shd w:val="pct5" w:color="auto" w:fill="FFFFFF"/>
            <w:vAlign w:val="bottom"/>
          </w:tcPr>
          <w:p w:rsidR="00923266" w:rsidRPr="00C75770" w:rsidRDefault="00923266">
            <w:pPr>
              <w:jc w:val="center"/>
              <w:rPr>
                <w:b/>
                <w:bCs/>
                <w:shadow w:val="0"/>
                <w:sz w:val="18"/>
                <w:szCs w:val="18"/>
              </w:rPr>
            </w:pPr>
            <w:r w:rsidRPr="00C75770">
              <w:rPr>
                <w:b/>
                <w:bCs/>
                <w:shadow w:val="0"/>
                <w:sz w:val="18"/>
                <w:szCs w:val="18"/>
              </w:rPr>
              <w:t xml:space="preserve">$14,565,227 </w:t>
            </w:r>
          </w:p>
        </w:tc>
        <w:tc>
          <w:tcPr>
            <w:tcW w:w="1530" w:type="dxa"/>
            <w:tcBorders>
              <w:top w:val="single" w:sz="12" w:space="0" w:color="000000"/>
              <w:bottom w:val="single" w:sz="12" w:space="0" w:color="000000"/>
            </w:tcBorders>
            <w:shd w:val="pct5" w:color="auto" w:fill="FFFFFF"/>
            <w:vAlign w:val="bottom"/>
          </w:tcPr>
          <w:p w:rsidR="00923266" w:rsidRPr="00C75770" w:rsidRDefault="00923266">
            <w:pPr>
              <w:jc w:val="center"/>
              <w:rPr>
                <w:b/>
                <w:bCs/>
                <w:shadow w:val="0"/>
                <w:sz w:val="18"/>
                <w:szCs w:val="18"/>
              </w:rPr>
            </w:pPr>
            <w:r w:rsidRPr="00C75770">
              <w:rPr>
                <w:b/>
                <w:bCs/>
                <w:shadow w:val="0"/>
                <w:sz w:val="18"/>
                <w:szCs w:val="18"/>
              </w:rPr>
              <w:t xml:space="preserve">$16,482,457 </w:t>
            </w:r>
          </w:p>
        </w:tc>
        <w:tc>
          <w:tcPr>
            <w:tcW w:w="1530" w:type="dxa"/>
            <w:tcBorders>
              <w:top w:val="single" w:sz="12" w:space="0" w:color="000000"/>
              <w:bottom w:val="single" w:sz="12" w:space="0" w:color="000000"/>
            </w:tcBorders>
            <w:shd w:val="pct5" w:color="auto" w:fill="FFFFFF"/>
            <w:vAlign w:val="bottom"/>
          </w:tcPr>
          <w:p w:rsidR="00923266" w:rsidRPr="00C75770" w:rsidRDefault="00923266">
            <w:pPr>
              <w:jc w:val="center"/>
              <w:rPr>
                <w:b/>
                <w:bCs/>
                <w:shadow w:val="0"/>
                <w:sz w:val="18"/>
                <w:szCs w:val="18"/>
              </w:rPr>
            </w:pPr>
            <w:r w:rsidRPr="00C75770">
              <w:rPr>
                <w:b/>
                <w:bCs/>
                <w:shadow w:val="0"/>
                <w:sz w:val="18"/>
                <w:szCs w:val="18"/>
              </w:rPr>
              <w:t xml:space="preserve">$15,137,535 </w:t>
            </w:r>
          </w:p>
        </w:tc>
        <w:tc>
          <w:tcPr>
            <w:tcW w:w="1950" w:type="dxa"/>
            <w:tcBorders>
              <w:top w:val="single" w:sz="12" w:space="0" w:color="000000"/>
              <w:bottom w:val="single" w:sz="12" w:space="0" w:color="000000"/>
              <w:right w:val="single" w:sz="12" w:space="0" w:color="000000"/>
            </w:tcBorders>
            <w:shd w:val="pct5" w:color="auto" w:fill="FFFFFF"/>
          </w:tcPr>
          <w:p w:rsidR="00923266" w:rsidRDefault="00923266">
            <w:pPr>
              <w:jc w:val="right"/>
              <w:rPr>
                <w:rFonts w:ascii="Times New Roman" w:hAnsi="Times New Roman"/>
                <w:shadow w:val="0"/>
                <w:snapToGrid w:val="0"/>
                <w:color w:val="000000"/>
              </w:rPr>
            </w:pPr>
          </w:p>
        </w:tc>
      </w:tr>
      <w:tr w:rsidR="00923266">
        <w:tblPrEx>
          <w:tblCellMar>
            <w:top w:w="0" w:type="dxa"/>
            <w:bottom w:w="0" w:type="dxa"/>
          </w:tblCellMar>
        </w:tblPrEx>
        <w:trPr>
          <w:trHeight w:val="187"/>
        </w:trPr>
        <w:tc>
          <w:tcPr>
            <w:tcW w:w="1800" w:type="dxa"/>
            <w:tcBorders>
              <w:left w:val="single" w:sz="12" w:space="0" w:color="000000"/>
            </w:tcBorders>
          </w:tcPr>
          <w:p w:rsidR="00923266" w:rsidRDefault="00923266">
            <w:pPr>
              <w:rPr>
                <w:rFonts w:ascii="Times New Roman" w:hAnsi="Times New Roman"/>
                <w:shadow w:val="0"/>
                <w:snapToGrid w:val="0"/>
                <w:color w:val="000000"/>
              </w:rPr>
            </w:pPr>
            <w:r>
              <w:rPr>
                <w:rFonts w:ascii="Times New Roman" w:hAnsi="Times New Roman"/>
                <w:shadow w:val="0"/>
                <w:snapToGrid w:val="0"/>
                <w:color w:val="000000"/>
              </w:rPr>
              <w:t>Recover Exn Rate</w:t>
            </w:r>
          </w:p>
        </w:tc>
        <w:tc>
          <w:tcPr>
            <w:tcW w:w="1440" w:type="dxa"/>
            <w:vAlign w:val="bottom"/>
          </w:tcPr>
          <w:p w:rsidR="00923266" w:rsidRPr="00C75770" w:rsidRDefault="00923266">
            <w:pPr>
              <w:jc w:val="center"/>
              <w:rPr>
                <w:shadow w:val="0"/>
                <w:sz w:val="18"/>
                <w:szCs w:val="18"/>
              </w:rPr>
            </w:pPr>
            <w:r w:rsidRPr="00C75770">
              <w:rPr>
                <w:shadow w:val="0"/>
                <w:sz w:val="18"/>
                <w:szCs w:val="18"/>
              </w:rPr>
              <w:t xml:space="preserve">0.001 </w:t>
            </w:r>
          </w:p>
        </w:tc>
        <w:tc>
          <w:tcPr>
            <w:tcW w:w="1440" w:type="dxa"/>
            <w:vAlign w:val="bottom"/>
          </w:tcPr>
          <w:p w:rsidR="00923266" w:rsidRPr="00C75770" w:rsidRDefault="00923266">
            <w:pPr>
              <w:jc w:val="center"/>
              <w:rPr>
                <w:shadow w:val="0"/>
                <w:sz w:val="18"/>
                <w:szCs w:val="18"/>
              </w:rPr>
            </w:pPr>
            <w:r w:rsidRPr="00C75770">
              <w:rPr>
                <w:shadow w:val="0"/>
                <w:sz w:val="18"/>
                <w:szCs w:val="18"/>
              </w:rPr>
              <w:t xml:space="preserve">0.001 </w:t>
            </w:r>
          </w:p>
        </w:tc>
        <w:tc>
          <w:tcPr>
            <w:tcW w:w="1530" w:type="dxa"/>
            <w:vAlign w:val="bottom"/>
          </w:tcPr>
          <w:p w:rsidR="00923266" w:rsidRPr="00C75770" w:rsidRDefault="00923266">
            <w:pPr>
              <w:jc w:val="center"/>
              <w:rPr>
                <w:shadow w:val="0"/>
                <w:sz w:val="18"/>
                <w:szCs w:val="18"/>
              </w:rPr>
            </w:pPr>
            <w:r w:rsidRPr="00C75770">
              <w:rPr>
                <w:shadow w:val="0"/>
                <w:sz w:val="18"/>
                <w:szCs w:val="18"/>
              </w:rPr>
              <w:t xml:space="preserve">0.001 </w:t>
            </w:r>
          </w:p>
        </w:tc>
        <w:tc>
          <w:tcPr>
            <w:tcW w:w="1530" w:type="dxa"/>
            <w:vAlign w:val="bottom"/>
          </w:tcPr>
          <w:p w:rsidR="00923266" w:rsidRPr="00C75770" w:rsidRDefault="00923266">
            <w:pPr>
              <w:jc w:val="center"/>
              <w:rPr>
                <w:shadow w:val="0"/>
                <w:sz w:val="18"/>
                <w:szCs w:val="18"/>
              </w:rPr>
            </w:pPr>
            <w:r w:rsidRPr="00C75770">
              <w:rPr>
                <w:shadow w:val="0"/>
                <w:sz w:val="18"/>
                <w:szCs w:val="18"/>
              </w:rPr>
              <w:t xml:space="preserve">0.001 </w:t>
            </w:r>
          </w:p>
        </w:tc>
        <w:tc>
          <w:tcPr>
            <w:tcW w:w="1950" w:type="dxa"/>
            <w:tcBorders>
              <w:right w:val="single" w:sz="12" w:space="0" w:color="000000"/>
            </w:tcBorders>
          </w:tcPr>
          <w:p w:rsidR="00923266" w:rsidRDefault="00923266">
            <w:pPr>
              <w:jc w:val="right"/>
              <w:rPr>
                <w:rFonts w:ascii="Times New Roman" w:hAnsi="Times New Roman"/>
                <w:shadow w:val="0"/>
                <w:snapToGrid w:val="0"/>
                <w:color w:val="000000"/>
              </w:rPr>
            </w:pPr>
          </w:p>
        </w:tc>
      </w:tr>
      <w:tr w:rsidR="00923266">
        <w:tblPrEx>
          <w:tblCellMar>
            <w:top w:w="0" w:type="dxa"/>
            <w:bottom w:w="0" w:type="dxa"/>
          </w:tblCellMar>
        </w:tblPrEx>
        <w:trPr>
          <w:trHeight w:val="197"/>
        </w:trPr>
        <w:tc>
          <w:tcPr>
            <w:tcW w:w="1800" w:type="dxa"/>
            <w:tcBorders>
              <w:left w:val="single" w:sz="12" w:space="0" w:color="000000"/>
            </w:tcBorders>
          </w:tcPr>
          <w:p w:rsidR="00923266" w:rsidRDefault="00923266">
            <w:pPr>
              <w:rPr>
                <w:rFonts w:ascii="Times New Roman" w:hAnsi="Times New Roman"/>
                <w:shadow w:val="0"/>
                <w:snapToGrid w:val="0"/>
                <w:color w:val="000000"/>
              </w:rPr>
            </w:pPr>
            <w:r>
              <w:rPr>
                <w:rFonts w:ascii="Times New Roman" w:hAnsi="Times New Roman"/>
                <w:shadow w:val="0"/>
                <w:snapToGrid w:val="0"/>
                <w:color w:val="000000"/>
              </w:rPr>
              <w:t>Revenue</w:t>
            </w:r>
          </w:p>
        </w:tc>
        <w:tc>
          <w:tcPr>
            <w:tcW w:w="1440" w:type="dxa"/>
            <w:vAlign w:val="bottom"/>
          </w:tcPr>
          <w:p w:rsidR="00923266" w:rsidRPr="00C75770" w:rsidRDefault="00923266">
            <w:pPr>
              <w:jc w:val="center"/>
              <w:rPr>
                <w:shadow w:val="0"/>
                <w:sz w:val="18"/>
                <w:szCs w:val="18"/>
              </w:rPr>
            </w:pPr>
            <w:r w:rsidRPr="00C75770">
              <w:rPr>
                <w:shadow w:val="0"/>
                <w:sz w:val="18"/>
                <w:szCs w:val="18"/>
              </w:rPr>
              <w:t xml:space="preserve">$28,615 </w:t>
            </w:r>
          </w:p>
        </w:tc>
        <w:tc>
          <w:tcPr>
            <w:tcW w:w="1440" w:type="dxa"/>
            <w:vAlign w:val="bottom"/>
          </w:tcPr>
          <w:p w:rsidR="00923266" w:rsidRPr="00C75770" w:rsidRDefault="00923266">
            <w:pPr>
              <w:jc w:val="center"/>
              <w:rPr>
                <w:shadow w:val="0"/>
                <w:sz w:val="18"/>
                <w:szCs w:val="18"/>
              </w:rPr>
            </w:pPr>
            <w:r w:rsidRPr="00C75770">
              <w:rPr>
                <w:shadow w:val="0"/>
                <w:sz w:val="18"/>
                <w:szCs w:val="18"/>
              </w:rPr>
              <w:t xml:space="preserve">$28,615 </w:t>
            </w:r>
          </w:p>
        </w:tc>
        <w:tc>
          <w:tcPr>
            <w:tcW w:w="1530" w:type="dxa"/>
            <w:vAlign w:val="bottom"/>
          </w:tcPr>
          <w:p w:rsidR="00923266" w:rsidRPr="00C75770" w:rsidRDefault="00923266">
            <w:pPr>
              <w:jc w:val="center"/>
              <w:rPr>
                <w:shadow w:val="0"/>
                <w:sz w:val="18"/>
                <w:szCs w:val="18"/>
              </w:rPr>
            </w:pPr>
            <w:r w:rsidRPr="00C75770">
              <w:rPr>
                <w:shadow w:val="0"/>
                <w:sz w:val="18"/>
                <w:szCs w:val="18"/>
              </w:rPr>
              <w:t xml:space="preserve">$28,615 </w:t>
            </w:r>
          </w:p>
        </w:tc>
        <w:tc>
          <w:tcPr>
            <w:tcW w:w="1530" w:type="dxa"/>
            <w:vAlign w:val="bottom"/>
          </w:tcPr>
          <w:p w:rsidR="00923266" w:rsidRPr="00C75770" w:rsidRDefault="00923266">
            <w:pPr>
              <w:jc w:val="center"/>
              <w:rPr>
                <w:shadow w:val="0"/>
                <w:sz w:val="18"/>
                <w:szCs w:val="18"/>
              </w:rPr>
            </w:pPr>
            <w:r w:rsidRPr="00C75770">
              <w:rPr>
                <w:shadow w:val="0"/>
                <w:sz w:val="18"/>
                <w:szCs w:val="18"/>
              </w:rPr>
              <w:t xml:space="preserve">$28,615 </w:t>
            </w:r>
          </w:p>
        </w:tc>
        <w:tc>
          <w:tcPr>
            <w:tcW w:w="1950" w:type="dxa"/>
            <w:tcBorders>
              <w:right w:val="single" w:sz="12" w:space="0" w:color="000000"/>
            </w:tcBorders>
          </w:tcPr>
          <w:p w:rsidR="00923266" w:rsidRDefault="00923266">
            <w:pPr>
              <w:jc w:val="right"/>
              <w:rPr>
                <w:rFonts w:ascii="Times New Roman" w:hAnsi="Times New Roman"/>
                <w:shadow w:val="0"/>
                <w:snapToGrid w:val="0"/>
                <w:color w:val="000000"/>
              </w:rPr>
            </w:pPr>
          </w:p>
        </w:tc>
      </w:tr>
      <w:tr w:rsidR="00923266">
        <w:tblPrEx>
          <w:tblCellMar>
            <w:top w:w="0" w:type="dxa"/>
            <w:bottom w:w="0" w:type="dxa"/>
          </w:tblCellMar>
        </w:tblPrEx>
        <w:trPr>
          <w:trHeight w:val="197"/>
        </w:trPr>
        <w:tc>
          <w:tcPr>
            <w:tcW w:w="1800" w:type="dxa"/>
            <w:tcBorders>
              <w:top w:val="double" w:sz="4" w:space="0" w:color="auto"/>
              <w:left w:val="single" w:sz="12" w:space="0" w:color="000000"/>
            </w:tcBorders>
            <w:shd w:val="pct10" w:color="auto" w:fill="FFFFFF"/>
          </w:tcPr>
          <w:p w:rsidR="00923266" w:rsidRDefault="00923266">
            <w:pPr>
              <w:rPr>
                <w:rFonts w:ascii="Times New Roman" w:hAnsi="Times New Roman"/>
                <w:b/>
                <w:shadow w:val="0"/>
                <w:snapToGrid w:val="0"/>
                <w:color w:val="000000"/>
              </w:rPr>
            </w:pPr>
            <w:r>
              <w:rPr>
                <w:rFonts w:ascii="Times New Roman" w:hAnsi="Times New Roman"/>
                <w:b/>
                <w:shadow w:val="0"/>
                <w:snapToGrid w:val="0"/>
                <w:color w:val="000000"/>
              </w:rPr>
              <w:t>Total Revenue</w:t>
            </w:r>
          </w:p>
        </w:tc>
        <w:tc>
          <w:tcPr>
            <w:tcW w:w="1440" w:type="dxa"/>
            <w:tcBorders>
              <w:top w:val="double" w:sz="4" w:space="0" w:color="auto"/>
            </w:tcBorders>
            <w:shd w:val="pct10" w:color="auto" w:fill="FFFFFF"/>
            <w:vAlign w:val="bottom"/>
          </w:tcPr>
          <w:p w:rsidR="00923266" w:rsidRPr="00C75770" w:rsidRDefault="00923266">
            <w:pPr>
              <w:jc w:val="center"/>
              <w:rPr>
                <w:b/>
                <w:bCs/>
                <w:shadow w:val="0"/>
                <w:sz w:val="18"/>
                <w:szCs w:val="18"/>
              </w:rPr>
            </w:pPr>
            <w:r w:rsidRPr="00C75770">
              <w:rPr>
                <w:b/>
                <w:bCs/>
                <w:shadow w:val="0"/>
                <w:sz w:val="18"/>
                <w:szCs w:val="18"/>
              </w:rPr>
              <w:t xml:space="preserve">$11,875,382 </w:t>
            </w:r>
          </w:p>
        </w:tc>
        <w:tc>
          <w:tcPr>
            <w:tcW w:w="1440" w:type="dxa"/>
            <w:tcBorders>
              <w:top w:val="double" w:sz="4" w:space="0" w:color="auto"/>
            </w:tcBorders>
            <w:shd w:val="pct10" w:color="auto" w:fill="FFFFFF"/>
            <w:vAlign w:val="bottom"/>
          </w:tcPr>
          <w:p w:rsidR="00923266" w:rsidRPr="00C75770" w:rsidRDefault="00923266">
            <w:pPr>
              <w:jc w:val="center"/>
              <w:rPr>
                <w:b/>
                <w:bCs/>
                <w:shadow w:val="0"/>
                <w:sz w:val="18"/>
                <w:szCs w:val="18"/>
              </w:rPr>
            </w:pPr>
            <w:r w:rsidRPr="00C75770">
              <w:rPr>
                <w:b/>
                <w:bCs/>
                <w:shadow w:val="0"/>
                <w:sz w:val="18"/>
                <w:szCs w:val="18"/>
              </w:rPr>
              <w:t xml:space="preserve">$14,593,842 </w:t>
            </w:r>
          </w:p>
        </w:tc>
        <w:tc>
          <w:tcPr>
            <w:tcW w:w="1530" w:type="dxa"/>
            <w:tcBorders>
              <w:top w:val="double" w:sz="4" w:space="0" w:color="auto"/>
            </w:tcBorders>
            <w:shd w:val="pct10" w:color="auto" w:fill="FFFFFF"/>
            <w:vAlign w:val="bottom"/>
          </w:tcPr>
          <w:p w:rsidR="00923266" w:rsidRPr="00C75770" w:rsidRDefault="00923266">
            <w:pPr>
              <w:jc w:val="center"/>
              <w:rPr>
                <w:b/>
                <w:bCs/>
                <w:shadow w:val="0"/>
                <w:sz w:val="18"/>
                <w:szCs w:val="18"/>
              </w:rPr>
            </w:pPr>
            <w:r w:rsidRPr="00C75770">
              <w:rPr>
                <w:b/>
                <w:bCs/>
                <w:shadow w:val="0"/>
                <w:sz w:val="18"/>
                <w:szCs w:val="18"/>
              </w:rPr>
              <w:t xml:space="preserve">$16,511,072 </w:t>
            </w:r>
          </w:p>
        </w:tc>
        <w:tc>
          <w:tcPr>
            <w:tcW w:w="1530" w:type="dxa"/>
            <w:tcBorders>
              <w:top w:val="double" w:sz="4" w:space="0" w:color="auto"/>
            </w:tcBorders>
            <w:shd w:val="pct10" w:color="auto" w:fill="FFFFFF"/>
            <w:vAlign w:val="bottom"/>
          </w:tcPr>
          <w:p w:rsidR="00923266" w:rsidRPr="00C75770" w:rsidRDefault="00923266">
            <w:pPr>
              <w:jc w:val="center"/>
              <w:rPr>
                <w:b/>
                <w:bCs/>
                <w:shadow w:val="0"/>
                <w:sz w:val="18"/>
                <w:szCs w:val="18"/>
              </w:rPr>
            </w:pPr>
            <w:r w:rsidRPr="00C75770">
              <w:rPr>
                <w:b/>
                <w:bCs/>
                <w:shadow w:val="0"/>
                <w:sz w:val="18"/>
                <w:szCs w:val="18"/>
              </w:rPr>
              <w:t xml:space="preserve">$15,166,150 </w:t>
            </w:r>
          </w:p>
        </w:tc>
        <w:tc>
          <w:tcPr>
            <w:tcW w:w="1950" w:type="dxa"/>
            <w:tcBorders>
              <w:top w:val="double" w:sz="4" w:space="0" w:color="auto"/>
              <w:right w:val="single" w:sz="12" w:space="0" w:color="000000"/>
            </w:tcBorders>
            <w:shd w:val="pct10" w:color="auto" w:fill="FFFFFF"/>
          </w:tcPr>
          <w:p w:rsidR="00923266" w:rsidRDefault="00923266">
            <w:pPr>
              <w:jc w:val="right"/>
              <w:rPr>
                <w:rFonts w:ascii="Times New Roman" w:hAnsi="Times New Roman"/>
                <w:b/>
                <w:shadow w:val="0"/>
                <w:snapToGrid w:val="0"/>
                <w:color w:val="000000"/>
              </w:rPr>
            </w:pPr>
          </w:p>
        </w:tc>
      </w:tr>
      <w:tr w:rsidR="002007C4">
        <w:tblPrEx>
          <w:tblCellMar>
            <w:top w:w="0" w:type="dxa"/>
            <w:bottom w:w="0" w:type="dxa"/>
          </w:tblCellMar>
        </w:tblPrEx>
        <w:trPr>
          <w:trHeight w:val="187"/>
        </w:trPr>
        <w:tc>
          <w:tcPr>
            <w:tcW w:w="1800" w:type="dxa"/>
            <w:tcBorders>
              <w:top w:val="single" w:sz="12" w:space="0" w:color="auto"/>
              <w:left w:val="single" w:sz="12" w:space="0" w:color="auto"/>
            </w:tcBorders>
          </w:tcPr>
          <w:p w:rsidR="002007C4" w:rsidRDefault="002007C4">
            <w:pPr>
              <w:jc w:val="center"/>
              <w:rPr>
                <w:rFonts w:ascii="Times New Roman" w:hAnsi="Times New Roman"/>
                <w:shadow w:val="0"/>
                <w:snapToGrid w:val="0"/>
                <w:color w:val="000000"/>
                <w:sz w:val="18"/>
                <w:szCs w:val="18"/>
              </w:rPr>
            </w:pPr>
            <w:r>
              <w:rPr>
                <w:rFonts w:ascii="Times New Roman" w:hAnsi="Times New Roman"/>
                <w:shadow w:val="0"/>
                <w:snapToGrid w:val="0"/>
                <w:color w:val="000000"/>
                <w:sz w:val="18"/>
                <w:szCs w:val="18"/>
              </w:rPr>
              <w:t>s/</w:t>
            </w:r>
          </w:p>
        </w:tc>
        <w:tc>
          <w:tcPr>
            <w:tcW w:w="5940" w:type="dxa"/>
            <w:gridSpan w:val="4"/>
            <w:tcBorders>
              <w:top w:val="single" w:sz="12" w:space="0" w:color="auto"/>
            </w:tcBorders>
          </w:tcPr>
          <w:p w:rsidR="002007C4" w:rsidRDefault="002007C4">
            <w:pPr>
              <w:rPr>
                <w:rFonts w:ascii="Times New Roman" w:hAnsi="Times New Roman"/>
                <w:shadow w:val="0"/>
                <w:snapToGrid w:val="0"/>
                <w:color w:val="000000"/>
                <w:sz w:val="18"/>
                <w:szCs w:val="18"/>
              </w:rPr>
            </w:pPr>
            <w:r>
              <w:rPr>
                <w:rFonts w:ascii="Times New Roman" w:hAnsi="Times New Roman"/>
                <w:shadow w:val="0"/>
                <w:snapToGrid w:val="0"/>
                <w:color w:val="000000"/>
                <w:sz w:val="18"/>
                <w:szCs w:val="18"/>
              </w:rPr>
              <w:t>No hearing required – no recall  KRS 157.440 (1)(b)</w:t>
            </w:r>
          </w:p>
        </w:tc>
        <w:tc>
          <w:tcPr>
            <w:tcW w:w="1950" w:type="dxa"/>
            <w:tcBorders>
              <w:top w:val="single" w:sz="12" w:space="0" w:color="auto"/>
              <w:right w:val="single" w:sz="12" w:space="0" w:color="auto"/>
            </w:tcBorders>
          </w:tcPr>
          <w:p w:rsidR="002007C4" w:rsidRDefault="002007C4">
            <w:pPr>
              <w:jc w:val="right"/>
              <w:rPr>
                <w:rFonts w:ascii="Times New Roman" w:hAnsi="Times New Roman"/>
                <w:snapToGrid w:val="0"/>
                <w:color w:val="000000"/>
              </w:rPr>
            </w:pPr>
          </w:p>
        </w:tc>
      </w:tr>
      <w:tr w:rsidR="002007C4">
        <w:tblPrEx>
          <w:tblCellMar>
            <w:top w:w="0" w:type="dxa"/>
            <w:bottom w:w="0" w:type="dxa"/>
          </w:tblCellMar>
        </w:tblPrEx>
        <w:trPr>
          <w:trHeight w:val="187"/>
        </w:trPr>
        <w:tc>
          <w:tcPr>
            <w:tcW w:w="1800" w:type="dxa"/>
            <w:tcBorders>
              <w:left w:val="single" w:sz="12" w:space="0" w:color="auto"/>
            </w:tcBorders>
          </w:tcPr>
          <w:p w:rsidR="002007C4" w:rsidRDefault="002007C4">
            <w:pPr>
              <w:jc w:val="center"/>
              <w:rPr>
                <w:rFonts w:ascii="Times New Roman" w:hAnsi="Times New Roman"/>
                <w:shadow w:val="0"/>
                <w:snapToGrid w:val="0"/>
                <w:color w:val="000000"/>
                <w:sz w:val="18"/>
                <w:szCs w:val="18"/>
              </w:rPr>
            </w:pPr>
            <w:r>
              <w:rPr>
                <w:rFonts w:ascii="Times New Roman" w:hAnsi="Times New Roman"/>
                <w:shadow w:val="0"/>
                <w:snapToGrid w:val="0"/>
                <w:color w:val="000000"/>
                <w:sz w:val="18"/>
                <w:szCs w:val="18"/>
              </w:rPr>
              <w:t>1/</w:t>
            </w:r>
          </w:p>
        </w:tc>
        <w:tc>
          <w:tcPr>
            <w:tcW w:w="7890" w:type="dxa"/>
            <w:gridSpan w:val="5"/>
            <w:tcBorders>
              <w:right w:val="single" w:sz="12" w:space="0" w:color="auto"/>
            </w:tcBorders>
          </w:tcPr>
          <w:p w:rsidR="002007C4" w:rsidRDefault="002007C4">
            <w:pPr>
              <w:rPr>
                <w:rFonts w:ascii="Times New Roman" w:hAnsi="Times New Roman"/>
                <w:shadow w:val="0"/>
                <w:snapToGrid w:val="0"/>
                <w:color w:val="000000"/>
                <w:sz w:val="18"/>
                <w:szCs w:val="18"/>
              </w:rPr>
            </w:pPr>
            <w:r>
              <w:rPr>
                <w:rFonts w:ascii="Times New Roman" w:hAnsi="Times New Roman"/>
                <w:shadow w:val="0"/>
                <w:snapToGrid w:val="0"/>
                <w:color w:val="000000"/>
                <w:sz w:val="18"/>
                <w:szCs w:val="18"/>
              </w:rPr>
              <w:t>No hearing required – no recall (cannot be levied if higher than Subsection 1). KRS 160.470 (2)</w:t>
            </w:r>
          </w:p>
        </w:tc>
      </w:tr>
      <w:tr w:rsidR="002007C4">
        <w:tblPrEx>
          <w:tblCellMar>
            <w:top w:w="0" w:type="dxa"/>
            <w:bottom w:w="0" w:type="dxa"/>
          </w:tblCellMar>
        </w:tblPrEx>
        <w:trPr>
          <w:trHeight w:val="187"/>
        </w:trPr>
        <w:tc>
          <w:tcPr>
            <w:tcW w:w="1800" w:type="dxa"/>
            <w:tcBorders>
              <w:left w:val="single" w:sz="12" w:space="0" w:color="auto"/>
            </w:tcBorders>
          </w:tcPr>
          <w:p w:rsidR="002007C4" w:rsidRDefault="002007C4">
            <w:pPr>
              <w:jc w:val="center"/>
              <w:rPr>
                <w:rFonts w:ascii="Times New Roman" w:hAnsi="Times New Roman"/>
                <w:shadow w:val="0"/>
                <w:snapToGrid w:val="0"/>
                <w:color w:val="000000"/>
                <w:sz w:val="18"/>
                <w:szCs w:val="18"/>
              </w:rPr>
            </w:pPr>
            <w:r>
              <w:rPr>
                <w:rFonts w:ascii="Times New Roman" w:hAnsi="Times New Roman"/>
                <w:shadow w:val="0"/>
                <w:snapToGrid w:val="0"/>
                <w:color w:val="000000"/>
                <w:sz w:val="18"/>
                <w:szCs w:val="18"/>
              </w:rPr>
              <w:t>2/</w:t>
            </w:r>
          </w:p>
        </w:tc>
        <w:tc>
          <w:tcPr>
            <w:tcW w:w="7890" w:type="dxa"/>
            <w:gridSpan w:val="5"/>
            <w:tcBorders>
              <w:right w:val="single" w:sz="12" w:space="0" w:color="auto"/>
            </w:tcBorders>
          </w:tcPr>
          <w:p w:rsidR="002007C4" w:rsidRDefault="002007C4">
            <w:pPr>
              <w:rPr>
                <w:rFonts w:ascii="Times New Roman" w:hAnsi="Times New Roman"/>
                <w:shadow w:val="0"/>
                <w:snapToGrid w:val="0"/>
                <w:color w:val="000000"/>
                <w:sz w:val="18"/>
                <w:szCs w:val="18"/>
              </w:rPr>
            </w:pPr>
            <w:r>
              <w:rPr>
                <w:rFonts w:ascii="Times New Roman" w:hAnsi="Times New Roman"/>
                <w:shadow w:val="0"/>
                <w:snapToGrid w:val="0"/>
                <w:color w:val="000000"/>
                <w:sz w:val="18"/>
                <w:szCs w:val="18"/>
              </w:rPr>
              <w:t>Hearing required if this rate exceeds the compensating rate; subject to recall if exceeds 4 percent. KRS 160.470 (1)</w:t>
            </w:r>
          </w:p>
        </w:tc>
      </w:tr>
      <w:tr w:rsidR="002007C4">
        <w:tblPrEx>
          <w:tblCellMar>
            <w:top w:w="0" w:type="dxa"/>
            <w:bottom w:w="0" w:type="dxa"/>
          </w:tblCellMar>
        </w:tblPrEx>
        <w:trPr>
          <w:trHeight w:val="197"/>
        </w:trPr>
        <w:tc>
          <w:tcPr>
            <w:tcW w:w="1800" w:type="dxa"/>
            <w:tcBorders>
              <w:left w:val="single" w:sz="12" w:space="0" w:color="auto"/>
            </w:tcBorders>
          </w:tcPr>
          <w:p w:rsidR="002007C4" w:rsidRDefault="002007C4">
            <w:pPr>
              <w:jc w:val="center"/>
              <w:rPr>
                <w:rFonts w:ascii="Times New Roman" w:hAnsi="Times New Roman"/>
                <w:shadow w:val="0"/>
                <w:snapToGrid w:val="0"/>
                <w:color w:val="000000"/>
                <w:sz w:val="18"/>
                <w:szCs w:val="18"/>
              </w:rPr>
            </w:pPr>
            <w:r>
              <w:rPr>
                <w:rFonts w:ascii="Times New Roman" w:hAnsi="Times New Roman"/>
                <w:shadow w:val="0"/>
                <w:snapToGrid w:val="0"/>
                <w:color w:val="000000"/>
                <w:sz w:val="18"/>
                <w:szCs w:val="18"/>
              </w:rPr>
              <w:t>3/</w:t>
            </w:r>
          </w:p>
        </w:tc>
        <w:tc>
          <w:tcPr>
            <w:tcW w:w="7890" w:type="dxa"/>
            <w:gridSpan w:val="5"/>
            <w:tcBorders>
              <w:right w:val="single" w:sz="12" w:space="0" w:color="auto"/>
            </w:tcBorders>
          </w:tcPr>
          <w:p w:rsidR="002007C4" w:rsidRDefault="002007C4">
            <w:pPr>
              <w:rPr>
                <w:rFonts w:ascii="Times New Roman" w:hAnsi="Times New Roman"/>
                <w:shadow w:val="0"/>
                <w:snapToGrid w:val="0"/>
                <w:color w:val="000000"/>
                <w:sz w:val="18"/>
                <w:szCs w:val="18"/>
              </w:rPr>
            </w:pPr>
            <w:r>
              <w:rPr>
                <w:rFonts w:ascii="Times New Roman" w:hAnsi="Times New Roman"/>
                <w:shadow w:val="0"/>
                <w:snapToGrid w:val="0"/>
                <w:color w:val="000000"/>
                <w:sz w:val="18"/>
                <w:szCs w:val="18"/>
              </w:rPr>
              <w:t>Hearing, - no recall (can not be levied if higher than Subsection 1). KRS 160.470 (7)</w:t>
            </w:r>
          </w:p>
        </w:tc>
      </w:tr>
      <w:tr w:rsidR="002007C4">
        <w:tblPrEx>
          <w:tblCellMar>
            <w:top w:w="0" w:type="dxa"/>
            <w:bottom w:w="0" w:type="dxa"/>
          </w:tblCellMar>
        </w:tblPrEx>
        <w:trPr>
          <w:trHeight w:val="197"/>
        </w:trPr>
        <w:tc>
          <w:tcPr>
            <w:tcW w:w="1800" w:type="dxa"/>
            <w:tcBorders>
              <w:left w:val="single" w:sz="12" w:space="0" w:color="auto"/>
              <w:bottom w:val="single" w:sz="12" w:space="0" w:color="auto"/>
            </w:tcBorders>
          </w:tcPr>
          <w:p w:rsidR="002007C4" w:rsidRDefault="002007C4">
            <w:pPr>
              <w:jc w:val="right"/>
              <w:rPr>
                <w:rFonts w:ascii="Times New Roman" w:hAnsi="Times New Roman"/>
                <w:shadow w:val="0"/>
                <w:snapToGrid w:val="0"/>
                <w:color w:val="000000"/>
                <w:sz w:val="18"/>
                <w:szCs w:val="18"/>
              </w:rPr>
            </w:pPr>
          </w:p>
        </w:tc>
        <w:tc>
          <w:tcPr>
            <w:tcW w:w="4410" w:type="dxa"/>
            <w:gridSpan w:val="3"/>
            <w:tcBorders>
              <w:bottom w:val="single" w:sz="12" w:space="0" w:color="auto"/>
            </w:tcBorders>
          </w:tcPr>
          <w:p w:rsidR="002007C4" w:rsidRDefault="002007C4">
            <w:pPr>
              <w:rPr>
                <w:rFonts w:ascii="Times New Roman" w:hAnsi="Times New Roman"/>
                <w:shadow w:val="0"/>
                <w:snapToGrid w:val="0"/>
                <w:color w:val="000000"/>
                <w:sz w:val="18"/>
                <w:szCs w:val="18"/>
              </w:rPr>
            </w:pPr>
            <w:r>
              <w:rPr>
                <w:rFonts w:ascii="Times New Roman" w:hAnsi="Times New Roman"/>
                <w:shadow w:val="0"/>
                <w:snapToGrid w:val="0"/>
                <w:color w:val="000000"/>
                <w:sz w:val="18"/>
                <w:szCs w:val="18"/>
              </w:rPr>
              <w:t>Exoneration rate; KRS 134.590</w:t>
            </w:r>
          </w:p>
        </w:tc>
        <w:tc>
          <w:tcPr>
            <w:tcW w:w="1530" w:type="dxa"/>
            <w:tcBorders>
              <w:bottom w:val="single" w:sz="12" w:space="0" w:color="auto"/>
            </w:tcBorders>
          </w:tcPr>
          <w:p w:rsidR="002007C4" w:rsidRDefault="002007C4">
            <w:pPr>
              <w:jc w:val="right"/>
              <w:rPr>
                <w:rFonts w:ascii="Times New Roman" w:hAnsi="Times New Roman"/>
                <w:snapToGrid w:val="0"/>
                <w:color w:val="000000"/>
                <w:sz w:val="18"/>
                <w:szCs w:val="18"/>
              </w:rPr>
            </w:pPr>
          </w:p>
        </w:tc>
        <w:tc>
          <w:tcPr>
            <w:tcW w:w="1950" w:type="dxa"/>
            <w:tcBorders>
              <w:bottom w:val="single" w:sz="12" w:space="0" w:color="auto"/>
              <w:right w:val="single" w:sz="12" w:space="0" w:color="auto"/>
            </w:tcBorders>
          </w:tcPr>
          <w:p w:rsidR="002007C4" w:rsidRDefault="002007C4">
            <w:pPr>
              <w:jc w:val="right"/>
              <w:rPr>
                <w:rFonts w:ascii="Times New Roman" w:hAnsi="Times New Roman"/>
                <w:snapToGrid w:val="0"/>
                <w:color w:val="000000"/>
              </w:rPr>
            </w:pPr>
          </w:p>
        </w:tc>
      </w:tr>
    </w:tbl>
    <w:p w:rsidR="002007C4" w:rsidRDefault="003120E8">
      <w:pPr>
        <w:rPr>
          <w:rFonts w:ascii="Times New Roman" w:hAnsi="Times New Roman"/>
          <w:shadow w:val="0"/>
          <w:sz w:val="24"/>
        </w:rPr>
      </w:pPr>
      <w:r>
        <w:rPr>
          <w:rFonts w:ascii="Times New Roman" w:hAnsi="Times New Roman"/>
          <w:shadow w:val="0"/>
          <w:sz w:val="24"/>
        </w:rPr>
        <w:br w:type="page"/>
      </w:r>
      <w:r w:rsidR="002007C4">
        <w:rPr>
          <w:rFonts w:ascii="Times New Roman" w:hAnsi="Times New Roman"/>
          <w:shadow w:val="0"/>
          <w:sz w:val="24"/>
        </w:rPr>
        <w:lastRenderedPageBreak/>
        <w:t xml:space="preserve">The highest permissible tax rate </w:t>
      </w:r>
      <w:r w:rsidR="002007C4" w:rsidRPr="00797BE0">
        <w:rPr>
          <w:rFonts w:ascii="Times New Roman" w:hAnsi="Times New Roman"/>
          <w:b/>
          <w:shadow w:val="0"/>
          <w:sz w:val="24"/>
        </w:rPr>
        <w:t>not subject to recall</w:t>
      </w:r>
      <w:r w:rsidR="002007C4">
        <w:rPr>
          <w:rFonts w:ascii="Times New Roman" w:hAnsi="Times New Roman"/>
          <w:shadow w:val="0"/>
          <w:sz w:val="24"/>
        </w:rPr>
        <w:t xml:space="preserve"> for </w:t>
      </w:r>
      <w:smartTag w:uri="urn:schemas-microsoft-com:office:smarttags" w:element="place">
        <w:smartTag w:uri="urn:schemas-microsoft-com:office:smarttags" w:element="PlaceName">
          <w:r w:rsidR="00296302">
            <w:rPr>
              <w:rFonts w:ascii="Times New Roman" w:hAnsi="Times New Roman"/>
              <w:shadow w:val="0"/>
              <w:sz w:val="24"/>
            </w:rPr>
            <w:t>Franklin</w:t>
          </w:r>
        </w:smartTag>
        <w:r w:rsidR="002007C4">
          <w:rPr>
            <w:rFonts w:ascii="Times New Roman" w:hAnsi="Times New Roman"/>
            <w:shadow w:val="0"/>
            <w:sz w:val="24"/>
          </w:rPr>
          <w:t xml:space="preserve"> </w:t>
        </w:r>
        <w:smartTag w:uri="urn:schemas-microsoft-com:office:smarttags" w:element="PlaceName">
          <w:r w:rsidR="002007C4">
            <w:rPr>
              <w:rFonts w:ascii="Times New Roman" w:hAnsi="Times New Roman"/>
              <w:shadow w:val="0"/>
              <w:sz w:val="24"/>
            </w:rPr>
            <w:t>County</w:t>
          </w:r>
        </w:smartTag>
      </w:smartTag>
      <w:r w:rsidR="002007C4">
        <w:rPr>
          <w:rFonts w:ascii="Times New Roman" w:hAnsi="Times New Roman"/>
          <w:shadow w:val="0"/>
          <w:sz w:val="24"/>
        </w:rPr>
        <w:t xml:space="preserve"> in 200</w:t>
      </w:r>
      <w:r>
        <w:rPr>
          <w:rFonts w:ascii="Times New Roman" w:hAnsi="Times New Roman"/>
          <w:shadow w:val="0"/>
          <w:sz w:val="24"/>
        </w:rPr>
        <w:t>7</w:t>
      </w:r>
      <w:r w:rsidR="002007C4">
        <w:rPr>
          <w:rFonts w:ascii="Times New Roman" w:hAnsi="Times New Roman"/>
          <w:shadow w:val="0"/>
          <w:sz w:val="24"/>
        </w:rPr>
        <w:t xml:space="preserve"> is the 4% rate.  This rate can only be levied after a public hearing because it is more than the compensating rate.  The 4% rate for </w:t>
      </w:r>
      <w:r w:rsidR="00296302">
        <w:rPr>
          <w:rFonts w:ascii="Times New Roman" w:hAnsi="Times New Roman"/>
          <w:shadow w:val="0"/>
          <w:sz w:val="24"/>
        </w:rPr>
        <w:t>2008-09</w:t>
      </w:r>
      <w:r w:rsidR="002007C4">
        <w:rPr>
          <w:rFonts w:ascii="Times New Roman" w:hAnsi="Times New Roman"/>
          <w:shadow w:val="0"/>
          <w:sz w:val="24"/>
        </w:rPr>
        <w:t xml:space="preserve"> provides for maximum Tier 1 participation, retains the small Tier 2 tax levy and is not subject to recall.  </w:t>
      </w:r>
      <w:r w:rsidR="00750155">
        <w:rPr>
          <w:rFonts w:ascii="Times New Roman" w:hAnsi="Times New Roman"/>
          <w:shadow w:val="0"/>
          <w:sz w:val="24"/>
        </w:rPr>
        <w:t xml:space="preserve">The Board has indicated their intention to levy a rate increase subject to recall in order to restore classified positions that were cut in May 2008 plus some other instructional improvements.  </w:t>
      </w:r>
      <w:r w:rsidR="00697C59">
        <w:rPr>
          <w:rFonts w:ascii="Times New Roman" w:hAnsi="Times New Roman"/>
          <w:shadow w:val="0"/>
          <w:sz w:val="24"/>
        </w:rPr>
        <w:t xml:space="preserve">The additional revenue that could be generated from the Subsection 1 tax rate would be </w:t>
      </w:r>
      <w:r w:rsidR="00785074">
        <w:rPr>
          <w:rFonts w:ascii="Times New Roman" w:hAnsi="Times New Roman"/>
          <w:shadow w:val="0"/>
          <w:sz w:val="24"/>
        </w:rPr>
        <w:t>about $1,345,000</w:t>
      </w:r>
      <w:r w:rsidR="00697C59">
        <w:rPr>
          <w:rFonts w:ascii="Times New Roman" w:hAnsi="Times New Roman"/>
          <w:shadow w:val="0"/>
          <w:sz w:val="24"/>
        </w:rPr>
        <w:t>.</w:t>
      </w:r>
    </w:p>
    <w:p w:rsidR="002007C4" w:rsidRDefault="002007C4">
      <w:pPr>
        <w:rPr>
          <w:rFonts w:ascii="Times New Roman" w:hAnsi="Times New Roman"/>
          <w:shadow w:val="0"/>
          <w:sz w:val="24"/>
        </w:rPr>
      </w:pPr>
    </w:p>
    <w:p w:rsidR="002007C4" w:rsidRDefault="002007C4">
      <w:pPr>
        <w:rPr>
          <w:rFonts w:ascii="Times New Roman" w:hAnsi="Times New Roman"/>
          <w:shadow w:val="0"/>
          <w:sz w:val="24"/>
        </w:rPr>
      </w:pPr>
      <w:r>
        <w:rPr>
          <w:rFonts w:ascii="Times New Roman" w:hAnsi="Times New Roman"/>
          <w:shadow w:val="0"/>
          <w:sz w:val="24"/>
        </w:rPr>
        <w:t xml:space="preserve">The Kentucky Department of Education also calculates the minimum building tax levy necessary to receive state equalization on the building tax.  The calculation for </w:t>
      </w:r>
      <w:r w:rsidR="00296302">
        <w:rPr>
          <w:rFonts w:ascii="Times New Roman" w:hAnsi="Times New Roman"/>
          <w:shadow w:val="0"/>
          <w:sz w:val="24"/>
        </w:rPr>
        <w:t>2008-09</w:t>
      </w:r>
      <w:r>
        <w:rPr>
          <w:rFonts w:ascii="Times New Roman" w:hAnsi="Times New Roman"/>
          <w:shadow w:val="0"/>
          <w:sz w:val="24"/>
        </w:rPr>
        <w:t xml:space="preserve"> was 5.</w:t>
      </w:r>
      <w:r w:rsidR="00750155">
        <w:rPr>
          <w:rFonts w:ascii="Times New Roman" w:hAnsi="Times New Roman"/>
          <w:shadow w:val="0"/>
          <w:sz w:val="24"/>
        </w:rPr>
        <w:t>7</w:t>
      </w:r>
      <w:r>
        <w:rPr>
          <w:rFonts w:ascii="Times New Roman" w:hAnsi="Times New Roman"/>
          <w:shadow w:val="0"/>
          <w:sz w:val="24"/>
        </w:rPr>
        <w:t xml:space="preserve"> cents for each equivalent nickel of building tax </w:t>
      </w:r>
      <w:r w:rsidR="00785074">
        <w:rPr>
          <w:rFonts w:ascii="Times New Roman" w:hAnsi="Times New Roman"/>
          <w:shadow w:val="0"/>
          <w:sz w:val="24"/>
        </w:rPr>
        <w:t xml:space="preserve">or recallable nickel dedicated to building purposes </w:t>
      </w:r>
      <w:r>
        <w:rPr>
          <w:rFonts w:ascii="Times New Roman" w:hAnsi="Times New Roman"/>
          <w:shadow w:val="0"/>
          <w:sz w:val="24"/>
        </w:rPr>
        <w:t>(5.</w:t>
      </w:r>
      <w:r w:rsidR="00750155">
        <w:rPr>
          <w:rFonts w:ascii="Times New Roman" w:hAnsi="Times New Roman"/>
          <w:shadow w:val="0"/>
          <w:sz w:val="24"/>
        </w:rPr>
        <w:t>7</w:t>
      </w:r>
      <w:r>
        <w:rPr>
          <w:rFonts w:ascii="Times New Roman" w:hAnsi="Times New Roman"/>
          <w:shadow w:val="0"/>
          <w:sz w:val="24"/>
        </w:rPr>
        <w:t xml:space="preserve"> x </w:t>
      </w:r>
      <w:r w:rsidR="00750155">
        <w:rPr>
          <w:rFonts w:ascii="Times New Roman" w:hAnsi="Times New Roman"/>
          <w:shadow w:val="0"/>
          <w:sz w:val="24"/>
        </w:rPr>
        <w:t>2</w:t>
      </w:r>
      <w:r>
        <w:rPr>
          <w:rFonts w:ascii="Times New Roman" w:hAnsi="Times New Roman"/>
          <w:shadow w:val="0"/>
          <w:sz w:val="24"/>
        </w:rPr>
        <w:t xml:space="preserve"> = 1</w:t>
      </w:r>
      <w:r w:rsidR="00750155">
        <w:rPr>
          <w:rFonts w:ascii="Times New Roman" w:hAnsi="Times New Roman"/>
          <w:shadow w:val="0"/>
          <w:sz w:val="24"/>
        </w:rPr>
        <w:t>1</w:t>
      </w:r>
      <w:r>
        <w:rPr>
          <w:rFonts w:ascii="Times New Roman" w:hAnsi="Times New Roman"/>
          <w:shadow w:val="0"/>
          <w:sz w:val="24"/>
        </w:rPr>
        <w:t>.</w:t>
      </w:r>
      <w:r w:rsidR="00750155">
        <w:rPr>
          <w:rFonts w:ascii="Times New Roman" w:hAnsi="Times New Roman"/>
          <w:shadow w:val="0"/>
          <w:sz w:val="24"/>
        </w:rPr>
        <w:t>4</w:t>
      </w:r>
      <w:r>
        <w:rPr>
          <w:rFonts w:ascii="Times New Roman" w:hAnsi="Times New Roman"/>
          <w:shadow w:val="0"/>
          <w:sz w:val="24"/>
        </w:rPr>
        <w:t xml:space="preserve"> total).  The Tentative Budget was based on a building tax rate of 1</w:t>
      </w:r>
      <w:r w:rsidR="00750155">
        <w:rPr>
          <w:rFonts w:ascii="Times New Roman" w:hAnsi="Times New Roman"/>
          <w:shadow w:val="0"/>
          <w:sz w:val="24"/>
        </w:rPr>
        <w:t>1</w:t>
      </w:r>
      <w:r w:rsidR="0093526E">
        <w:rPr>
          <w:rFonts w:ascii="Times New Roman" w:hAnsi="Times New Roman"/>
          <w:shadow w:val="0"/>
          <w:sz w:val="24"/>
        </w:rPr>
        <w:t>.</w:t>
      </w:r>
      <w:r w:rsidR="00750155">
        <w:rPr>
          <w:rFonts w:ascii="Times New Roman" w:hAnsi="Times New Roman"/>
          <w:shadow w:val="0"/>
          <w:sz w:val="24"/>
        </w:rPr>
        <w:t>8</w:t>
      </w:r>
      <w:r>
        <w:rPr>
          <w:rFonts w:ascii="Times New Roman" w:hAnsi="Times New Roman"/>
          <w:shadow w:val="0"/>
          <w:sz w:val="24"/>
        </w:rPr>
        <w:t xml:space="preserve"> cents.   </w:t>
      </w:r>
    </w:p>
    <w:p w:rsidR="002007C4" w:rsidRDefault="002007C4">
      <w:pPr>
        <w:rPr>
          <w:rFonts w:ascii="Times New Roman" w:hAnsi="Times New Roman"/>
          <w:shadow w:val="0"/>
          <w:sz w:val="24"/>
        </w:rPr>
      </w:pPr>
    </w:p>
    <w:p w:rsidR="002007C4" w:rsidRDefault="002007C4">
      <w:pPr>
        <w:pStyle w:val="BodyText"/>
        <w:rPr>
          <w:rFonts w:ascii="Times New Roman" w:hAnsi="Times New Roman"/>
          <w:szCs w:val="24"/>
        </w:rPr>
      </w:pPr>
      <w:r>
        <w:rPr>
          <w:rFonts w:ascii="Times New Roman" w:hAnsi="Times New Roman"/>
          <w:szCs w:val="24"/>
        </w:rPr>
        <w:t xml:space="preserve">The </w:t>
      </w:r>
      <w:r w:rsidR="00296302">
        <w:rPr>
          <w:rFonts w:ascii="Times New Roman" w:hAnsi="Times New Roman"/>
          <w:szCs w:val="24"/>
        </w:rPr>
        <w:t>2007-08</w:t>
      </w:r>
      <w:r>
        <w:rPr>
          <w:rFonts w:ascii="Times New Roman" w:hAnsi="Times New Roman"/>
          <w:szCs w:val="24"/>
        </w:rPr>
        <w:t xml:space="preserve"> real property tax levy was $0.</w:t>
      </w:r>
      <w:r w:rsidR="00750155">
        <w:rPr>
          <w:rFonts w:ascii="Times New Roman" w:hAnsi="Times New Roman"/>
          <w:szCs w:val="24"/>
        </w:rPr>
        <w:t>521</w:t>
      </w:r>
      <w:r>
        <w:rPr>
          <w:rFonts w:ascii="Times New Roman" w:hAnsi="Times New Roman"/>
          <w:szCs w:val="24"/>
        </w:rPr>
        <w:t xml:space="preserve"> (cents) per $100 assessed value for real property and tangible property.  The 4% rate for </w:t>
      </w:r>
      <w:r w:rsidR="00296302">
        <w:rPr>
          <w:rFonts w:ascii="Times New Roman" w:hAnsi="Times New Roman"/>
          <w:szCs w:val="24"/>
        </w:rPr>
        <w:t>2008-09</w:t>
      </w:r>
      <w:r>
        <w:rPr>
          <w:rFonts w:ascii="Times New Roman" w:hAnsi="Times New Roman"/>
          <w:szCs w:val="24"/>
        </w:rPr>
        <w:t xml:space="preserve"> is $0.</w:t>
      </w:r>
      <w:r w:rsidR="00750155">
        <w:rPr>
          <w:rFonts w:ascii="Times New Roman" w:hAnsi="Times New Roman"/>
          <w:szCs w:val="24"/>
        </w:rPr>
        <w:t>529</w:t>
      </w:r>
      <w:r>
        <w:rPr>
          <w:rFonts w:ascii="Times New Roman" w:hAnsi="Times New Roman"/>
          <w:szCs w:val="24"/>
        </w:rPr>
        <w:t xml:space="preserve"> (cents) per $100 assessed value for real property and tangible property.  All of these rates exclude the permitted exoneration allowance</w:t>
      </w:r>
      <w:r w:rsidR="00785074">
        <w:rPr>
          <w:rFonts w:ascii="Times New Roman" w:hAnsi="Times New Roman"/>
          <w:szCs w:val="24"/>
        </w:rPr>
        <w:t xml:space="preserve"> of $0.001 (cent)</w:t>
      </w:r>
      <w:r>
        <w:rPr>
          <w:rFonts w:ascii="Times New Roman" w:hAnsi="Times New Roman"/>
          <w:szCs w:val="24"/>
        </w:rPr>
        <w:t xml:space="preserve">.   Local tax revenue for </w:t>
      </w:r>
      <w:r w:rsidR="00296302">
        <w:rPr>
          <w:rFonts w:ascii="Times New Roman" w:hAnsi="Times New Roman"/>
          <w:szCs w:val="24"/>
        </w:rPr>
        <w:t>Franklin</w:t>
      </w:r>
      <w:r>
        <w:rPr>
          <w:rFonts w:ascii="Times New Roman" w:hAnsi="Times New Roman"/>
          <w:szCs w:val="24"/>
        </w:rPr>
        <w:t xml:space="preserve"> County Schools in </w:t>
      </w:r>
      <w:r w:rsidR="00296302">
        <w:rPr>
          <w:rFonts w:ascii="Times New Roman" w:hAnsi="Times New Roman"/>
          <w:szCs w:val="24"/>
        </w:rPr>
        <w:t>2008-09</w:t>
      </w:r>
      <w:r>
        <w:rPr>
          <w:rFonts w:ascii="Times New Roman" w:hAnsi="Times New Roman"/>
          <w:szCs w:val="24"/>
        </w:rPr>
        <w:t xml:space="preserve"> would be $</w:t>
      </w:r>
      <w:r w:rsidR="00E944D1">
        <w:rPr>
          <w:rFonts w:ascii="Times New Roman" w:hAnsi="Times New Roman"/>
          <w:szCs w:val="24"/>
        </w:rPr>
        <w:t>16</w:t>
      </w:r>
      <w:r w:rsidR="00064500">
        <w:rPr>
          <w:rFonts w:ascii="Times New Roman" w:hAnsi="Times New Roman"/>
          <w:szCs w:val="24"/>
        </w:rPr>
        <w:t>,</w:t>
      </w:r>
      <w:r w:rsidR="00947BE2">
        <w:rPr>
          <w:rFonts w:ascii="Times New Roman" w:hAnsi="Times New Roman"/>
          <w:szCs w:val="24"/>
        </w:rPr>
        <w:t>743</w:t>
      </w:r>
      <w:r w:rsidR="00064500">
        <w:rPr>
          <w:rFonts w:ascii="Times New Roman" w:hAnsi="Times New Roman"/>
          <w:szCs w:val="24"/>
        </w:rPr>
        <w:t>,</w:t>
      </w:r>
      <w:r w:rsidR="00947BE2">
        <w:rPr>
          <w:rFonts w:ascii="Times New Roman" w:hAnsi="Times New Roman"/>
          <w:szCs w:val="24"/>
        </w:rPr>
        <w:t>652</w:t>
      </w:r>
      <w:r>
        <w:rPr>
          <w:rFonts w:ascii="Times New Roman" w:hAnsi="Times New Roman"/>
          <w:szCs w:val="24"/>
        </w:rPr>
        <w:t xml:space="preserve"> based on an overall $0.</w:t>
      </w:r>
      <w:r w:rsidR="00750155">
        <w:rPr>
          <w:rFonts w:ascii="Times New Roman" w:hAnsi="Times New Roman"/>
          <w:szCs w:val="24"/>
        </w:rPr>
        <w:t>529</w:t>
      </w:r>
      <w:r>
        <w:rPr>
          <w:rFonts w:ascii="Times New Roman" w:hAnsi="Times New Roman"/>
          <w:szCs w:val="24"/>
        </w:rPr>
        <w:t xml:space="preserve"> </w:t>
      </w:r>
      <w:r w:rsidR="00947BE2">
        <w:rPr>
          <w:rFonts w:ascii="Times New Roman" w:hAnsi="Times New Roman"/>
          <w:szCs w:val="24"/>
        </w:rPr>
        <w:t xml:space="preserve">+ $0.001 </w:t>
      </w:r>
      <w:r>
        <w:rPr>
          <w:rFonts w:ascii="Times New Roman" w:hAnsi="Times New Roman"/>
          <w:szCs w:val="24"/>
        </w:rPr>
        <w:t>(cents) tax rate on real estate</w:t>
      </w:r>
      <w:r w:rsidR="00750155">
        <w:rPr>
          <w:rFonts w:ascii="Times New Roman" w:hAnsi="Times New Roman"/>
          <w:szCs w:val="24"/>
        </w:rPr>
        <w:t xml:space="preserve"> and </w:t>
      </w:r>
      <w:r>
        <w:rPr>
          <w:rFonts w:ascii="Times New Roman" w:hAnsi="Times New Roman"/>
          <w:szCs w:val="24"/>
        </w:rPr>
        <w:t>tangible property</w:t>
      </w:r>
      <w:r w:rsidR="00E944D1">
        <w:rPr>
          <w:rFonts w:ascii="Times New Roman" w:hAnsi="Times New Roman"/>
          <w:szCs w:val="24"/>
        </w:rPr>
        <w:t xml:space="preserve">, </w:t>
      </w:r>
      <w:r>
        <w:rPr>
          <w:rFonts w:ascii="Times New Roman" w:hAnsi="Times New Roman"/>
          <w:szCs w:val="24"/>
        </w:rPr>
        <w:t>$0.</w:t>
      </w:r>
      <w:r w:rsidR="00750155">
        <w:rPr>
          <w:rFonts w:ascii="Times New Roman" w:hAnsi="Times New Roman"/>
          <w:szCs w:val="24"/>
        </w:rPr>
        <w:t>5</w:t>
      </w:r>
      <w:r>
        <w:rPr>
          <w:rFonts w:ascii="Times New Roman" w:hAnsi="Times New Roman"/>
          <w:szCs w:val="24"/>
        </w:rPr>
        <w:t>1 (cents) on motor vehicles and projected revenue from the 3% utility tax.  With th</w:t>
      </w:r>
      <w:r w:rsidR="009E0742">
        <w:rPr>
          <w:rFonts w:ascii="Times New Roman" w:hAnsi="Times New Roman"/>
          <w:szCs w:val="24"/>
        </w:rPr>
        <w:t xml:space="preserve">e 4% </w:t>
      </w:r>
      <w:r>
        <w:rPr>
          <w:rFonts w:ascii="Times New Roman" w:hAnsi="Times New Roman"/>
          <w:szCs w:val="24"/>
        </w:rPr>
        <w:t xml:space="preserve">tax levy, local tax revenue would </w:t>
      </w:r>
      <w:r w:rsidR="00E944D1">
        <w:rPr>
          <w:rFonts w:ascii="Times New Roman" w:hAnsi="Times New Roman"/>
          <w:szCs w:val="24"/>
        </w:rPr>
        <w:t>in</w:t>
      </w:r>
      <w:r>
        <w:rPr>
          <w:rFonts w:ascii="Times New Roman" w:hAnsi="Times New Roman"/>
          <w:szCs w:val="24"/>
        </w:rPr>
        <w:t>crease $</w:t>
      </w:r>
      <w:r w:rsidR="00947BE2">
        <w:rPr>
          <w:rFonts w:ascii="Times New Roman" w:hAnsi="Times New Roman"/>
          <w:szCs w:val="24"/>
        </w:rPr>
        <w:t>1,079,818</w:t>
      </w:r>
      <w:r>
        <w:rPr>
          <w:rFonts w:ascii="Times New Roman" w:hAnsi="Times New Roman"/>
          <w:szCs w:val="24"/>
        </w:rPr>
        <w:t xml:space="preserve"> in </w:t>
      </w:r>
      <w:r w:rsidR="00296302">
        <w:rPr>
          <w:rFonts w:ascii="Times New Roman" w:hAnsi="Times New Roman"/>
          <w:szCs w:val="24"/>
        </w:rPr>
        <w:t>2008-09</w:t>
      </w:r>
      <w:r>
        <w:rPr>
          <w:rFonts w:ascii="Times New Roman" w:hAnsi="Times New Roman"/>
          <w:szCs w:val="24"/>
        </w:rPr>
        <w:t xml:space="preserve"> over </w:t>
      </w:r>
      <w:r w:rsidR="00296302">
        <w:rPr>
          <w:rFonts w:ascii="Times New Roman" w:hAnsi="Times New Roman"/>
          <w:szCs w:val="24"/>
        </w:rPr>
        <w:t>2007-08</w:t>
      </w:r>
      <w:r>
        <w:rPr>
          <w:rFonts w:ascii="Times New Roman" w:hAnsi="Times New Roman"/>
          <w:szCs w:val="24"/>
        </w:rPr>
        <w:t xml:space="preserve"> revenue.  </w:t>
      </w:r>
      <w:r w:rsidR="00785074">
        <w:rPr>
          <w:rFonts w:ascii="Times New Roman" w:hAnsi="Times New Roman"/>
          <w:szCs w:val="24"/>
        </w:rPr>
        <w:t>However, t</w:t>
      </w:r>
      <w:r>
        <w:rPr>
          <w:rFonts w:ascii="Times New Roman" w:hAnsi="Times New Roman"/>
          <w:szCs w:val="24"/>
        </w:rPr>
        <w:t>h</w:t>
      </w:r>
      <w:r w:rsidR="00947BE2">
        <w:rPr>
          <w:rFonts w:ascii="Times New Roman" w:hAnsi="Times New Roman"/>
          <w:szCs w:val="24"/>
        </w:rPr>
        <w:t xml:space="preserve">is calculation </w:t>
      </w:r>
      <w:r w:rsidR="00785074">
        <w:rPr>
          <w:rFonts w:ascii="Times New Roman" w:hAnsi="Times New Roman"/>
          <w:szCs w:val="24"/>
        </w:rPr>
        <w:t xml:space="preserve">is based on receiving </w:t>
      </w:r>
      <w:r w:rsidR="00947BE2">
        <w:rPr>
          <w:rFonts w:ascii="Times New Roman" w:hAnsi="Times New Roman"/>
          <w:szCs w:val="24"/>
        </w:rPr>
        <w:t>100% of taxes billed</w:t>
      </w:r>
      <w:r w:rsidR="00785074">
        <w:rPr>
          <w:rFonts w:ascii="Times New Roman" w:hAnsi="Times New Roman"/>
          <w:szCs w:val="24"/>
        </w:rPr>
        <w:t>.  The historical average is about 94</w:t>
      </w:r>
      <w:r w:rsidR="00F14B33">
        <w:rPr>
          <w:rFonts w:ascii="Times New Roman" w:hAnsi="Times New Roman"/>
          <w:szCs w:val="24"/>
        </w:rPr>
        <w:t xml:space="preserve">% to </w:t>
      </w:r>
      <w:r w:rsidR="00785074">
        <w:rPr>
          <w:rFonts w:ascii="Times New Roman" w:hAnsi="Times New Roman"/>
          <w:szCs w:val="24"/>
        </w:rPr>
        <w:t>9</w:t>
      </w:r>
      <w:r w:rsidR="00F14B33">
        <w:rPr>
          <w:rFonts w:ascii="Times New Roman" w:hAnsi="Times New Roman"/>
          <w:szCs w:val="24"/>
        </w:rPr>
        <w:t>5</w:t>
      </w:r>
      <w:r w:rsidR="00785074">
        <w:rPr>
          <w:rFonts w:ascii="Times New Roman" w:hAnsi="Times New Roman"/>
          <w:szCs w:val="24"/>
        </w:rPr>
        <w:t>%</w:t>
      </w:r>
      <w:r w:rsidR="00F14B33">
        <w:rPr>
          <w:rFonts w:ascii="Times New Roman" w:hAnsi="Times New Roman"/>
          <w:szCs w:val="24"/>
        </w:rPr>
        <w:t xml:space="preserve"> </w:t>
      </w:r>
      <w:r w:rsidR="00947BE2">
        <w:rPr>
          <w:rFonts w:ascii="Times New Roman" w:hAnsi="Times New Roman"/>
          <w:szCs w:val="24"/>
        </w:rPr>
        <w:t xml:space="preserve">paid.  </w:t>
      </w:r>
      <w:r w:rsidR="00F14B33" w:rsidRPr="00F14B33">
        <w:rPr>
          <w:rFonts w:ascii="Times New Roman" w:hAnsi="Times New Roman"/>
          <w:b/>
          <w:szCs w:val="24"/>
          <w:u w:val="single"/>
        </w:rPr>
        <w:t>If 95% is received in 2008-09 this would be $837,000 less</w:t>
      </w:r>
      <w:r w:rsidR="00F14B33">
        <w:rPr>
          <w:rFonts w:ascii="Times New Roman" w:hAnsi="Times New Roman"/>
          <w:szCs w:val="24"/>
        </w:rPr>
        <w:t xml:space="preserve"> than 100%. </w:t>
      </w:r>
      <w:r w:rsidR="00947BE2">
        <w:rPr>
          <w:rFonts w:ascii="Times New Roman" w:hAnsi="Times New Roman"/>
          <w:szCs w:val="24"/>
        </w:rPr>
        <w:t xml:space="preserve">Since </w:t>
      </w:r>
      <w:r w:rsidR="00F14B33">
        <w:rPr>
          <w:rFonts w:ascii="Times New Roman" w:hAnsi="Times New Roman"/>
          <w:szCs w:val="24"/>
        </w:rPr>
        <w:t>2008-09 a</w:t>
      </w:r>
      <w:r w:rsidR="00947BE2">
        <w:rPr>
          <w:rFonts w:ascii="Times New Roman" w:hAnsi="Times New Roman"/>
          <w:szCs w:val="24"/>
        </w:rPr>
        <w:t xml:space="preserve">ssessment is higher than projected SEEK revenue will </w:t>
      </w:r>
      <w:r w:rsidR="0093526E">
        <w:rPr>
          <w:rFonts w:ascii="Times New Roman" w:hAnsi="Times New Roman"/>
          <w:szCs w:val="24"/>
        </w:rPr>
        <w:t>decrease</w:t>
      </w:r>
      <w:r w:rsidR="00947BE2">
        <w:rPr>
          <w:rFonts w:ascii="Times New Roman" w:hAnsi="Times New Roman"/>
          <w:szCs w:val="24"/>
        </w:rPr>
        <w:t xml:space="preserve">.  The decrease in GF SEEK compared to the </w:t>
      </w:r>
      <w:r>
        <w:rPr>
          <w:rFonts w:ascii="Times New Roman" w:hAnsi="Times New Roman"/>
          <w:szCs w:val="24"/>
        </w:rPr>
        <w:t xml:space="preserve">tentative budget is </w:t>
      </w:r>
      <w:r w:rsidR="00C75770">
        <w:rPr>
          <w:rFonts w:ascii="Times New Roman" w:hAnsi="Times New Roman"/>
          <w:szCs w:val="24"/>
        </w:rPr>
        <w:t xml:space="preserve">projected </w:t>
      </w:r>
      <w:r w:rsidR="00947BE2">
        <w:rPr>
          <w:rFonts w:ascii="Times New Roman" w:hAnsi="Times New Roman"/>
          <w:szCs w:val="24"/>
        </w:rPr>
        <w:t>to be $293,591</w:t>
      </w:r>
      <w:r>
        <w:rPr>
          <w:rFonts w:ascii="Times New Roman" w:hAnsi="Times New Roman"/>
          <w:szCs w:val="24"/>
        </w:rPr>
        <w:t xml:space="preserve">. </w:t>
      </w:r>
      <w:r w:rsidR="004967CD">
        <w:rPr>
          <w:rFonts w:ascii="Times New Roman" w:hAnsi="Times New Roman"/>
          <w:szCs w:val="24"/>
        </w:rPr>
        <w:t xml:space="preserve">  </w:t>
      </w:r>
      <w:r>
        <w:rPr>
          <w:rFonts w:ascii="Times New Roman" w:hAnsi="Times New Roman"/>
          <w:szCs w:val="24"/>
        </w:rPr>
        <w:t xml:space="preserve"> </w:t>
      </w:r>
    </w:p>
    <w:p w:rsidR="002007C4" w:rsidRDefault="002007C4">
      <w:pPr>
        <w:pStyle w:val="Heading2"/>
      </w:pPr>
    </w:p>
    <w:p w:rsidR="002007C4" w:rsidRDefault="002007C4">
      <w:pPr>
        <w:pStyle w:val="Heading2"/>
        <w:rPr>
          <w:rFonts w:ascii="Times New Roman" w:hAnsi="Times New Roman"/>
          <w:b/>
        </w:rPr>
      </w:pPr>
      <w:r>
        <w:rPr>
          <w:b/>
        </w:rPr>
        <w:t>Table C</w:t>
      </w:r>
      <w:r w:rsidR="00E944D1">
        <w:rPr>
          <w:b/>
        </w:rPr>
        <w:t xml:space="preserve"> - </w:t>
      </w:r>
      <w:r>
        <w:rPr>
          <w:rFonts w:ascii="Times New Roman" w:hAnsi="Times New Roman"/>
          <w:b/>
        </w:rPr>
        <w:t xml:space="preserve">Projected Local Tax Revenue with </w:t>
      </w:r>
      <w:r w:rsidR="00750155">
        <w:rPr>
          <w:rFonts w:ascii="Times New Roman" w:hAnsi="Times New Roman"/>
          <w:b/>
        </w:rPr>
        <w:t xml:space="preserve">4% </w:t>
      </w:r>
      <w:r>
        <w:rPr>
          <w:rFonts w:ascii="Times New Roman" w:hAnsi="Times New Roman"/>
          <w:b/>
        </w:rPr>
        <w:t>Tax</w:t>
      </w:r>
      <w:r w:rsidR="00750155">
        <w:rPr>
          <w:rFonts w:ascii="Times New Roman" w:hAnsi="Times New Roman"/>
          <w:b/>
        </w:rPr>
        <w:t xml:space="preserve"> Rate</w:t>
      </w:r>
      <w:r w:rsidR="00C82A64">
        <w:rPr>
          <w:rFonts w:ascii="Times New Roman" w:hAnsi="Times New Roman"/>
          <w:b/>
        </w:rPr>
        <w:t xml:space="preserve"> + Subsection 1</w:t>
      </w:r>
    </w:p>
    <w:p w:rsidR="00E944D1" w:rsidRDefault="00E944D1" w:rsidP="00E944D1"/>
    <w:tbl>
      <w:tblPr>
        <w:tblW w:w="10235" w:type="dxa"/>
        <w:tblInd w:w="-162" w:type="dxa"/>
        <w:tblLook w:val="04A0"/>
      </w:tblPr>
      <w:tblGrid>
        <w:gridCol w:w="1495"/>
        <w:gridCol w:w="2920"/>
        <w:gridCol w:w="1580"/>
        <w:gridCol w:w="1400"/>
        <w:gridCol w:w="1420"/>
        <w:gridCol w:w="1420"/>
      </w:tblGrid>
      <w:tr w:rsidR="00E944D1" w:rsidRPr="00E944D1" w:rsidTr="00C82A64">
        <w:trPr>
          <w:trHeight w:val="285"/>
        </w:trPr>
        <w:tc>
          <w:tcPr>
            <w:tcW w:w="1495" w:type="dxa"/>
            <w:vMerge w:val="restart"/>
            <w:tcBorders>
              <w:top w:val="nil"/>
              <w:left w:val="nil"/>
              <w:bottom w:val="single" w:sz="12" w:space="0" w:color="000000"/>
              <w:right w:val="nil"/>
            </w:tcBorders>
            <w:shd w:val="clear" w:color="auto" w:fill="auto"/>
          </w:tcPr>
          <w:p w:rsidR="00E944D1" w:rsidRPr="00E944D1" w:rsidRDefault="00E944D1" w:rsidP="00E944D1">
            <w:pPr>
              <w:rPr>
                <w:rFonts w:ascii="Times New Roman" w:hAnsi="Times New Roman"/>
                <w:bCs/>
                <w:shadow w:val="0"/>
                <w:sz w:val="22"/>
                <w:szCs w:val="16"/>
              </w:rPr>
            </w:pPr>
            <w:r w:rsidRPr="00E944D1">
              <w:rPr>
                <w:rFonts w:ascii="Times New Roman" w:hAnsi="Times New Roman"/>
                <w:bCs/>
                <w:shadow w:val="0"/>
                <w:sz w:val="22"/>
                <w:szCs w:val="16"/>
              </w:rPr>
              <w:t>Revenue Code</w:t>
            </w:r>
          </w:p>
        </w:tc>
        <w:tc>
          <w:tcPr>
            <w:tcW w:w="2920" w:type="dxa"/>
            <w:vMerge w:val="restart"/>
            <w:tcBorders>
              <w:top w:val="nil"/>
              <w:left w:val="nil"/>
              <w:bottom w:val="single" w:sz="12" w:space="0" w:color="000000"/>
              <w:right w:val="nil"/>
            </w:tcBorders>
            <w:shd w:val="clear" w:color="auto" w:fill="auto"/>
          </w:tcPr>
          <w:p w:rsidR="00E944D1" w:rsidRPr="00E944D1" w:rsidRDefault="00E944D1" w:rsidP="00E944D1">
            <w:pPr>
              <w:rPr>
                <w:rFonts w:ascii="Times New Roman" w:hAnsi="Times New Roman"/>
                <w:bCs/>
                <w:shadow w:val="0"/>
                <w:sz w:val="22"/>
                <w:szCs w:val="16"/>
              </w:rPr>
            </w:pPr>
            <w:r w:rsidRPr="00E944D1">
              <w:rPr>
                <w:rFonts w:ascii="Times New Roman" w:hAnsi="Times New Roman"/>
                <w:bCs/>
                <w:shadow w:val="0"/>
                <w:sz w:val="22"/>
                <w:szCs w:val="16"/>
              </w:rPr>
              <w:t>Description</w:t>
            </w:r>
          </w:p>
        </w:tc>
        <w:tc>
          <w:tcPr>
            <w:tcW w:w="1580" w:type="dxa"/>
            <w:tcBorders>
              <w:top w:val="nil"/>
              <w:left w:val="nil"/>
              <w:bottom w:val="nil"/>
              <w:right w:val="nil"/>
            </w:tcBorders>
            <w:shd w:val="clear" w:color="auto" w:fill="auto"/>
          </w:tcPr>
          <w:p w:rsidR="00E944D1" w:rsidRPr="00E944D1" w:rsidRDefault="00E944D1" w:rsidP="00E944D1">
            <w:pPr>
              <w:jc w:val="center"/>
              <w:rPr>
                <w:rFonts w:ascii="Times New Roman" w:hAnsi="Times New Roman"/>
                <w:b/>
                <w:bCs/>
                <w:iCs/>
                <w:shadow w:val="0"/>
                <w:color w:val="808080"/>
                <w:sz w:val="22"/>
                <w:szCs w:val="16"/>
              </w:rPr>
            </w:pPr>
            <w:r w:rsidRPr="00E944D1">
              <w:rPr>
                <w:rFonts w:ascii="Times New Roman" w:hAnsi="Times New Roman"/>
                <w:b/>
                <w:bCs/>
                <w:iCs/>
                <w:shadow w:val="0"/>
                <w:snapToGrid w:val="0"/>
                <w:color w:val="808080"/>
                <w:sz w:val="22"/>
                <w:szCs w:val="16"/>
              </w:rPr>
              <w:t>Actual</w:t>
            </w:r>
          </w:p>
        </w:tc>
        <w:tc>
          <w:tcPr>
            <w:tcW w:w="1400" w:type="dxa"/>
            <w:tcBorders>
              <w:top w:val="nil"/>
              <w:left w:val="nil"/>
              <w:bottom w:val="nil"/>
              <w:right w:val="nil"/>
            </w:tcBorders>
            <w:shd w:val="clear" w:color="auto" w:fill="auto"/>
          </w:tcPr>
          <w:p w:rsidR="00E944D1" w:rsidRPr="00E944D1" w:rsidRDefault="00E944D1" w:rsidP="00E944D1">
            <w:pPr>
              <w:jc w:val="center"/>
              <w:rPr>
                <w:rFonts w:ascii="Times New Roman" w:hAnsi="Times New Roman"/>
                <w:b/>
                <w:bCs/>
                <w:iCs/>
                <w:shadow w:val="0"/>
                <w:color w:val="808080"/>
                <w:sz w:val="22"/>
                <w:szCs w:val="16"/>
              </w:rPr>
            </w:pPr>
            <w:r w:rsidRPr="00E944D1">
              <w:rPr>
                <w:rFonts w:ascii="Times New Roman" w:hAnsi="Times New Roman"/>
                <w:b/>
                <w:bCs/>
                <w:iCs/>
                <w:shadow w:val="0"/>
                <w:snapToGrid w:val="0"/>
                <w:color w:val="808080"/>
                <w:sz w:val="22"/>
                <w:szCs w:val="16"/>
              </w:rPr>
              <w:t>Projected</w:t>
            </w:r>
          </w:p>
        </w:tc>
        <w:tc>
          <w:tcPr>
            <w:tcW w:w="1420" w:type="dxa"/>
            <w:vMerge w:val="restart"/>
            <w:tcBorders>
              <w:top w:val="nil"/>
              <w:left w:val="nil"/>
              <w:bottom w:val="single" w:sz="12" w:space="0" w:color="000000"/>
              <w:right w:val="nil"/>
            </w:tcBorders>
            <w:shd w:val="clear" w:color="auto" w:fill="auto"/>
          </w:tcPr>
          <w:p w:rsidR="00E944D1" w:rsidRPr="00E944D1" w:rsidRDefault="00E944D1" w:rsidP="00E944D1">
            <w:pPr>
              <w:jc w:val="center"/>
              <w:rPr>
                <w:rFonts w:ascii="Times New Roman" w:hAnsi="Times New Roman"/>
                <w:b/>
                <w:bCs/>
                <w:iCs/>
                <w:shadow w:val="0"/>
                <w:color w:val="808080"/>
                <w:sz w:val="22"/>
                <w:szCs w:val="16"/>
              </w:rPr>
            </w:pPr>
            <w:r w:rsidRPr="00E944D1">
              <w:rPr>
                <w:rFonts w:ascii="Times New Roman" w:hAnsi="Times New Roman"/>
                <w:b/>
                <w:bCs/>
                <w:iCs/>
                <w:shadow w:val="0"/>
                <w:snapToGrid w:val="0"/>
                <w:color w:val="808080"/>
                <w:sz w:val="22"/>
                <w:szCs w:val="16"/>
              </w:rPr>
              <w:t xml:space="preserve"> $ Change </w:t>
            </w:r>
          </w:p>
        </w:tc>
        <w:tc>
          <w:tcPr>
            <w:tcW w:w="1420" w:type="dxa"/>
            <w:vMerge w:val="restart"/>
            <w:tcBorders>
              <w:top w:val="nil"/>
              <w:left w:val="nil"/>
              <w:bottom w:val="single" w:sz="12" w:space="0" w:color="000000"/>
              <w:right w:val="nil"/>
            </w:tcBorders>
            <w:shd w:val="clear" w:color="auto" w:fill="auto"/>
          </w:tcPr>
          <w:p w:rsidR="00E944D1" w:rsidRPr="00E944D1" w:rsidRDefault="00E944D1" w:rsidP="00E944D1">
            <w:pPr>
              <w:jc w:val="center"/>
              <w:rPr>
                <w:rFonts w:ascii="Times New Roman" w:hAnsi="Times New Roman"/>
                <w:b/>
                <w:bCs/>
                <w:iCs/>
                <w:shadow w:val="0"/>
                <w:color w:val="808080"/>
                <w:sz w:val="22"/>
                <w:szCs w:val="16"/>
              </w:rPr>
            </w:pPr>
            <w:r w:rsidRPr="00E944D1">
              <w:rPr>
                <w:rFonts w:ascii="Times New Roman" w:hAnsi="Times New Roman"/>
                <w:b/>
                <w:bCs/>
                <w:iCs/>
                <w:shadow w:val="0"/>
                <w:snapToGrid w:val="0"/>
                <w:color w:val="808080"/>
                <w:sz w:val="22"/>
                <w:szCs w:val="16"/>
              </w:rPr>
              <w:t xml:space="preserve"> % Change </w:t>
            </w:r>
          </w:p>
        </w:tc>
      </w:tr>
      <w:tr w:rsidR="00E944D1" w:rsidRPr="00E944D1" w:rsidTr="00C82A64">
        <w:trPr>
          <w:trHeight w:val="285"/>
        </w:trPr>
        <w:tc>
          <w:tcPr>
            <w:tcW w:w="1495" w:type="dxa"/>
            <w:vMerge/>
            <w:tcBorders>
              <w:top w:val="nil"/>
              <w:left w:val="nil"/>
              <w:bottom w:val="single" w:sz="12" w:space="0" w:color="000000"/>
              <w:right w:val="nil"/>
            </w:tcBorders>
            <w:vAlign w:val="center"/>
          </w:tcPr>
          <w:p w:rsidR="00E944D1" w:rsidRPr="00E944D1" w:rsidRDefault="00E944D1" w:rsidP="00E944D1">
            <w:pPr>
              <w:rPr>
                <w:rFonts w:ascii="Times New Roman" w:hAnsi="Times New Roman"/>
                <w:bCs/>
                <w:shadow w:val="0"/>
                <w:sz w:val="22"/>
                <w:szCs w:val="16"/>
              </w:rPr>
            </w:pPr>
          </w:p>
        </w:tc>
        <w:tc>
          <w:tcPr>
            <w:tcW w:w="2920" w:type="dxa"/>
            <w:vMerge/>
            <w:tcBorders>
              <w:top w:val="nil"/>
              <w:left w:val="nil"/>
              <w:bottom w:val="single" w:sz="12" w:space="0" w:color="000000"/>
              <w:right w:val="nil"/>
            </w:tcBorders>
            <w:vAlign w:val="center"/>
          </w:tcPr>
          <w:p w:rsidR="00E944D1" w:rsidRPr="00E944D1" w:rsidRDefault="00E944D1" w:rsidP="00E944D1">
            <w:pPr>
              <w:rPr>
                <w:rFonts w:ascii="Times New Roman" w:hAnsi="Times New Roman"/>
                <w:bCs/>
                <w:shadow w:val="0"/>
                <w:sz w:val="22"/>
                <w:szCs w:val="16"/>
              </w:rPr>
            </w:pPr>
          </w:p>
        </w:tc>
        <w:tc>
          <w:tcPr>
            <w:tcW w:w="1580" w:type="dxa"/>
            <w:tcBorders>
              <w:top w:val="nil"/>
              <w:left w:val="nil"/>
              <w:bottom w:val="single" w:sz="12" w:space="0" w:color="auto"/>
              <w:right w:val="nil"/>
            </w:tcBorders>
            <w:shd w:val="clear" w:color="auto" w:fill="auto"/>
          </w:tcPr>
          <w:p w:rsidR="00E944D1" w:rsidRPr="00E944D1" w:rsidRDefault="00E944D1" w:rsidP="00E944D1">
            <w:pPr>
              <w:jc w:val="center"/>
              <w:rPr>
                <w:rFonts w:ascii="Times New Roman" w:hAnsi="Times New Roman"/>
                <w:b/>
                <w:bCs/>
                <w:iCs/>
                <w:shadow w:val="0"/>
                <w:color w:val="808080"/>
                <w:sz w:val="22"/>
                <w:szCs w:val="16"/>
              </w:rPr>
            </w:pPr>
            <w:r w:rsidRPr="00E944D1">
              <w:rPr>
                <w:rFonts w:ascii="Times New Roman" w:hAnsi="Times New Roman"/>
                <w:b/>
                <w:bCs/>
                <w:iCs/>
                <w:shadow w:val="0"/>
                <w:snapToGrid w:val="0"/>
                <w:color w:val="808080"/>
                <w:sz w:val="22"/>
                <w:szCs w:val="16"/>
              </w:rPr>
              <w:t>2007-08</w:t>
            </w:r>
          </w:p>
        </w:tc>
        <w:tc>
          <w:tcPr>
            <w:tcW w:w="1400" w:type="dxa"/>
            <w:tcBorders>
              <w:top w:val="nil"/>
              <w:left w:val="nil"/>
              <w:bottom w:val="single" w:sz="12" w:space="0" w:color="auto"/>
              <w:right w:val="nil"/>
            </w:tcBorders>
            <w:shd w:val="clear" w:color="auto" w:fill="auto"/>
          </w:tcPr>
          <w:p w:rsidR="00E944D1" w:rsidRPr="00E944D1" w:rsidRDefault="00E944D1" w:rsidP="00E944D1">
            <w:pPr>
              <w:jc w:val="center"/>
              <w:rPr>
                <w:rFonts w:ascii="Times New Roman" w:hAnsi="Times New Roman"/>
                <w:b/>
                <w:bCs/>
                <w:iCs/>
                <w:shadow w:val="0"/>
                <w:color w:val="808080"/>
                <w:sz w:val="22"/>
                <w:szCs w:val="16"/>
              </w:rPr>
            </w:pPr>
            <w:r w:rsidRPr="00E944D1">
              <w:rPr>
                <w:rFonts w:ascii="Times New Roman" w:hAnsi="Times New Roman"/>
                <w:b/>
                <w:bCs/>
                <w:iCs/>
                <w:shadow w:val="0"/>
                <w:snapToGrid w:val="0"/>
                <w:color w:val="808080"/>
                <w:sz w:val="22"/>
                <w:szCs w:val="16"/>
              </w:rPr>
              <w:t>2008-09</w:t>
            </w:r>
          </w:p>
        </w:tc>
        <w:tc>
          <w:tcPr>
            <w:tcW w:w="1420" w:type="dxa"/>
            <w:vMerge/>
            <w:tcBorders>
              <w:top w:val="nil"/>
              <w:left w:val="nil"/>
              <w:bottom w:val="single" w:sz="12" w:space="0" w:color="000000"/>
              <w:right w:val="nil"/>
            </w:tcBorders>
            <w:vAlign w:val="center"/>
          </w:tcPr>
          <w:p w:rsidR="00E944D1" w:rsidRPr="00E944D1" w:rsidRDefault="00E944D1" w:rsidP="00E944D1">
            <w:pPr>
              <w:rPr>
                <w:rFonts w:ascii="Times New Roman" w:hAnsi="Times New Roman"/>
                <w:bCs/>
                <w:iCs/>
                <w:shadow w:val="0"/>
                <w:color w:val="808080"/>
                <w:sz w:val="22"/>
                <w:szCs w:val="16"/>
              </w:rPr>
            </w:pPr>
          </w:p>
        </w:tc>
        <w:tc>
          <w:tcPr>
            <w:tcW w:w="1420" w:type="dxa"/>
            <w:vMerge/>
            <w:tcBorders>
              <w:top w:val="nil"/>
              <w:left w:val="nil"/>
              <w:bottom w:val="single" w:sz="12" w:space="0" w:color="000000"/>
              <w:right w:val="nil"/>
            </w:tcBorders>
            <w:vAlign w:val="center"/>
          </w:tcPr>
          <w:p w:rsidR="00E944D1" w:rsidRPr="00E944D1" w:rsidRDefault="00E944D1" w:rsidP="00E944D1">
            <w:pPr>
              <w:rPr>
                <w:rFonts w:ascii="Times New Roman" w:hAnsi="Times New Roman"/>
                <w:bCs/>
                <w:iCs/>
                <w:shadow w:val="0"/>
                <w:color w:val="808080"/>
                <w:sz w:val="22"/>
                <w:szCs w:val="16"/>
              </w:rPr>
            </w:pPr>
          </w:p>
        </w:tc>
      </w:tr>
      <w:tr w:rsidR="00C82A64" w:rsidRPr="00E944D1" w:rsidTr="00C82A64">
        <w:trPr>
          <w:trHeight w:val="315"/>
        </w:trPr>
        <w:tc>
          <w:tcPr>
            <w:tcW w:w="1495" w:type="dxa"/>
            <w:tcBorders>
              <w:top w:val="nil"/>
              <w:left w:val="nil"/>
              <w:bottom w:val="nil"/>
              <w:right w:val="nil"/>
            </w:tcBorders>
            <w:shd w:val="clear" w:color="auto" w:fill="auto"/>
          </w:tcPr>
          <w:p w:rsidR="00C82A64" w:rsidRPr="00E944D1" w:rsidRDefault="00C82A64" w:rsidP="00E944D1">
            <w:pPr>
              <w:rPr>
                <w:rFonts w:ascii="Times New Roman" w:hAnsi="Times New Roman"/>
                <w:shadow w:val="0"/>
                <w:sz w:val="22"/>
                <w:szCs w:val="16"/>
              </w:rPr>
            </w:pPr>
            <w:r w:rsidRPr="00E944D1">
              <w:rPr>
                <w:rFonts w:ascii="Times New Roman" w:hAnsi="Times New Roman"/>
                <w:shadow w:val="0"/>
                <w:sz w:val="22"/>
                <w:szCs w:val="16"/>
              </w:rPr>
              <w:t>1111-GF</w:t>
            </w:r>
          </w:p>
        </w:tc>
        <w:tc>
          <w:tcPr>
            <w:tcW w:w="2920" w:type="dxa"/>
            <w:tcBorders>
              <w:top w:val="nil"/>
              <w:left w:val="nil"/>
              <w:bottom w:val="nil"/>
              <w:right w:val="nil"/>
            </w:tcBorders>
            <w:shd w:val="clear" w:color="auto" w:fill="auto"/>
          </w:tcPr>
          <w:p w:rsidR="00C82A64" w:rsidRPr="00E944D1" w:rsidRDefault="00C82A64" w:rsidP="00E944D1">
            <w:pPr>
              <w:rPr>
                <w:rFonts w:ascii="Times New Roman" w:hAnsi="Times New Roman"/>
                <w:shadow w:val="0"/>
                <w:sz w:val="22"/>
                <w:szCs w:val="16"/>
              </w:rPr>
            </w:pPr>
            <w:r w:rsidRPr="00E944D1">
              <w:rPr>
                <w:rFonts w:ascii="Times New Roman" w:hAnsi="Times New Roman"/>
                <w:shadow w:val="0"/>
                <w:sz w:val="22"/>
                <w:szCs w:val="16"/>
              </w:rPr>
              <w:t>General Property Tax</w:t>
            </w:r>
          </w:p>
        </w:tc>
        <w:tc>
          <w:tcPr>
            <w:tcW w:w="1580" w:type="dxa"/>
            <w:tcBorders>
              <w:top w:val="nil"/>
              <w:left w:val="nil"/>
              <w:bottom w:val="nil"/>
              <w:right w:val="nil"/>
            </w:tcBorders>
            <w:shd w:val="clear" w:color="auto" w:fill="auto"/>
            <w:vAlign w:val="bottom"/>
          </w:tcPr>
          <w:p w:rsidR="00C82A64" w:rsidRPr="00785074" w:rsidRDefault="00C82A64">
            <w:pPr>
              <w:jc w:val="right"/>
              <w:rPr>
                <w:shadow w:val="0"/>
                <w:sz w:val="22"/>
                <w:szCs w:val="22"/>
              </w:rPr>
            </w:pPr>
            <w:r w:rsidRPr="00785074">
              <w:rPr>
                <w:shadow w:val="0"/>
                <w:sz w:val="22"/>
                <w:szCs w:val="22"/>
              </w:rPr>
              <w:t>$9,264,936</w:t>
            </w:r>
          </w:p>
        </w:tc>
        <w:tc>
          <w:tcPr>
            <w:tcW w:w="1400" w:type="dxa"/>
            <w:tcBorders>
              <w:top w:val="nil"/>
              <w:left w:val="nil"/>
              <w:bottom w:val="nil"/>
              <w:right w:val="nil"/>
            </w:tcBorders>
            <w:shd w:val="clear" w:color="auto" w:fill="auto"/>
            <w:vAlign w:val="bottom"/>
          </w:tcPr>
          <w:p w:rsidR="00C82A64" w:rsidRPr="00785074" w:rsidRDefault="00C82A64">
            <w:pPr>
              <w:jc w:val="right"/>
              <w:rPr>
                <w:shadow w:val="0"/>
                <w:sz w:val="22"/>
                <w:szCs w:val="22"/>
              </w:rPr>
            </w:pPr>
            <w:r w:rsidRPr="00785074">
              <w:rPr>
                <w:shadow w:val="0"/>
                <w:sz w:val="22"/>
                <w:szCs w:val="22"/>
              </w:rPr>
              <w:t>$10,357,204</w:t>
            </w:r>
          </w:p>
        </w:tc>
        <w:tc>
          <w:tcPr>
            <w:tcW w:w="1420" w:type="dxa"/>
            <w:tcBorders>
              <w:top w:val="nil"/>
              <w:left w:val="nil"/>
              <w:bottom w:val="nil"/>
              <w:right w:val="nil"/>
            </w:tcBorders>
            <w:shd w:val="clear" w:color="auto" w:fill="auto"/>
            <w:vAlign w:val="bottom"/>
          </w:tcPr>
          <w:p w:rsidR="00C82A64" w:rsidRPr="00785074" w:rsidRDefault="00C82A64">
            <w:pPr>
              <w:jc w:val="right"/>
              <w:rPr>
                <w:shadow w:val="0"/>
                <w:sz w:val="22"/>
                <w:szCs w:val="22"/>
              </w:rPr>
            </w:pPr>
            <w:r w:rsidRPr="00785074">
              <w:rPr>
                <w:shadow w:val="0"/>
                <w:sz w:val="22"/>
                <w:szCs w:val="22"/>
              </w:rPr>
              <w:t>$1,092,269</w:t>
            </w:r>
          </w:p>
        </w:tc>
        <w:tc>
          <w:tcPr>
            <w:tcW w:w="1420" w:type="dxa"/>
            <w:tcBorders>
              <w:top w:val="nil"/>
              <w:left w:val="nil"/>
              <w:bottom w:val="nil"/>
              <w:right w:val="nil"/>
            </w:tcBorders>
            <w:shd w:val="clear" w:color="auto" w:fill="auto"/>
            <w:vAlign w:val="bottom"/>
          </w:tcPr>
          <w:p w:rsidR="00C82A64" w:rsidRPr="00785074" w:rsidRDefault="00C82A64">
            <w:pPr>
              <w:jc w:val="center"/>
              <w:rPr>
                <w:shadow w:val="0"/>
                <w:sz w:val="22"/>
                <w:szCs w:val="22"/>
              </w:rPr>
            </w:pPr>
            <w:r w:rsidRPr="00785074">
              <w:rPr>
                <w:shadow w:val="0"/>
                <w:sz w:val="22"/>
                <w:szCs w:val="22"/>
              </w:rPr>
              <w:t>11.8%</w:t>
            </w:r>
          </w:p>
        </w:tc>
      </w:tr>
      <w:tr w:rsidR="00C82A64" w:rsidRPr="00E944D1" w:rsidTr="00C82A64">
        <w:trPr>
          <w:trHeight w:val="300"/>
        </w:trPr>
        <w:tc>
          <w:tcPr>
            <w:tcW w:w="1495" w:type="dxa"/>
            <w:tcBorders>
              <w:top w:val="nil"/>
              <w:left w:val="nil"/>
              <w:bottom w:val="nil"/>
              <w:right w:val="nil"/>
            </w:tcBorders>
            <w:shd w:val="clear" w:color="auto" w:fill="auto"/>
          </w:tcPr>
          <w:p w:rsidR="00C82A64" w:rsidRPr="00E944D1" w:rsidRDefault="00C82A64" w:rsidP="00E944D1">
            <w:pPr>
              <w:rPr>
                <w:rFonts w:ascii="Times New Roman" w:hAnsi="Times New Roman"/>
                <w:shadow w:val="0"/>
                <w:sz w:val="22"/>
                <w:szCs w:val="16"/>
              </w:rPr>
            </w:pPr>
            <w:r w:rsidRPr="00E944D1">
              <w:rPr>
                <w:rFonts w:ascii="Times New Roman" w:hAnsi="Times New Roman"/>
                <w:shadow w:val="0"/>
                <w:sz w:val="22"/>
                <w:szCs w:val="16"/>
              </w:rPr>
              <w:t>1111T-GF</w:t>
            </w:r>
          </w:p>
        </w:tc>
        <w:tc>
          <w:tcPr>
            <w:tcW w:w="2920" w:type="dxa"/>
            <w:tcBorders>
              <w:top w:val="nil"/>
              <w:left w:val="nil"/>
              <w:bottom w:val="nil"/>
              <w:right w:val="nil"/>
            </w:tcBorders>
            <w:shd w:val="clear" w:color="auto" w:fill="auto"/>
          </w:tcPr>
          <w:p w:rsidR="00C82A64" w:rsidRPr="00E944D1" w:rsidRDefault="00C82A64" w:rsidP="00E944D1">
            <w:pPr>
              <w:rPr>
                <w:rFonts w:ascii="Times New Roman" w:hAnsi="Times New Roman"/>
                <w:shadow w:val="0"/>
                <w:sz w:val="22"/>
                <w:szCs w:val="16"/>
              </w:rPr>
            </w:pPr>
            <w:r w:rsidRPr="00E944D1">
              <w:rPr>
                <w:rFonts w:ascii="Times New Roman" w:hAnsi="Times New Roman"/>
                <w:shadow w:val="0"/>
                <w:sz w:val="22"/>
                <w:szCs w:val="16"/>
              </w:rPr>
              <w:t>General Pers. Prop Tax Tang</w:t>
            </w:r>
          </w:p>
        </w:tc>
        <w:tc>
          <w:tcPr>
            <w:tcW w:w="1580" w:type="dxa"/>
            <w:tcBorders>
              <w:top w:val="nil"/>
              <w:left w:val="nil"/>
              <w:bottom w:val="nil"/>
              <w:right w:val="nil"/>
            </w:tcBorders>
            <w:shd w:val="clear" w:color="auto" w:fill="auto"/>
            <w:vAlign w:val="bottom"/>
          </w:tcPr>
          <w:p w:rsidR="00C82A64" w:rsidRPr="00785074" w:rsidRDefault="00C82A64">
            <w:pPr>
              <w:jc w:val="right"/>
              <w:rPr>
                <w:shadow w:val="0"/>
                <w:sz w:val="22"/>
                <w:szCs w:val="22"/>
              </w:rPr>
            </w:pPr>
            <w:r w:rsidRPr="00785074">
              <w:rPr>
                <w:shadow w:val="0"/>
                <w:sz w:val="22"/>
                <w:szCs w:val="22"/>
              </w:rPr>
              <w:t>$931,578</w:t>
            </w:r>
          </w:p>
        </w:tc>
        <w:tc>
          <w:tcPr>
            <w:tcW w:w="1400" w:type="dxa"/>
            <w:tcBorders>
              <w:top w:val="nil"/>
              <w:left w:val="nil"/>
              <w:bottom w:val="nil"/>
              <w:right w:val="nil"/>
            </w:tcBorders>
            <w:shd w:val="clear" w:color="auto" w:fill="auto"/>
            <w:vAlign w:val="bottom"/>
          </w:tcPr>
          <w:p w:rsidR="00C82A64" w:rsidRPr="00785074" w:rsidRDefault="00C82A64">
            <w:pPr>
              <w:jc w:val="right"/>
              <w:rPr>
                <w:shadow w:val="0"/>
                <w:sz w:val="22"/>
                <w:szCs w:val="22"/>
              </w:rPr>
            </w:pPr>
            <w:r w:rsidRPr="00785074">
              <w:rPr>
                <w:shadow w:val="0"/>
                <w:sz w:val="22"/>
                <w:szCs w:val="22"/>
              </w:rPr>
              <w:t>$941,205</w:t>
            </w:r>
          </w:p>
        </w:tc>
        <w:tc>
          <w:tcPr>
            <w:tcW w:w="1420" w:type="dxa"/>
            <w:tcBorders>
              <w:top w:val="nil"/>
              <w:left w:val="nil"/>
              <w:bottom w:val="nil"/>
              <w:right w:val="nil"/>
            </w:tcBorders>
            <w:shd w:val="clear" w:color="auto" w:fill="auto"/>
            <w:vAlign w:val="bottom"/>
          </w:tcPr>
          <w:p w:rsidR="00C82A64" w:rsidRPr="00785074" w:rsidRDefault="00C82A64">
            <w:pPr>
              <w:jc w:val="right"/>
              <w:rPr>
                <w:shadow w:val="0"/>
                <w:sz w:val="22"/>
                <w:szCs w:val="22"/>
              </w:rPr>
            </w:pPr>
            <w:r w:rsidRPr="00785074">
              <w:rPr>
                <w:shadow w:val="0"/>
                <w:sz w:val="22"/>
                <w:szCs w:val="22"/>
              </w:rPr>
              <w:t>$9,627</w:t>
            </w:r>
          </w:p>
        </w:tc>
        <w:tc>
          <w:tcPr>
            <w:tcW w:w="1420" w:type="dxa"/>
            <w:tcBorders>
              <w:top w:val="nil"/>
              <w:left w:val="nil"/>
              <w:bottom w:val="nil"/>
              <w:right w:val="nil"/>
            </w:tcBorders>
            <w:shd w:val="clear" w:color="auto" w:fill="auto"/>
            <w:vAlign w:val="bottom"/>
          </w:tcPr>
          <w:p w:rsidR="00C82A64" w:rsidRPr="00785074" w:rsidRDefault="00C82A64">
            <w:pPr>
              <w:jc w:val="center"/>
              <w:rPr>
                <w:shadow w:val="0"/>
                <w:sz w:val="22"/>
                <w:szCs w:val="22"/>
              </w:rPr>
            </w:pPr>
            <w:r w:rsidRPr="00785074">
              <w:rPr>
                <w:shadow w:val="0"/>
                <w:sz w:val="22"/>
                <w:szCs w:val="22"/>
              </w:rPr>
              <w:t>1.0%</w:t>
            </w:r>
          </w:p>
        </w:tc>
      </w:tr>
      <w:tr w:rsidR="00C82A64" w:rsidRPr="00E944D1" w:rsidTr="00C82A64">
        <w:trPr>
          <w:trHeight w:val="300"/>
        </w:trPr>
        <w:tc>
          <w:tcPr>
            <w:tcW w:w="1495" w:type="dxa"/>
            <w:tcBorders>
              <w:top w:val="nil"/>
              <w:left w:val="nil"/>
              <w:bottom w:val="nil"/>
              <w:right w:val="nil"/>
            </w:tcBorders>
            <w:shd w:val="clear" w:color="auto" w:fill="auto"/>
          </w:tcPr>
          <w:p w:rsidR="00C82A64" w:rsidRPr="00E944D1" w:rsidRDefault="00C82A64" w:rsidP="00E944D1">
            <w:pPr>
              <w:rPr>
                <w:rFonts w:ascii="Times New Roman" w:hAnsi="Times New Roman"/>
                <w:shadow w:val="0"/>
                <w:sz w:val="22"/>
                <w:szCs w:val="16"/>
              </w:rPr>
            </w:pPr>
            <w:r w:rsidRPr="00E944D1">
              <w:rPr>
                <w:rFonts w:ascii="Times New Roman" w:hAnsi="Times New Roman"/>
                <w:shadow w:val="0"/>
                <w:sz w:val="22"/>
                <w:szCs w:val="16"/>
              </w:rPr>
              <w:t>1113-GF-1</w:t>
            </w:r>
          </w:p>
        </w:tc>
        <w:tc>
          <w:tcPr>
            <w:tcW w:w="2920" w:type="dxa"/>
            <w:tcBorders>
              <w:top w:val="nil"/>
              <w:left w:val="nil"/>
              <w:bottom w:val="nil"/>
              <w:right w:val="nil"/>
            </w:tcBorders>
            <w:shd w:val="clear" w:color="auto" w:fill="auto"/>
          </w:tcPr>
          <w:p w:rsidR="00C82A64" w:rsidRPr="00E944D1" w:rsidRDefault="00C82A64" w:rsidP="00E944D1">
            <w:pPr>
              <w:rPr>
                <w:rFonts w:ascii="Times New Roman" w:hAnsi="Times New Roman"/>
                <w:shadow w:val="0"/>
                <w:sz w:val="22"/>
                <w:szCs w:val="16"/>
              </w:rPr>
            </w:pPr>
            <w:r w:rsidRPr="00E944D1">
              <w:rPr>
                <w:rFonts w:ascii="Times New Roman" w:hAnsi="Times New Roman"/>
                <w:shadow w:val="0"/>
                <w:sz w:val="22"/>
                <w:szCs w:val="16"/>
              </w:rPr>
              <w:t>Pub Serv Tax</w:t>
            </w:r>
          </w:p>
        </w:tc>
        <w:tc>
          <w:tcPr>
            <w:tcW w:w="1580" w:type="dxa"/>
            <w:tcBorders>
              <w:top w:val="nil"/>
              <w:left w:val="nil"/>
              <w:bottom w:val="nil"/>
              <w:right w:val="nil"/>
            </w:tcBorders>
            <w:shd w:val="clear" w:color="auto" w:fill="auto"/>
            <w:vAlign w:val="bottom"/>
          </w:tcPr>
          <w:p w:rsidR="00C82A64" w:rsidRPr="00785074" w:rsidRDefault="00C82A64">
            <w:pPr>
              <w:jc w:val="right"/>
              <w:rPr>
                <w:shadow w:val="0"/>
                <w:sz w:val="22"/>
                <w:szCs w:val="22"/>
              </w:rPr>
            </w:pPr>
            <w:r w:rsidRPr="00785074">
              <w:rPr>
                <w:shadow w:val="0"/>
                <w:sz w:val="22"/>
                <w:szCs w:val="22"/>
              </w:rPr>
              <w:t>$17,756</w:t>
            </w:r>
          </w:p>
        </w:tc>
        <w:tc>
          <w:tcPr>
            <w:tcW w:w="1400" w:type="dxa"/>
            <w:tcBorders>
              <w:top w:val="nil"/>
              <w:left w:val="nil"/>
              <w:bottom w:val="nil"/>
              <w:right w:val="nil"/>
            </w:tcBorders>
            <w:shd w:val="clear" w:color="auto" w:fill="auto"/>
            <w:vAlign w:val="bottom"/>
          </w:tcPr>
          <w:p w:rsidR="00C82A64" w:rsidRPr="00785074" w:rsidRDefault="00C82A64">
            <w:pPr>
              <w:jc w:val="right"/>
              <w:rPr>
                <w:shadow w:val="0"/>
                <w:sz w:val="22"/>
                <w:szCs w:val="22"/>
              </w:rPr>
            </w:pPr>
            <w:r w:rsidRPr="00785074">
              <w:rPr>
                <w:shadow w:val="0"/>
                <w:sz w:val="22"/>
                <w:szCs w:val="22"/>
              </w:rPr>
              <w:t>$44,231</w:t>
            </w:r>
          </w:p>
        </w:tc>
        <w:tc>
          <w:tcPr>
            <w:tcW w:w="1420" w:type="dxa"/>
            <w:tcBorders>
              <w:top w:val="nil"/>
              <w:left w:val="nil"/>
              <w:bottom w:val="nil"/>
              <w:right w:val="nil"/>
            </w:tcBorders>
            <w:shd w:val="clear" w:color="auto" w:fill="auto"/>
            <w:vAlign w:val="bottom"/>
          </w:tcPr>
          <w:p w:rsidR="00C82A64" w:rsidRPr="00785074" w:rsidRDefault="00C82A64">
            <w:pPr>
              <w:jc w:val="right"/>
              <w:rPr>
                <w:shadow w:val="0"/>
                <w:sz w:val="22"/>
                <w:szCs w:val="22"/>
              </w:rPr>
            </w:pPr>
            <w:r w:rsidRPr="00785074">
              <w:rPr>
                <w:shadow w:val="0"/>
                <w:sz w:val="22"/>
                <w:szCs w:val="22"/>
              </w:rPr>
              <w:t>$26,476</w:t>
            </w:r>
          </w:p>
        </w:tc>
        <w:tc>
          <w:tcPr>
            <w:tcW w:w="1420" w:type="dxa"/>
            <w:tcBorders>
              <w:top w:val="nil"/>
              <w:left w:val="nil"/>
              <w:bottom w:val="nil"/>
              <w:right w:val="nil"/>
            </w:tcBorders>
            <w:shd w:val="clear" w:color="auto" w:fill="auto"/>
            <w:vAlign w:val="bottom"/>
          </w:tcPr>
          <w:p w:rsidR="00C82A64" w:rsidRPr="00785074" w:rsidRDefault="00C82A64">
            <w:pPr>
              <w:jc w:val="center"/>
              <w:rPr>
                <w:shadow w:val="0"/>
                <w:sz w:val="22"/>
                <w:szCs w:val="22"/>
              </w:rPr>
            </w:pPr>
            <w:r w:rsidRPr="00785074">
              <w:rPr>
                <w:shadow w:val="0"/>
                <w:sz w:val="22"/>
                <w:szCs w:val="22"/>
              </w:rPr>
              <w:t>149.1%</w:t>
            </w:r>
          </w:p>
        </w:tc>
      </w:tr>
      <w:tr w:rsidR="00C82A64" w:rsidRPr="00E944D1" w:rsidTr="00C82A64">
        <w:trPr>
          <w:trHeight w:val="300"/>
        </w:trPr>
        <w:tc>
          <w:tcPr>
            <w:tcW w:w="1495" w:type="dxa"/>
            <w:tcBorders>
              <w:top w:val="nil"/>
              <w:left w:val="nil"/>
              <w:bottom w:val="nil"/>
              <w:right w:val="nil"/>
            </w:tcBorders>
            <w:shd w:val="clear" w:color="auto" w:fill="auto"/>
          </w:tcPr>
          <w:p w:rsidR="00C82A64" w:rsidRPr="00E944D1" w:rsidRDefault="00C82A64" w:rsidP="00E944D1">
            <w:pPr>
              <w:rPr>
                <w:rFonts w:ascii="Times New Roman" w:hAnsi="Times New Roman"/>
                <w:shadow w:val="0"/>
                <w:sz w:val="22"/>
                <w:szCs w:val="16"/>
              </w:rPr>
            </w:pPr>
            <w:r w:rsidRPr="00E944D1">
              <w:rPr>
                <w:rFonts w:ascii="Times New Roman" w:hAnsi="Times New Roman"/>
                <w:shadow w:val="0"/>
                <w:sz w:val="22"/>
                <w:szCs w:val="16"/>
              </w:rPr>
              <w:t>1113T-GF</w:t>
            </w:r>
          </w:p>
        </w:tc>
        <w:tc>
          <w:tcPr>
            <w:tcW w:w="2920" w:type="dxa"/>
            <w:tcBorders>
              <w:top w:val="nil"/>
              <w:left w:val="nil"/>
              <w:bottom w:val="nil"/>
              <w:right w:val="nil"/>
            </w:tcBorders>
            <w:shd w:val="clear" w:color="auto" w:fill="auto"/>
          </w:tcPr>
          <w:p w:rsidR="00C82A64" w:rsidRPr="00E944D1" w:rsidRDefault="00C82A64" w:rsidP="00E944D1">
            <w:pPr>
              <w:rPr>
                <w:rFonts w:ascii="Times New Roman" w:hAnsi="Times New Roman"/>
                <w:shadow w:val="0"/>
                <w:sz w:val="22"/>
                <w:szCs w:val="16"/>
              </w:rPr>
            </w:pPr>
            <w:r w:rsidRPr="00E944D1">
              <w:rPr>
                <w:rFonts w:ascii="Times New Roman" w:hAnsi="Times New Roman"/>
                <w:shadow w:val="0"/>
                <w:sz w:val="22"/>
                <w:szCs w:val="16"/>
              </w:rPr>
              <w:t>Pub</w:t>
            </w:r>
            <w:r>
              <w:rPr>
                <w:rFonts w:ascii="Times New Roman" w:hAnsi="Times New Roman"/>
                <w:shadow w:val="0"/>
                <w:sz w:val="22"/>
                <w:szCs w:val="16"/>
              </w:rPr>
              <w:t xml:space="preserve"> </w:t>
            </w:r>
            <w:r w:rsidRPr="00E944D1">
              <w:rPr>
                <w:rFonts w:ascii="Times New Roman" w:hAnsi="Times New Roman"/>
                <w:shadow w:val="0"/>
                <w:sz w:val="22"/>
                <w:szCs w:val="16"/>
              </w:rPr>
              <w:t>Serv Pers. Tax Tang</w:t>
            </w:r>
          </w:p>
        </w:tc>
        <w:tc>
          <w:tcPr>
            <w:tcW w:w="1580" w:type="dxa"/>
            <w:tcBorders>
              <w:top w:val="nil"/>
              <w:left w:val="nil"/>
              <w:bottom w:val="nil"/>
              <w:right w:val="nil"/>
            </w:tcBorders>
            <w:shd w:val="clear" w:color="auto" w:fill="auto"/>
            <w:vAlign w:val="bottom"/>
          </w:tcPr>
          <w:p w:rsidR="00C82A64" w:rsidRPr="00785074" w:rsidRDefault="00C82A64">
            <w:pPr>
              <w:jc w:val="right"/>
              <w:rPr>
                <w:shadow w:val="0"/>
                <w:sz w:val="22"/>
                <w:szCs w:val="22"/>
              </w:rPr>
            </w:pPr>
            <w:r w:rsidRPr="00785074">
              <w:rPr>
                <w:shadow w:val="0"/>
                <w:sz w:val="22"/>
                <w:szCs w:val="22"/>
              </w:rPr>
              <w:t>$124,016</w:t>
            </w:r>
          </w:p>
        </w:tc>
        <w:tc>
          <w:tcPr>
            <w:tcW w:w="1400" w:type="dxa"/>
            <w:tcBorders>
              <w:top w:val="nil"/>
              <w:left w:val="nil"/>
              <w:bottom w:val="nil"/>
              <w:right w:val="nil"/>
            </w:tcBorders>
            <w:shd w:val="clear" w:color="auto" w:fill="auto"/>
            <w:vAlign w:val="bottom"/>
          </w:tcPr>
          <w:p w:rsidR="00C82A64" w:rsidRPr="00785074" w:rsidRDefault="00C82A64">
            <w:pPr>
              <w:jc w:val="right"/>
              <w:rPr>
                <w:shadow w:val="0"/>
                <w:sz w:val="22"/>
                <w:szCs w:val="22"/>
              </w:rPr>
            </w:pPr>
            <w:r w:rsidRPr="00785074">
              <w:rPr>
                <w:shadow w:val="0"/>
                <w:sz w:val="22"/>
                <w:szCs w:val="22"/>
              </w:rPr>
              <w:t>$133,560</w:t>
            </w:r>
          </w:p>
        </w:tc>
        <w:tc>
          <w:tcPr>
            <w:tcW w:w="1420" w:type="dxa"/>
            <w:tcBorders>
              <w:top w:val="nil"/>
              <w:left w:val="nil"/>
              <w:bottom w:val="nil"/>
              <w:right w:val="nil"/>
            </w:tcBorders>
            <w:shd w:val="clear" w:color="auto" w:fill="auto"/>
            <w:vAlign w:val="bottom"/>
          </w:tcPr>
          <w:p w:rsidR="00C82A64" w:rsidRPr="00785074" w:rsidRDefault="00C82A64">
            <w:pPr>
              <w:jc w:val="right"/>
              <w:rPr>
                <w:shadow w:val="0"/>
                <w:sz w:val="22"/>
                <w:szCs w:val="22"/>
              </w:rPr>
            </w:pPr>
            <w:r w:rsidRPr="00785074">
              <w:rPr>
                <w:shadow w:val="0"/>
                <w:sz w:val="22"/>
                <w:szCs w:val="22"/>
              </w:rPr>
              <w:t>$9,544</w:t>
            </w:r>
          </w:p>
        </w:tc>
        <w:tc>
          <w:tcPr>
            <w:tcW w:w="1420" w:type="dxa"/>
            <w:tcBorders>
              <w:top w:val="nil"/>
              <w:left w:val="nil"/>
              <w:bottom w:val="nil"/>
              <w:right w:val="nil"/>
            </w:tcBorders>
            <w:shd w:val="clear" w:color="auto" w:fill="auto"/>
            <w:vAlign w:val="bottom"/>
          </w:tcPr>
          <w:p w:rsidR="00C82A64" w:rsidRPr="00785074" w:rsidRDefault="00C82A64">
            <w:pPr>
              <w:jc w:val="center"/>
              <w:rPr>
                <w:shadow w:val="0"/>
                <w:sz w:val="22"/>
                <w:szCs w:val="22"/>
              </w:rPr>
            </w:pPr>
            <w:r w:rsidRPr="00785074">
              <w:rPr>
                <w:shadow w:val="0"/>
                <w:sz w:val="22"/>
                <w:szCs w:val="22"/>
              </w:rPr>
              <w:t>7.7%</w:t>
            </w:r>
          </w:p>
        </w:tc>
      </w:tr>
      <w:tr w:rsidR="00C82A64" w:rsidRPr="00E944D1" w:rsidTr="00C82A64">
        <w:trPr>
          <w:trHeight w:val="300"/>
        </w:trPr>
        <w:tc>
          <w:tcPr>
            <w:tcW w:w="1495" w:type="dxa"/>
            <w:tcBorders>
              <w:top w:val="nil"/>
              <w:left w:val="nil"/>
              <w:bottom w:val="nil"/>
              <w:right w:val="nil"/>
            </w:tcBorders>
            <w:shd w:val="clear" w:color="auto" w:fill="auto"/>
          </w:tcPr>
          <w:p w:rsidR="00C82A64" w:rsidRPr="00E944D1" w:rsidRDefault="00C82A64" w:rsidP="00E944D1">
            <w:pPr>
              <w:rPr>
                <w:rFonts w:ascii="Times New Roman" w:hAnsi="Times New Roman"/>
                <w:shadow w:val="0"/>
                <w:sz w:val="22"/>
                <w:szCs w:val="16"/>
              </w:rPr>
            </w:pPr>
            <w:r w:rsidRPr="00E944D1">
              <w:rPr>
                <w:rFonts w:ascii="Times New Roman" w:hAnsi="Times New Roman"/>
                <w:shadow w:val="0"/>
                <w:sz w:val="22"/>
                <w:szCs w:val="16"/>
              </w:rPr>
              <w:t>1114-GF-1</w:t>
            </w:r>
          </w:p>
        </w:tc>
        <w:tc>
          <w:tcPr>
            <w:tcW w:w="2920" w:type="dxa"/>
            <w:tcBorders>
              <w:top w:val="nil"/>
              <w:left w:val="nil"/>
              <w:bottom w:val="nil"/>
              <w:right w:val="nil"/>
            </w:tcBorders>
            <w:shd w:val="clear" w:color="auto" w:fill="auto"/>
          </w:tcPr>
          <w:p w:rsidR="00C82A64" w:rsidRPr="00E944D1" w:rsidRDefault="00C82A64" w:rsidP="00E944D1">
            <w:pPr>
              <w:rPr>
                <w:rFonts w:ascii="Times New Roman" w:hAnsi="Times New Roman"/>
                <w:shadow w:val="0"/>
                <w:sz w:val="22"/>
                <w:szCs w:val="16"/>
              </w:rPr>
            </w:pPr>
            <w:r w:rsidRPr="00E944D1">
              <w:rPr>
                <w:rFonts w:ascii="Times New Roman" w:hAnsi="Times New Roman"/>
                <w:shadow w:val="0"/>
                <w:sz w:val="22"/>
                <w:szCs w:val="16"/>
              </w:rPr>
              <w:t>Public Service Pers. Tax</w:t>
            </w:r>
          </w:p>
        </w:tc>
        <w:tc>
          <w:tcPr>
            <w:tcW w:w="1580" w:type="dxa"/>
            <w:tcBorders>
              <w:top w:val="nil"/>
              <w:left w:val="nil"/>
              <w:bottom w:val="nil"/>
              <w:right w:val="nil"/>
            </w:tcBorders>
            <w:shd w:val="clear" w:color="auto" w:fill="auto"/>
            <w:vAlign w:val="bottom"/>
          </w:tcPr>
          <w:p w:rsidR="00C82A64" w:rsidRPr="00785074" w:rsidRDefault="00C82A64">
            <w:pPr>
              <w:jc w:val="right"/>
              <w:rPr>
                <w:shadow w:val="0"/>
                <w:sz w:val="22"/>
                <w:szCs w:val="22"/>
              </w:rPr>
            </w:pPr>
            <w:r w:rsidRPr="00785074">
              <w:rPr>
                <w:shadow w:val="0"/>
                <w:sz w:val="22"/>
                <w:szCs w:val="22"/>
              </w:rPr>
              <w:t>-$1,424</w:t>
            </w:r>
          </w:p>
        </w:tc>
        <w:tc>
          <w:tcPr>
            <w:tcW w:w="1400" w:type="dxa"/>
            <w:tcBorders>
              <w:top w:val="nil"/>
              <w:left w:val="nil"/>
              <w:bottom w:val="nil"/>
              <w:right w:val="nil"/>
            </w:tcBorders>
            <w:shd w:val="clear" w:color="auto" w:fill="auto"/>
            <w:vAlign w:val="bottom"/>
          </w:tcPr>
          <w:p w:rsidR="00C82A64" w:rsidRPr="00785074" w:rsidRDefault="00C82A64">
            <w:pPr>
              <w:jc w:val="right"/>
              <w:rPr>
                <w:shadow w:val="0"/>
                <w:sz w:val="22"/>
                <w:szCs w:val="22"/>
              </w:rPr>
            </w:pPr>
            <w:r w:rsidRPr="00785074">
              <w:rPr>
                <w:shadow w:val="0"/>
                <w:sz w:val="22"/>
                <w:szCs w:val="22"/>
              </w:rPr>
              <w:t>$0</w:t>
            </w:r>
          </w:p>
        </w:tc>
        <w:tc>
          <w:tcPr>
            <w:tcW w:w="1420" w:type="dxa"/>
            <w:tcBorders>
              <w:top w:val="nil"/>
              <w:left w:val="nil"/>
              <w:bottom w:val="nil"/>
              <w:right w:val="nil"/>
            </w:tcBorders>
            <w:shd w:val="clear" w:color="auto" w:fill="auto"/>
            <w:vAlign w:val="bottom"/>
          </w:tcPr>
          <w:p w:rsidR="00C82A64" w:rsidRPr="00785074" w:rsidRDefault="00C82A64">
            <w:pPr>
              <w:jc w:val="right"/>
              <w:rPr>
                <w:shadow w:val="0"/>
                <w:sz w:val="22"/>
                <w:szCs w:val="22"/>
              </w:rPr>
            </w:pPr>
            <w:r w:rsidRPr="00785074">
              <w:rPr>
                <w:shadow w:val="0"/>
                <w:sz w:val="22"/>
                <w:szCs w:val="22"/>
              </w:rPr>
              <w:t>$1,424</w:t>
            </w:r>
          </w:p>
        </w:tc>
        <w:tc>
          <w:tcPr>
            <w:tcW w:w="1420" w:type="dxa"/>
            <w:tcBorders>
              <w:top w:val="nil"/>
              <w:left w:val="nil"/>
              <w:bottom w:val="nil"/>
              <w:right w:val="nil"/>
            </w:tcBorders>
            <w:shd w:val="clear" w:color="auto" w:fill="auto"/>
            <w:vAlign w:val="bottom"/>
          </w:tcPr>
          <w:p w:rsidR="00C82A64" w:rsidRPr="00785074" w:rsidRDefault="00C82A64">
            <w:pPr>
              <w:jc w:val="center"/>
              <w:rPr>
                <w:shadow w:val="0"/>
                <w:sz w:val="22"/>
                <w:szCs w:val="22"/>
              </w:rPr>
            </w:pPr>
            <w:r w:rsidRPr="00785074">
              <w:rPr>
                <w:shadow w:val="0"/>
                <w:sz w:val="22"/>
                <w:szCs w:val="22"/>
              </w:rPr>
              <w:t>-100.0%</w:t>
            </w:r>
          </w:p>
        </w:tc>
      </w:tr>
      <w:tr w:rsidR="00C82A64" w:rsidRPr="00E944D1" w:rsidTr="00C82A64">
        <w:trPr>
          <w:trHeight w:val="300"/>
        </w:trPr>
        <w:tc>
          <w:tcPr>
            <w:tcW w:w="1495" w:type="dxa"/>
            <w:tcBorders>
              <w:top w:val="nil"/>
              <w:left w:val="nil"/>
              <w:bottom w:val="nil"/>
              <w:right w:val="nil"/>
            </w:tcBorders>
            <w:shd w:val="clear" w:color="auto" w:fill="auto"/>
          </w:tcPr>
          <w:p w:rsidR="00C82A64" w:rsidRPr="00E944D1" w:rsidRDefault="00C82A64" w:rsidP="00E944D1">
            <w:pPr>
              <w:rPr>
                <w:rFonts w:ascii="Times New Roman" w:hAnsi="Times New Roman"/>
                <w:shadow w:val="0"/>
                <w:sz w:val="22"/>
                <w:szCs w:val="16"/>
              </w:rPr>
            </w:pPr>
            <w:r w:rsidRPr="00E944D1">
              <w:rPr>
                <w:rFonts w:ascii="Times New Roman" w:hAnsi="Times New Roman"/>
                <w:shadow w:val="0"/>
                <w:sz w:val="22"/>
                <w:szCs w:val="16"/>
              </w:rPr>
              <w:t>1115-GF-1</w:t>
            </w:r>
          </w:p>
        </w:tc>
        <w:tc>
          <w:tcPr>
            <w:tcW w:w="2920" w:type="dxa"/>
            <w:tcBorders>
              <w:top w:val="nil"/>
              <w:left w:val="nil"/>
              <w:bottom w:val="nil"/>
              <w:right w:val="nil"/>
            </w:tcBorders>
            <w:shd w:val="clear" w:color="auto" w:fill="auto"/>
          </w:tcPr>
          <w:p w:rsidR="00C82A64" w:rsidRPr="00E944D1" w:rsidRDefault="00C82A64" w:rsidP="00E944D1">
            <w:pPr>
              <w:rPr>
                <w:rFonts w:ascii="Times New Roman" w:hAnsi="Times New Roman"/>
                <w:shadow w:val="0"/>
                <w:sz w:val="22"/>
                <w:szCs w:val="16"/>
              </w:rPr>
            </w:pPr>
            <w:r w:rsidRPr="00E944D1">
              <w:rPr>
                <w:rFonts w:ascii="Times New Roman" w:hAnsi="Times New Roman"/>
                <w:shadow w:val="0"/>
                <w:sz w:val="22"/>
                <w:szCs w:val="16"/>
              </w:rPr>
              <w:t>Delinquent Tax</w:t>
            </w:r>
          </w:p>
        </w:tc>
        <w:tc>
          <w:tcPr>
            <w:tcW w:w="1580" w:type="dxa"/>
            <w:tcBorders>
              <w:top w:val="nil"/>
              <w:left w:val="nil"/>
              <w:bottom w:val="nil"/>
              <w:right w:val="nil"/>
            </w:tcBorders>
            <w:shd w:val="clear" w:color="auto" w:fill="auto"/>
            <w:vAlign w:val="bottom"/>
          </w:tcPr>
          <w:p w:rsidR="00C82A64" w:rsidRPr="00785074" w:rsidRDefault="00C82A64">
            <w:pPr>
              <w:jc w:val="right"/>
              <w:rPr>
                <w:shadow w:val="0"/>
                <w:sz w:val="22"/>
                <w:szCs w:val="22"/>
              </w:rPr>
            </w:pPr>
            <w:r w:rsidRPr="00785074">
              <w:rPr>
                <w:shadow w:val="0"/>
                <w:sz w:val="22"/>
                <w:szCs w:val="22"/>
              </w:rPr>
              <w:t>$305,181</w:t>
            </w:r>
          </w:p>
        </w:tc>
        <w:tc>
          <w:tcPr>
            <w:tcW w:w="1400" w:type="dxa"/>
            <w:tcBorders>
              <w:top w:val="nil"/>
              <w:left w:val="nil"/>
              <w:bottom w:val="nil"/>
              <w:right w:val="nil"/>
            </w:tcBorders>
            <w:shd w:val="clear" w:color="auto" w:fill="auto"/>
            <w:vAlign w:val="bottom"/>
          </w:tcPr>
          <w:p w:rsidR="00C82A64" w:rsidRPr="00785074" w:rsidRDefault="00C82A64">
            <w:pPr>
              <w:jc w:val="right"/>
              <w:rPr>
                <w:shadow w:val="0"/>
                <w:sz w:val="22"/>
                <w:szCs w:val="22"/>
              </w:rPr>
            </w:pPr>
            <w:r w:rsidRPr="00785074">
              <w:rPr>
                <w:shadow w:val="0"/>
                <w:sz w:val="22"/>
                <w:szCs w:val="22"/>
              </w:rPr>
              <w:t>$0</w:t>
            </w:r>
          </w:p>
        </w:tc>
        <w:tc>
          <w:tcPr>
            <w:tcW w:w="1420" w:type="dxa"/>
            <w:tcBorders>
              <w:top w:val="nil"/>
              <w:left w:val="nil"/>
              <w:bottom w:val="nil"/>
              <w:right w:val="nil"/>
            </w:tcBorders>
            <w:shd w:val="clear" w:color="auto" w:fill="auto"/>
            <w:vAlign w:val="bottom"/>
          </w:tcPr>
          <w:p w:rsidR="00C82A64" w:rsidRPr="00785074" w:rsidRDefault="00C82A64">
            <w:pPr>
              <w:jc w:val="right"/>
              <w:rPr>
                <w:shadow w:val="0"/>
                <w:sz w:val="22"/>
                <w:szCs w:val="22"/>
              </w:rPr>
            </w:pPr>
            <w:r w:rsidRPr="00785074">
              <w:rPr>
                <w:shadow w:val="0"/>
                <w:sz w:val="22"/>
                <w:szCs w:val="22"/>
              </w:rPr>
              <w:t>-$305,181</w:t>
            </w:r>
          </w:p>
        </w:tc>
        <w:tc>
          <w:tcPr>
            <w:tcW w:w="1420" w:type="dxa"/>
            <w:tcBorders>
              <w:top w:val="nil"/>
              <w:left w:val="nil"/>
              <w:bottom w:val="nil"/>
              <w:right w:val="nil"/>
            </w:tcBorders>
            <w:shd w:val="clear" w:color="auto" w:fill="auto"/>
            <w:vAlign w:val="bottom"/>
          </w:tcPr>
          <w:p w:rsidR="00C82A64" w:rsidRPr="00785074" w:rsidRDefault="00C82A64">
            <w:pPr>
              <w:jc w:val="center"/>
              <w:rPr>
                <w:shadow w:val="0"/>
                <w:sz w:val="22"/>
                <w:szCs w:val="22"/>
              </w:rPr>
            </w:pPr>
            <w:r w:rsidRPr="00785074">
              <w:rPr>
                <w:shadow w:val="0"/>
                <w:sz w:val="22"/>
                <w:szCs w:val="22"/>
              </w:rPr>
              <w:t>-100.0%</w:t>
            </w:r>
          </w:p>
        </w:tc>
      </w:tr>
      <w:tr w:rsidR="00C82A64" w:rsidRPr="00E944D1" w:rsidTr="00C82A64">
        <w:trPr>
          <w:trHeight w:val="300"/>
        </w:trPr>
        <w:tc>
          <w:tcPr>
            <w:tcW w:w="1495" w:type="dxa"/>
            <w:tcBorders>
              <w:top w:val="nil"/>
              <w:left w:val="nil"/>
              <w:bottom w:val="nil"/>
              <w:right w:val="nil"/>
            </w:tcBorders>
            <w:shd w:val="clear" w:color="auto" w:fill="auto"/>
          </w:tcPr>
          <w:p w:rsidR="00C82A64" w:rsidRPr="00E944D1" w:rsidRDefault="00C82A64" w:rsidP="00E944D1">
            <w:pPr>
              <w:rPr>
                <w:rFonts w:ascii="Times New Roman" w:hAnsi="Times New Roman"/>
                <w:shadow w:val="0"/>
                <w:sz w:val="22"/>
                <w:szCs w:val="16"/>
              </w:rPr>
            </w:pPr>
            <w:r w:rsidRPr="00E944D1">
              <w:rPr>
                <w:rFonts w:ascii="Times New Roman" w:hAnsi="Times New Roman"/>
                <w:shadow w:val="0"/>
                <w:sz w:val="22"/>
                <w:szCs w:val="16"/>
              </w:rPr>
              <w:t>1116-GF-1</w:t>
            </w:r>
          </w:p>
        </w:tc>
        <w:tc>
          <w:tcPr>
            <w:tcW w:w="2920" w:type="dxa"/>
            <w:tcBorders>
              <w:top w:val="nil"/>
              <w:left w:val="nil"/>
              <w:bottom w:val="nil"/>
              <w:right w:val="nil"/>
            </w:tcBorders>
            <w:shd w:val="clear" w:color="auto" w:fill="auto"/>
          </w:tcPr>
          <w:p w:rsidR="00C82A64" w:rsidRPr="00E944D1" w:rsidRDefault="00C82A64" w:rsidP="00E944D1">
            <w:pPr>
              <w:rPr>
                <w:rFonts w:ascii="Times New Roman" w:hAnsi="Times New Roman"/>
                <w:shadow w:val="0"/>
                <w:sz w:val="22"/>
                <w:szCs w:val="16"/>
              </w:rPr>
            </w:pPr>
            <w:r w:rsidRPr="00E944D1">
              <w:rPr>
                <w:rFonts w:ascii="Times New Roman" w:hAnsi="Times New Roman"/>
                <w:shadow w:val="0"/>
                <w:sz w:val="22"/>
                <w:szCs w:val="16"/>
              </w:rPr>
              <w:t>Distilled Spirits Tax</w:t>
            </w:r>
          </w:p>
        </w:tc>
        <w:tc>
          <w:tcPr>
            <w:tcW w:w="1580" w:type="dxa"/>
            <w:tcBorders>
              <w:top w:val="nil"/>
              <w:left w:val="nil"/>
              <w:bottom w:val="nil"/>
              <w:right w:val="nil"/>
            </w:tcBorders>
            <w:shd w:val="clear" w:color="auto" w:fill="auto"/>
            <w:vAlign w:val="bottom"/>
          </w:tcPr>
          <w:p w:rsidR="00C82A64" w:rsidRPr="00785074" w:rsidRDefault="00C82A64">
            <w:pPr>
              <w:jc w:val="right"/>
              <w:rPr>
                <w:shadow w:val="0"/>
                <w:sz w:val="22"/>
                <w:szCs w:val="22"/>
              </w:rPr>
            </w:pPr>
            <w:r w:rsidRPr="00785074">
              <w:rPr>
                <w:shadow w:val="0"/>
                <w:sz w:val="22"/>
                <w:szCs w:val="22"/>
              </w:rPr>
              <w:t>$413,985</w:t>
            </w:r>
          </w:p>
        </w:tc>
        <w:tc>
          <w:tcPr>
            <w:tcW w:w="1400" w:type="dxa"/>
            <w:tcBorders>
              <w:top w:val="nil"/>
              <w:left w:val="nil"/>
              <w:bottom w:val="nil"/>
              <w:right w:val="nil"/>
            </w:tcBorders>
            <w:shd w:val="clear" w:color="auto" w:fill="auto"/>
            <w:vAlign w:val="bottom"/>
          </w:tcPr>
          <w:p w:rsidR="00C82A64" w:rsidRPr="00785074" w:rsidRDefault="00C82A64">
            <w:pPr>
              <w:jc w:val="right"/>
              <w:rPr>
                <w:shadow w:val="0"/>
                <w:sz w:val="22"/>
                <w:szCs w:val="22"/>
              </w:rPr>
            </w:pPr>
            <w:r w:rsidRPr="00785074">
              <w:rPr>
                <w:shadow w:val="0"/>
                <w:sz w:val="22"/>
                <w:szCs w:val="22"/>
              </w:rPr>
              <w:t>$519,097</w:t>
            </w:r>
          </w:p>
        </w:tc>
        <w:tc>
          <w:tcPr>
            <w:tcW w:w="1420" w:type="dxa"/>
            <w:tcBorders>
              <w:top w:val="nil"/>
              <w:left w:val="nil"/>
              <w:bottom w:val="nil"/>
              <w:right w:val="nil"/>
            </w:tcBorders>
            <w:shd w:val="clear" w:color="auto" w:fill="auto"/>
            <w:vAlign w:val="bottom"/>
          </w:tcPr>
          <w:p w:rsidR="00C82A64" w:rsidRPr="00785074" w:rsidRDefault="00C82A64">
            <w:pPr>
              <w:jc w:val="right"/>
              <w:rPr>
                <w:shadow w:val="0"/>
                <w:sz w:val="22"/>
                <w:szCs w:val="22"/>
              </w:rPr>
            </w:pPr>
            <w:r w:rsidRPr="00785074">
              <w:rPr>
                <w:shadow w:val="0"/>
                <w:sz w:val="22"/>
                <w:szCs w:val="22"/>
              </w:rPr>
              <w:t>$105,112</w:t>
            </w:r>
          </w:p>
        </w:tc>
        <w:tc>
          <w:tcPr>
            <w:tcW w:w="1420" w:type="dxa"/>
            <w:tcBorders>
              <w:top w:val="nil"/>
              <w:left w:val="nil"/>
              <w:bottom w:val="nil"/>
              <w:right w:val="nil"/>
            </w:tcBorders>
            <w:shd w:val="clear" w:color="auto" w:fill="auto"/>
            <w:vAlign w:val="bottom"/>
          </w:tcPr>
          <w:p w:rsidR="00C82A64" w:rsidRPr="00785074" w:rsidRDefault="00C82A64">
            <w:pPr>
              <w:jc w:val="center"/>
              <w:rPr>
                <w:shadow w:val="0"/>
                <w:sz w:val="22"/>
                <w:szCs w:val="22"/>
              </w:rPr>
            </w:pPr>
            <w:r w:rsidRPr="00785074">
              <w:rPr>
                <w:shadow w:val="0"/>
                <w:sz w:val="22"/>
                <w:szCs w:val="22"/>
              </w:rPr>
              <w:t>25.4%</w:t>
            </w:r>
          </w:p>
        </w:tc>
      </w:tr>
      <w:tr w:rsidR="00C82A64" w:rsidRPr="00E944D1" w:rsidTr="00C82A64">
        <w:trPr>
          <w:trHeight w:val="300"/>
        </w:trPr>
        <w:tc>
          <w:tcPr>
            <w:tcW w:w="1495" w:type="dxa"/>
            <w:tcBorders>
              <w:top w:val="nil"/>
              <w:left w:val="nil"/>
              <w:bottom w:val="nil"/>
              <w:right w:val="nil"/>
            </w:tcBorders>
            <w:shd w:val="clear" w:color="auto" w:fill="auto"/>
          </w:tcPr>
          <w:p w:rsidR="00C82A64" w:rsidRPr="00E944D1" w:rsidRDefault="00C82A64" w:rsidP="00E944D1">
            <w:pPr>
              <w:rPr>
                <w:rFonts w:ascii="Times New Roman" w:hAnsi="Times New Roman"/>
                <w:shadow w:val="0"/>
                <w:sz w:val="22"/>
                <w:szCs w:val="16"/>
              </w:rPr>
            </w:pPr>
            <w:r w:rsidRPr="00E944D1">
              <w:rPr>
                <w:rFonts w:ascii="Times New Roman" w:hAnsi="Times New Roman"/>
                <w:shadow w:val="0"/>
                <w:sz w:val="22"/>
                <w:szCs w:val="16"/>
              </w:rPr>
              <w:t>1117-GF-1</w:t>
            </w:r>
          </w:p>
        </w:tc>
        <w:tc>
          <w:tcPr>
            <w:tcW w:w="2920" w:type="dxa"/>
            <w:tcBorders>
              <w:top w:val="nil"/>
              <w:left w:val="nil"/>
              <w:bottom w:val="nil"/>
              <w:right w:val="nil"/>
            </w:tcBorders>
            <w:shd w:val="clear" w:color="auto" w:fill="auto"/>
          </w:tcPr>
          <w:p w:rsidR="00C82A64" w:rsidRPr="00E944D1" w:rsidRDefault="00C82A64" w:rsidP="00E944D1">
            <w:pPr>
              <w:rPr>
                <w:rFonts w:ascii="Times New Roman" w:hAnsi="Times New Roman"/>
                <w:shadow w:val="0"/>
                <w:sz w:val="22"/>
                <w:szCs w:val="16"/>
              </w:rPr>
            </w:pPr>
            <w:r w:rsidRPr="00E944D1">
              <w:rPr>
                <w:rFonts w:ascii="Times New Roman" w:hAnsi="Times New Roman"/>
                <w:shadow w:val="0"/>
                <w:sz w:val="22"/>
                <w:szCs w:val="16"/>
              </w:rPr>
              <w:t>Motor Vehicle Tax</w:t>
            </w:r>
          </w:p>
        </w:tc>
        <w:tc>
          <w:tcPr>
            <w:tcW w:w="1580" w:type="dxa"/>
            <w:tcBorders>
              <w:top w:val="nil"/>
              <w:left w:val="nil"/>
              <w:bottom w:val="nil"/>
              <w:right w:val="nil"/>
            </w:tcBorders>
            <w:shd w:val="clear" w:color="auto" w:fill="auto"/>
            <w:vAlign w:val="bottom"/>
          </w:tcPr>
          <w:p w:rsidR="00C82A64" w:rsidRPr="00785074" w:rsidRDefault="00C82A64">
            <w:pPr>
              <w:jc w:val="right"/>
              <w:rPr>
                <w:shadow w:val="0"/>
                <w:sz w:val="22"/>
                <w:szCs w:val="22"/>
              </w:rPr>
            </w:pPr>
            <w:r w:rsidRPr="00785074">
              <w:rPr>
                <w:shadow w:val="0"/>
                <w:sz w:val="22"/>
                <w:szCs w:val="22"/>
              </w:rPr>
              <w:t>$1,571,342</w:t>
            </w:r>
          </w:p>
        </w:tc>
        <w:tc>
          <w:tcPr>
            <w:tcW w:w="1400" w:type="dxa"/>
            <w:tcBorders>
              <w:top w:val="nil"/>
              <w:left w:val="nil"/>
              <w:bottom w:val="nil"/>
              <w:right w:val="nil"/>
            </w:tcBorders>
            <w:shd w:val="clear" w:color="auto" w:fill="auto"/>
            <w:vAlign w:val="bottom"/>
          </w:tcPr>
          <w:p w:rsidR="00C82A64" w:rsidRPr="00785074" w:rsidRDefault="00C82A64">
            <w:pPr>
              <w:jc w:val="right"/>
              <w:rPr>
                <w:shadow w:val="0"/>
                <w:sz w:val="22"/>
                <w:szCs w:val="22"/>
              </w:rPr>
            </w:pPr>
            <w:r w:rsidRPr="00785074">
              <w:rPr>
                <w:shadow w:val="0"/>
                <w:sz w:val="22"/>
                <w:szCs w:val="22"/>
              </w:rPr>
              <w:t>$1,577,502</w:t>
            </w:r>
          </w:p>
        </w:tc>
        <w:tc>
          <w:tcPr>
            <w:tcW w:w="1420" w:type="dxa"/>
            <w:tcBorders>
              <w:top w:val="nil"/>
              <w:left w:val="nil"/>
              <w:bottom w:val="nil"/>
              <w:right w:val="nil"/>
            </w:tcBorders>
            <w:shd w:val="clear" w:color="auto" w:fill="auto"/>
            <w:vAlign w:val="bottom"/>
          </w:tcPr>
          <w:p w:rsidR="00C82A64" w:rsidRPr="00785074" w:rsidRDefault="00C82A64">
            <w:pPr>
              <w:jc w:val="right"/>
              <w:rPr>
                <w:shadow w:val="0"/>
                <w:sz w:val="22"/>
                <w:szCs w:val="22"/>
              </w:rPr>
            </w:pPr>
            <w:r w:rsidRPr="00785074">
              <w:rPr>
                <w:shadow w:val="0"/>
                <w:sz w:val="22"/>
                <w:szCs w:val="22"/>
              </w:rPr>
              <w:t>$6,160</w:t>
            </w:r>
          </w:p>
        </w:tc>
        <w:tc>
          <w:tcPr>
            <w:tcW w:w="1420" w:type="dxa"/>
            <w:tcBorders>
              <w:top w:val="nil"/>
              <w:left w:val="nil"/>
              <w:bottom w:val="nil"/>
              <w:right w:val="nil"/>
            </w:tcBorders>
            <w:shd w:val="clear" w:color="auto" w:fill="auto"/>
            <w:vAlign w:val="bottom"/>
          </w:tcPr>
          <w:p w:rsidR="00C82A64" w:rsidRPr="00785074" w:rsidRDefault="00C82A64">
            <w:pPr>
              <w:jc w:val="center"/>
              <w:rPr>
                <w:shadow w:val="0"/>
                <w:sz w:val="22"/>
                <w:szCs w:val="22"/>
              </w:rPr>
            </w:pPr>
            <w:r w:rsidRPr="00785074">
              <w:rPr>
                <w:shadow w:val="0"/>
                <w:sz w:val="22"/>
                <w:szCs w:val="22"/>
              </w:rPr>
              <w:t>0.4%</w:t>
            </w:r>
          </w:p>
        </w:tc>
      </w:tr>
      <w:tr w:rsidR="00C82A64" w:rsidRPr="00E944D1" w:rsidTr="00C82A64">
        <w:trPr>
          <w:trHeight w:val="300"/>
        </w:trPr>
        <w:tc>
          <w:tcPr>
            <w:tcW w:w="1495" w:type="dxa"/>
            <w:tcBorders>
              <w:top w:val="nil"/>
              <w:left w:val="nil"/>
              <w:bottom w:val="nil"/>
              <w:right w:val="nil"/>
            </w:tcBorders>
            <w:shd w:val="clear" w:color="auto" w:fill="auto"/>
          </w:tcPr>
          <w:p w:rsidR="00C82A64" w:rsidRPr="00E944D1" w:rsidRDefault="00C82A64" w:rsidP="00E944D1">
            <w:pPr>
              <w:rPr>
                <w:rFonts w:ascii="Times New Roman" w:hAnsi="Times New Roman"/>
                <w:shadow w:val="0"/>
                <w:sz w:val="22"/>
                <w:szCs w:val="16"/>
              </w:rPr>
            </w:pPr>
            <w:r>
              <w:rPr>
                <w:rFonts w:ascii="Times New Roman" w:hAnsi="Times New Roman"/>
                <w:shadow w:val="0"/>
                <w:sz w:val="22"/>
                <w:szCs w:val="16"/>
              </w:rPr>
              <w:t>1111-BF 320</w:t>
            </w:r>
          </w:p>
        </w:tc>
        <w:tc>
          <w:tcPr>
            <w:tcW w:w="2920" w:type="dxa"/>
            <w:tcBorders>
              <w:top w:val="nil"/>
              <w:left w:val="nil"/>
              <w:bottom w:val="nil"/>
              <w:right w:val="nil"/>
            </w:tcBorders>
            <w:shd w:val="clear" w:color="auto" w:fill="auto"/>
          </w:tcPr>
          <w:p w:rsidR="00C82A64" w:rsidRPr="00E944D1" w:rsidRDefault="00C82A64" w:rsidP="00E944D1">
            <w:pPr>
              <w:rPr>
                <w:rFonts w:ascii="Times New Roman" w:hAnsi="Times New Roman"/>
                <w:shadow w:val="0"/>
                <w:sz w:val="22"/>
                <w:szCs w:val="16"/>
              </w:rPr>
            </w:pPr>
            <w:r>
              <w:rPr>
                <w:rFonts w:ascii="Times New Roman" w:hAnsi="Times New Roman"/>
                <w:shadow w:val="0"/>
                <w:sz w:val="22"/>
                <w:szCs w:val="16"/>
              </w:rPr>
              <w:t>Building Fund Tax</w:t>
            </w:r>
          </w:p>
        </w:tc>
        <w:tc>
          <w:tcPr>
            <w:tcW w:w="1580" w:type="dxa"/>
            <w:tcBorders>
              <w:top w:val="nil"/>
              <w:left w:val="nil"/>
              <w:bottom w:val="nil"/>
              <w:right w:val="nil"/>
            </w:tcBorders>
            <w:shd w:val="clear" w:color="auto" w:fill="auto"/>
            <w:vAlign w:val="bottom"/>
          </w:tcPr>
          <w:p w:rsidR="00C82A64" w:rsidRPr="00785074" w:rsidRDefault="00C82A64">
            <w:pPr>
              <w:jc w:val="right"/>
              <w:rPr>
                <w:shadow w:val="0"/>
                <w:sz w:val="22"/>
                <w:szCs w:val="22"/>
              </w:rPr>
            </w:pPr>
            <w:r w:rsidRPr="00785074">
              <w:rPr>
                <w:shadow w:val="0"/>
                <w:sz w:val="22"/>
                <w:szCs w:val="22"/>
              </w:rPr>
              <w:t>$3,036,464</w:t>
            </w:r>
          </w:p>
        </w:tc>
        <w:tc>
          <w:tcPr>
            <w:tcW w:w="1400" w:type="dxa"/>
            <w:tcBorders>
              <w:top w:val="nil"/>
              <w:left w:val="nil"/>
              <w:bottom w:val="nil"/>
              <w:right w:val="nil"/>
            </w:tcBorders>
            <w:shd w:val="clear" w:color="auto" w:fill="auto"/>
            <w:vAlign w:val="bottom"/>
          </w:tcPr>
          <w:p w:rsidR="00C82A64" w:rsidRPr="00785074" w:rsidRDefault="00C82A64">
            <w:pPr>
              <w:jc w:val="right"/>
              <w:rPr>
                <w:shadow w:val="0"/>
                <w:sz w:val="22"/>
                <w:szCs w:val="22"/>
              </w:rPr>
            </w:pPr>
            <w:r w:rsidRPr="00785074">
              <w:rPr>
                <w:shadow w:val="0"/>
                <w:sz w:val="22"/>
                <w:szCs w:val="22"/>
              </w:rPr>
              <w:t>$3,170,851</w:t>
            </w:r>
          </w:p>
        </w:tc>
        <w:tc>
          <w:tcPr>
            <w:tcW w:w="1420" w:type="dxa"/>
            <w:tcBorders>
              <w:top w:val="nil"/>
              <w:left w:val="nil"/>
              <w:bottom w:val="nil"/>
              <w:right w:val="nil"/>
            </w:tcBorders>
            <w:shd w:val="clear" w:color="auto" w:fill="auto"/>
            <w:vAlign w:val="bottom"/>
          </w:tcPr>
          <w:p w:rsidR="00C82A64" w:rsidRPr="00785074" w:rsidRDefault="00C82A64">
            <w:pPr>
              <w:jc w:val="right"/>
              <w:rPr>
                <w:shadow w:val="0"/>
                <w:sz w:val="22"/>
                <w:szCs w:val="22"/>
              </w:rPr>
            </w:pPr>
            <w:r w:rsidRPr="00785074">
              <w:rPr>
                <w:shadow w:val="0"/>
                <w:sz w:val="22"/>
                <w:szCs w:val="22"/>
              </w:rPr>
              <w:t>$134,387</w:t>
            </w:r>
          </w:p>
        </w:tc>
        <w:tc>
          <w:tcPr>
            <w:tcW w:w="1420" w:type="dxa"/>
            <w:tcBorders>
              <w:top w:val="nil"/>
              <w:left w:val="nil"/>
              <w:bottom w:val="nil"/>
              <w:right w:val="nil"/>
            </w:tcBorders>
            <w:shd w:val="clear" w:color="auto" w:fill="auto"/>
            <w:vAlign w:val="bottom"/>
          </w:tcPr>
          <w:p w:rsidR="00C82A64" w:rsidRPr="00785074" w:rsidRDefault="00C82A64">
            <w:pPr>
              <w:jc w:val="center"/>
              <w:rPr>
                <w:shadow w:val="0"/>
                <w:sz w:val="22"/>
                <w:szCs w:val="22"/>
              </w:rPr>
            </w:pPr>
            <w:r w:rsidRPr="00785074">
              <w:rPr>
                <w:shadow w:val="0"/>
                <w:sz w:val="22"/>
                <w:szCs w:val="22"/>
              </w:rPr>
              <w:t>4.4%</w:t>
            </w:r>
          </w:p>
        </w:tc>
      </w:tr>
      <w:tr w:rsidR="00C82A64" w:rsidRPr="00E944D1" w:rsidTr="00C82A64">
        <w:trPr>
          <w:trHeight w:val="315"/>
        </w:trPr>
        <w:tc>
          <w:tcPr>
            <w:tcW w:w="4415" w:type="dxa"/>
            <w:gridSpan w:val="2"/>
            <w:tcBorders>
              <w:top w:val="single" w:sz="8" w:space="0" w:color="auto"/>
              <w:left w:val="nil"/>
              <w:bottom w:val="double" w:sz="6" w:space="0" w:color="auto"/>
              <w:right w:val="nil"/>
            </w:tcBorders>
            <w:shd w:val="clear" w:color="000000" w:fill="BFBFBF"/>
            <w:noWrap/>
          </w:tcPr>
          <w:p w:rsidR="00C82A64" w:rsidRPr="00E944D1" w:rsidRDefault="00C82A64" w:rsidP="00C75770">
            <w:pPr>
              <w:rPr>
                <w:rFonts w:ascii="Times New Roman" w:hAnsi="Times New Roman"/>
                <w:b/>
                <w:bCs/>
                <w:shadow w:val="0"/>
                <w:sz w:val="22"/>
                <w:szCs w:val="16"/>
              </w:rPr>
            </w:pPr>
            <w:r w:rsidRPr="00E944D1">
              <w:rPr>
                <w:rFonts w:ascii="Times New Roman" w:hAnsi="Times New Roman"/>
                <w:b/>
                <w:bCs/>
                <w:shadow w:val="0"/>
                <w:sz w:val="22"/>
                <w:szCs w:val="16"/>
              </w:rPr>
              <w:t>Subtotal Gen. Fund</w:t>
            </w:r>
            <w:r>
              <w:rPr>
                <w:rFonts w:ascii="Times New Roman" w:hAnsi="Times New Roman"/>
                <w:b/>
                <w:bCs/>
                <w:shadow w:val="0"/>
                <w:sz w:val="22"/>
                <w:szCs w:val="16"/>
              </w:rPr>
              <w:t xml:space="preserve"> at 4% Rate</w:t>
            </w:r>
          </w:p>
        </w:tc>
        <w:tc>
          <w:tcPr>
            <w:tcW w:w="1580" w:type="dxa"/>
            <w:tcBorders>
              <w:top w:val="single" w:sz="8" w:space="0" w:color="auto"/>
              <w:left w:val="nil"/>
              <w:bottom w:val="double" w:sz="6" w:space="0" w:color="auto"/>
              <w:right w:val="nil"/>
            </w:tcBorders>
            <w:shd w:val="clear" w:color="000000" w:fill="BFBFBF"/>
            <w:vAlign w:val="bottom"/>
          </w:tcPr>
          <w:p w:rsidR="00C82A64" w:rsidRPr="00785074" w:rsidRDefault="00C82A64" w:rsidP="00E944D1">
            <w:pPr>
              <w:jc w:val="right"/>
              <w:rPr>
                <w:rFonts w:ascii="Times New Roman" w:hAnsi="Times New Roman"/>
                <w:b/>
                <w:bCs/>
                <w:shadow w:val="0"/>
                <w:sz w:val="22"/>
                <w:szCs w:val="22"/>
              </w:rPr>
            </w:pPr>
            <w:r w:rsidRPr="00785074">
              <w:rPr>
                <w:rFonts w:ascii="Times New Roman" w:hAnsi="Times New Roman"/>
                <w:b/>
                <w:bCs/>
                <w:shadow w:val="0"/>
                <w:sz w:val="22"/>
                <w:szCs w:val="22"/>
              </w:rPr>
              <w:t>$15,663,834</w:t>
            </w:r>
          </w:p>
        </w:tc>
        <w:tc>
          <w:tcPr>
            <w:tcW w:w="1400" w:type="dxa"/>
            <w:tcBorders>
              <w:top w:val="single" w:sz="8" w:space="0" w:color="auto"/>
              <w:left w:val="nil"/>
              <w:bottom w:val="double" w:sz="6" w:space="0" w:color="auto"/>
              <w:right w:val="nil"/>
            </w:tcBorders>
            <w:shd w:val="clear" w:color="000000" w:fill="BFBFBF"/>
            <w:vAlign w:val="bottom"/>
          </w:tcPr>
          <w:p w:rsidR="00C82A64" w:rsidRPr="00785074" w:rsidRDefault="00C82A64" w:rsidP="00C82A64">
            <w:pPr>
              <w:jc w:val="right"/>
              <w:rPr>
                <w:b/>
                <w:bCs/>
                <w:shadow w:val="0"/>
                <w:sz w:val="22"/>
                <w:szCs w:val="22"/>
              </w:rPr>
            </w:pPr>
            <w:r w:rsidRPr="00785074">
              <w:rPr>
                <w:b/>
                <w:bCs/>
                <w:shadow w:val="0"/>
                <w:sz w:val="22"/>
                <w:szCs w:val="22"/>
              </w:rPr>
              <w:t>$16,743,652</w:t>
            </w:r>
          </w:p>
        </w:tc>
        <w:tc>
          <w:tcPr>
            <w:tcW w:w="1420" w:type="dxa"/>
            <w:tcBorders>
              <w:top w:val="single" w:sz="8" w:space="0" w:color="auto"/>
              <w:left w:val="nil"/>
              <w:bottom w:val="double" w:sz="6" w:space="0" w:color="auto"/>
              <w:right w:val="nil"/>
            </w:tcBorders>
            <w:shd w:val="clear" w:color="000000" w:fill="BFBFBF"/>
            <w:vAlign w:val="bottom"/>
          </w:tcPr>
          <w:p w:rsidR="00C82A64" w:rsidRPr="00785074" w:rsidRDefault="00C82A64" w:rsidP="00C82A64">
            <w:pPr>
              <w:jc w:val="right"/>
              <w:rPr>
                <w:b/>
                <w:bCs/>
                <w:shadow w:val="0"/>
                <w:sz w:val="22"/>
                <w:szCs w:val="22"/>
              </w:rPr>
            </w:pPr>
            <w:r w:rsidRPr="00785074">
              <w:rPr>
                <w:b/>
                <w:bCs/>
                <w:shadow w:val="0"/>
                <w:sz w:val="22"/>
                <w:szCs w:val="22"/>
              </w:rPr>
              <w:t>$1,079,818</w:t>
            </w:r>
          </w:p>
        </w:tc>
        <w:tc>
          <w:tcPr>
            <w:tcW w:w="1420" w:type="dxa"/>
            <w:tcBorders>
              <w:top w:val="single" w:sz="8" w:space="0" w:color="auto"/>
              <w:left w:val="nil"/>
              <w:bottom w:val="double" w:sz="6" w:space="0" w:color="auto"/>
              <w:right w:val="nil"/>
            </w:tcBorders>
            <w:shd w:val="clear" w:color="000000" w:fill="BFBFBF"/>
            <w:vAlign w:val="bottom"/>
          </w:tcPr>
          <w:p w:rsidR="00C82A64" w:rsidRPr="00785074" w:rsidRDefault="00C82A64" w:rsidP="00C82A64">
            <w:pPr>
              <w:jc w:val="center"/>
              <w:rPr>
                <w:b/>
                <w:bCs/>
                <w:shadow w:val="0"/>
                <w:sz w:val="22"/>
                <w:szCs w:val="22"/>
              </w:rPr>
            </w:pPr>
            <w:r w:rsidRPr="00785074">
              <w:rPr>
                <w:b/>
                <w:bCs/>
                <w:shadow w:val="0"/>
                <w:sz w:val="22"/>
                <w:szCs w:val="22"/>
              </w:rPr>
              <w:t>6.9%</w:t>
            </w:r>
          </w:p>
        </w:tc>
      </w:tr>
      <w:tr w:rsidR="00C82A64" w:rsidRPr="00E944D1" w:rsidTr="00C82A64">
        <w:trPr>
          <w:trHeight w:val="330"/>
        </w:trPr>
        <w:tc>
          <w:tcPr>
            <w:tcW w:w="4415" w:type="dxa"/>
            <w:gridSpan w:val="2"/>
            <w:tcBorders>
              <w:top w:val="nil"/>
              <w:left w:val="nil"/>
              <w:bottom w:val="nil"/>
              <w:right w:val="nil"/>
            </w:tcBorders>
            <w:shd w:val="clear" w:color="auto" w:fill="auto"/>
            <w:noWrap/>
            <w:vAlign w:val="bottom"/>
          </w:tcPr>
          <w:p w:rsidR="00C82A64" w:rsidRPr="00E944D1" w:rsidRDefault="00C82A64" w:rsidP="00E944D1">
            <w:pPr>
              <w:rPr>
                <w:rFonts w:ascii="Times New Roman" w:hAnsi="Times New Roman" w:cs="Arial"/>
                <w:shadow w:val="0"/>
                <w:sz w:val="22"/>
                <w:szCs w:val="16"/>
              </w:rPr>
            </w:pPr>
            <w:r w:rsidRPr="00E944D1">
              <w:rPr>
                <w:rFonts w:ascii="Times New Roman" w:hAnsi="Times New Roman" w:cs="Arial"/>
                <w:shadow w:val="0"/>
                <w:sz w:val="22"/>
                <w:szCs w:val="16"/>
              </w:rPr>
              <w:t>Additional GF Revenue Subsection 1 Rate</w:t>
            </w:r>
          </w:p>
        </w:tc>
        <w:tc>
          <w:tcPr>
            <w:tcW w:w="1580" w:type="dxa"/>
            <w:tcBorders>
              <w:top w:val="nil"/>
              <w:left w:val="nil"/>
              <w:bottom w:val="nil"/>
              <w:right w:val="nil"/>
            </w:tcBorders>
            <w:shd w:val="clear" w:color="auto" w:fill="auto"/>
            <w:noWrap/>
            <w:vAlign w:val="bottom"/>
          </w:tcPr>
          <w:p w:rsidR="00C82A64" w:rsidRPr="00785074" w:rsidRDefault="00C82A64" w:rsidP="00E944D1">
            <w:pPr>
              <w:rPr>
                <w:rFonts w:ascii="Times New Roman" w:hAnsi="Times New Roman" w:cs="Arial"/>
                <w:shadow w:val="0"/>
                <w:sz w:val="22"/>
                <w:szCs w:val="22"/>
              </w:rPr>
            </w:pPr>
          </w:p>
        </w:tc>
        <w:tc>
          <w:tcPr>
            <w:tcW w:w="1400" w:type="dxa"/>
            <w:tcBorders>
              <w:top w:val="nil"/>
              <w:left w:val="nil"/>
              <w:bottom w:val="nil"/>
              <w:right w:val="nil"/>
            </w:tcBorders>
            <w:shd w:val="clear" w:color="auto" w:fill="auto"/>
            <w:vAlign w:val="bottom"/>
          </w:tcPr>
          <w:p w:rsidR="00C82A64" w:rsidRPr="00785074" w:rsidRDefault="00C82A64">
            <w:pPr>
              <w:rPr>
                <w:rFonts w:ascii="Arial" w:hAnsi="Arial" w:cs="Arial"/>
                <w:shadow w:val="0"/>
                <w:sz w:val="22"/>
                <w:szCs w:val="22"/>
              </w:rPr>
            </w:pPr>
            <w:r w:rsidRPr="00785074">
              <w:rPr>
                <w:shadow w:val="0"/>
                <w:sz w:val="22"/>
                <w:szCs w:val="22"/>
              </w:rPr>
              <w:t>$1,344,922</w:t>
            </w:r>
          </w:p>
        </w:tc>
        <w:tc>
          <w:tcPr>
            <w:tcW w:w="1420" w:type="dxa"/>
            <w:tcBorders>
              <w:top w:val="nil"/>
              <w:left w:val="nil"/>
              <w:bottom w:val="nil"/>
              <w:right w:val="nil"/>
            </w:tcBorders>
            <w:shd w:val="clear" w:color="auto" w:fill="auto"/>
            <w:noWrap/>
            <w:vAlign w:val="bottom"/>
          </w:tcPr>
          <w:p w:rsidR="00C82A64" w:rsidRPr="00785074" w:rsidRDefault="00C82A64">
            <w:pPr>
              <w:jc w:val="right"/>
              <w:rPr>
                <w:shadow w:val="0"/>
                <w:sz w:val="22"/>
                <w:szCs w:val="22"/>
              </w:rPr>
            </w:pPr>
          </w:p>
        </w:tc>
        <w:tc>
          <w:tcPr>
            <w:tcW w:w="1420" w:type="dxa"/>
            <w:tcBorders>
              <w:top w:val="nil"/>
              <w:left w:val="nil"/>
              <w:bottom w:val="nil"/>
              <w:right w:val="nil"/>
            </w:tcBorders>
            <w:shd w:val="clear" w:color="auto" w:fill="auto"/>
            <w:noWrap/>
            <w:vAlign w:val="bottom"/>
          </w:tcPr>
          <w:p w:rsidR="00C82A64" w:rsidRPr="00785074" w:rsidRDefault="00C82A64">
            <w:pPr>
              <w:rPr>
                <w:rFonts w:ascii="Arial" w:hAnsi="Arial" w:cs="Arial"/>
                <w:shadow w:val="0"/>
                <w:sz w:val="22"/>
                <w:szCs w:val="22"/>
              </w:rPr>
            </w:pPr>
          </w:p>
        </w:tc>
      </w:tr>
      <w:tr w:rsidR="00C82A64" w:rsidRPr="00E944D1" w:rsidTr="00C82A64">
        <w:trPr>
          <w:trHeight w:val="315"/>
        </w:trPr>
        <w:tc>
          <w:tcPr>
            <w:tcW w:w="4415" w:type="dxa"/>
            <w:gridSpan w:val="2"/>
            <w:tcBorders>
              <w:top w:val="single" w:sz="8" w:space="0" w:color="auto"/>
              <w:left w:val="nil"/>
              <w:bottom w:val="double" w:sz="6" w:space="0" w:color="auto"/>
              <w:right w:val="nil"/>
            </w:tcBorders>
            <w:shd w:val="clear" w:color="000000" w:fill="BFBFBF"/>
            <w:noWrap/>
          </w:tcPr>
          <w:p w:rsidR="00C82A64" w:rsidRPr="00E944D1" w:rsidRDefault="00C82A64" w:rsidP="004967CD">
            <w:pPr>
              <w:rPr>
                <w:rFonts w:ascii="Times New Roman" w:hAnsi="Times New Roman"/>
                <w:b/>
                <w:bCs/>
                <w:shadow w:val="0"/>
                <w:sz w:val="22"/>
                <w:szCs w:val="16"/>
              </w:rPr>
            </w:pPr>
            <w:r w:rsidRPr="00E944D1">
              <w:rPr>
                <w:rFonts w:ascii="Times New Roman" w:hAnsi="Times New Roman"/>
                <w:b/>
                <w:bCs/>
                <w:shadow w:val="0"/>
                <w:sz w:val="22"/>
                <w:szCs w:val="16"/>
              </w:rPr>
              <w:t>Grand Total (4% Rate + Subsec 1 Rate</w:t>
            </w:r>
          </w:p>
        </w:tc>
        <w:tc>
          <w:tcPr>
            <w:tcW w:w="1580" w:type="dxa"/>
            <w:tcBorders>
              <w:top w:val="single" w:sz="8" w:space="0" w:color="auto"/>
              <w:left w:val="nil"/>
              <w:bottom w:val="double" w:sz="6" w:space="0" w:color="auto"/>
              <w:right w:val="nil"/>
            </w:tcBorders>
            <w:shd w:val="clear" w:color="000000" w:fill="BFBFBF"/>
            <w:vAlign w:val="bottom"/>
          </w:tcPr>
          <w:p w:rsidR="00C82A64" w:rsidRPr="00785074" w:rsidRDefault="00C82A64" w:rsidP="00C82A64">
            <w:pPr>
              <w:jc w:val="right"/>
              <w:rPr>
                <w:b/>
                <w:bCs/>
                <w:shadow w:val="0"/>
                <w:sz w:val="22"/>
                <w:szCs w:val="22"/>
              </w:rPr>
            </w:pPr>
            <w:r w:rsidRPr="00785074">
              <w:rPr>
                <w:b/>
                <w:bCs/>
                <w:shadow w:val="0"/>
                <w:sz w:val="22"/>
                <w:szCs w:val="22"/>
              </w:rPr>
              <w:t>$15,663,834</w:t>
            </w:r>
          </w:p>
        </w:tc>
        <w:tc>
          <w:tcPr>
            <w:tcW w:w="1400" w:type="dxa"/>
            <w:tcBorders>
              <w:top w:val="single" w:sz="8" w:space="0" w:color="auto"/>
              <w:left w:val="nil"/>
              <w:bottom w:val="double" w:sz="6" w:space="0" w:color="auto"/>
              <w:right w:val="nil"/>
            </w:tcBorders>
            <w:shd w:val="clear" w:color="000000" w:fill="BFBFBF"/>
            <w:vAlign w:val="bottom"/>
          </w:tcPr>
          <w:p w:rsidR="00C82A64" w:rsidRPr="00785074" w:rsidRDefault="00C82A64" w:rsidP="00C82A64">
            <w:pPr>
              <w:jc w:val="right"/>
              <w:rPr>
                <w:b/>
                <w:bCs/>
                <w:shadow w:val="0"/>
                <w:sz w:val="22"/>
                <w:szCs w:val="22"/>
              </w:rPr>
            </w:pPr>
            <w:r w:rsidRPr="00785074">
              <w:rPr>
                <w:b/>
                <w:bCs/>
                <w:shadow w:val="0"/>
                <w:sz w:val="22"/>
                <w:szCs w:val="22"/>
              </w:rPr>
              <w:t>$18,088,574</w:t>
            </w:r>
          </w:p>
        </w:tc>
        <w:tc>
          <w:tcPr>
            <w:tcW w:w="1420" w:type="dxa"/>
            <w:tcBorders>
              <w:top w:val="single" w:sz="8" w:space="0" w:color="auto"/>
              <w:left w:val="nil"/>
              <w:bottom w:val="double" w:sz="6" w:space="0" w:color="auto"/>
              <w:right w:val="nil"/>
            </w:tcBorders>
            <w:shd w:val="clear" w:color="000000" w:fill="BFBFBF"/>
            <w:vAlign w:val="bottom"/>
          </w:tcPr>
          <w:p w:rsidR="00C82A64" w:rsidRPr="00785074" w:rsidRDefault="00C82A64" w:rsidP="00C82A64">
            <w:pPr>
              <w:jc w:val="right"/>
              <w:rPr>
                <w:b/>
                <w:bCs/>
                <w:shadow w:val="0"/>
                <w:sz w:val="22"/>
                <w:szCs w:val="22"/>
              </w:rPr>
            </w:pPr>
            <w:r w:rsidRPr="00785074">
              <w:rPr>
                <w:b/>
                <w:bCs/>
                <w:shadow w:val="0"/>
                <w:sz w:val="22"/>
                <w:szCs w:val="22"/>
              </w:rPr>
              <w:t>$2,424,740</w:t>
            </w:r>
          </w:p>
        </w:tc>
        <w:tc>
          <w:tcPr>
            <w:tcW w:w="1420" w:type="dxa"/>
            <w:tcBorders>
              <w:top w:val="single" w:sz="8" w:space="0" w:color="auto"/>
              <w:left w:val="nil"/>
              <w:bottom w:val="double" w:sz="6" w:space="0" w:color="auto"/>
              <w:right w:val="nil"/>
            </w:tcBorders>
            <w:shd w:val="clear" w:color="000000" w:fill="BFBFBF"/>
            <w:vAlign w:val="bottom"/>
          </w:tcPr>
          <w:p w:rsidR="00C82A64" w:rsidRPr="00785074" w:rsidRDefault="00C82A64" w:rsidP="00C82A64">
            <w:pPr>
              <w:jc w:val="center"/>
              <w:rPr>
                <w:b/>
                <w:bCs/>
                <w:shadow w:val="0"/>
                <w:sz w:val="22"/>
                <w:szCs w:val="22"/>
              </w:rPr>
            </w:pPr>
            <w:r w:rsidRPr="00785074">
              <w:rPr>
                <w:b/>
                <w:bCs/>
                <w:shadow w:val="0"/>
                <w:sz w:val="22"/>
                <w:szCs w:val="22"/>
              </w:rPr>
              <w:t>15.5%</w:t>
            </w:r>
          </w:p>
        </w:tc>
      </w:tr>
    </w:tbl>
    <w:p w:rsidR="00C82A64" w:rsidRDefault="00C82A64">
      <w:pPr>
        <w:pStyle w:val="BodyText"/>
        <w:rPr>
          <w:rFonts w:ascii="Times New Roman" w:hAnsi="Times New Roman"/>
        </w:rPr>
      </w:pPr>
    </w:p>
    <w:p w:rsidR="004967CD" w:rsidRDefault="002007C4">
      <w:pPr>
        <w:pStyle w:val="BodyText"/>
        <w:rPr>
          <w:rFonts w:ascii="Times New Roman" w:hAnsi="Times New Roman"/>
        </w:rPr>
      </w:pPr>
      <w:r>
        <w:rPr>
          <w:rFonts w:ascii="Times New Roman" w:hAnsi="Times New Roman"/>
        </w:rPr>
        <w:lastRenderedPageBreak/>
        <w:t>It is important to note that the Board is setting all tax rates and not just the property tax rates.  The publication requirement of KRS 160.470 dictates that only the tax rates and revenues from property taxes should be published.  As a result, the statutory information in the advertisement may appear to conflict with budgetary information</w:t>
      </w:r>
      <w:r w:rsidR="00F14B33">
        <w:rPr>
          <w:rFonts w:ascii="Times New Roman" w:hAnsi="Times New Roman"/>
        </w:rPr>
        <w:t xml:space="preserve">.  As noted earlier, the comparison of prior year tax revenue required by the statutory advertisement is actual amount collected which is usually about 95% of the amount billed.  </w:t>
      </w:r>
      <w:r w:rsidR="00D774CF">
        <w:rPr>
          <w:rFonts w:ascii="Times New Roman" w:hAnsi="Times New Roman"/>
        </w:rPr>
        <w:t xml:space="preserve">However, the amount projected for receipt in the advertisement for the current year is 100% of the amount billed.  The 2008-09 Annual Working Budget that will be considered by the Board at a subsequent meeting will show projected net revenue based on historical collection rates which will be lower.  </w:t>
      </w:r>
      <w:r>
        <w:rPr>
          <w:rFonts w:ascii="Times New Roman" w:hAnsi="Times New Roman"/>
        </w:rPr>
        <w:t xml:space="preserve">Table C </w:t>
      </w:r>
      <w:r w:rsidR="00D774CF">
        <w:rPr>
          <w:rFonts w:ascii="Times New Roman" w:hAnsi="Times New Roman"/>
        </w:rPr>
        <w:t xml:space="preserve">also </w:t>
      </w:r>
      <w:r>
        <w:rPr>
          <w:rFonts w:ascii="Times New Roman" w:hAnsi="Times New Roman"/>
        </w:rPr>
        <w:t>include</w:t>
      </w:r>
      <w:r w:rsidR="00D774CF">
        <w:rPr>
          <w:rFonts w:ascii="Times New Roman" w:hAnsi="Times New Roman"/>
        </w:rPr>
        <w:t>d</w:t>
      </w:r>
      <w:r>
        <w:rPr>
          <w:rFonts w:ascii="Times New Roman" w:hAnsi="Times New Roman"/>
        </w:rPr>
        <w:t xml:space="preserve"> other types of tax revenue (delinquent tax, motor vehicle tax, and utility tax) not included in the informatio</w:t>
      </w:r>
      <w:r w:rsidR="004967CD">
        <w:rPr>
          <w:rFonts w:ascii="Times New Roman" w:hAnsi="Times New Roman"/>
        </w:rPr>
        <w:t>n published in the newspaper.</w:t>
      </w:r>
    </w:p>
    <w:p w:rsidR="00797BE0" w:rsidRDefault="00797BE0">
      <w:pPr>
        <w:pStyle w:val="BodyText"/>
        <w:rPr>
          <w:rFonts w:ascii="Times New Roman" w:hAnsi="Times New Roman"/>
          <w:b/>
          <w:bCs/>
        </w:rPr>
      </w:pPr>
    </w:p>
    <w:p w:rsidR="002007C4" w:rsidRDefault="002007C4">
      <w:pPr>
        <w:pStyle w:val="BodyText"/>
        <w:rPr>
          <w:rFonts w:ascii="Times New Roman" w:hAnsi="Times New Roman"/>
        </w:rPr>
      </w:pPr>
      <w:r>
        <w:rPr>
          <w:rFonts w:ascii="Times New Roman" w:hAnsi="Times New Roman"/>
          <w:b/>
          <w:bCs/>
        </w:rPr>
        <w:t>What is the impact on residents of the proposed tax rate?</w:t>
      </w:r>
    </w:p>
    <w:p w:rsidR="004967CD" w:rsidRDefault="004967CD">
      <w:pPr>
        <w:pStyle w:val="BodyText"/>
        <w:rPr>
          <w:rFonts w:ascii="Times New Roman" w:hAnsi="Times New Roman"/>
        </w:rPr>
      </w:pPr>
    </w:p>
    <w:p w:rsidR="002007C4" w:rsidRDefault="002007C4">
      <w:pPr>
        <w:pStyle w:val="BodyText"/>
        <w:rPr>
          <w:rFonts w:ascii="Times New Roman" w:hAnsi="Times New Roman"/>
        </w:rPr>
      </w:pPr>
      <w:r>
        <w:rPr>
          <w:rFonts w:ascii="Times New Roman" w:hAnsi="Times New Roman"/>
        </w:rPr>
        <w:t>For a resident owning property with a Taxable Value of $</w:t>
      </w:r>
      <w:r w:rsidR="004967CD">
        <w:rPr>
          <w:rFonts w:ascii="Times New Roman" w:hAnsi="Times New Roman"/>
        </w:rPr>
        <w:t>2</w:t>
      </w:r>
      <w:r>
        <w:rPr>
          <w:rFonts w:ascii="Times New Roman" w:hAnsi="Times New Roman"/>
        </w:rPr>
        <w:t xml:space="preserve">00,000 in both years, the 4% tax rate will result in </w:t>
      </w:r>
      <w:r w:rsidR="00797BE0">
        <w:rPr>
          <w:rFonts w:ascii="Times New Roman" w:hAnsi="Times New Roman"/>
        </w:rPr>
        <w:t xml:space="preserve">higher </w:t>
      </w:r>
      <w:r>
        <w:rPr>
          <w:rFonts w:ascii="Times New Roman" w:hAnsi="Times New Roman"/>
        </w:rPr>
        <w:t>property taxes of $</w:t>
      </w:r>
      <w:r w:rsidR="00797BE0">
        <w:rPr>
          <w:rFonts w:ascii="Times New Roman" w:hAnsi="Times New Roman"/>
        </w:rPr>
        <w:t>16</w:t>
      </w:r>
      <w:r>
        <w:rPr>
          <w:rFonts w:ascii="Times New Roman" w:hAnsi="Times New Roman"/>
        </w:rPr>
        <w:t xml:space="preserve"> compared to last year</w:t>
      </w:r>
      <w:r w:rsidR="00797BE0">
        <w:rPr>
          <w:rFonts w:ascii="Times New Roman" w:hAnsi="Times New Roman"/>
        </w:rPr>
        <w:t xml:space="preserve"> with no change in assessment</w:t>
      </w:r>
      <w:r>
        <w:rPr>
          <w:rFonts w:ascii="Times New Roman" w:hAnsi="Times New Roman"/>
        </w:rPr>
        <w:t>.</w:t>
      </w:r>
      <w:r w:rsidR="00797BE0">
        <w:rPr>
          <w:rFonts w:ascii="Times New Roman" w:hAnsi="Times New Roman"/>
        </w:rPr>
        <w:t xml:space="preserve">  The increase for the subsection 1 rate would be $110 more than 2007.</w:t>
      </w:r>
    </w:p>
    <w:p w:rsidR="002007C4" w:rsidRDefault="002007C4">
      <w:pPr>
        <w:pStyle w:val="BodyText"/>
        <w:rPr>
          <w:rFonts w:ascii="Times New Roman" w:hAnsi="Times New Roman"/>
        </w:rPr>
      </w:pPr>
    </w:p>
    <w:p w:rsidR="002007C4" w:rsidRDefault="002007C4">
      <w:pPr>
        <w:pStyle w:val="BodyText"/>
        <w:rPr>
          <w:rFonts w:ascii="Times New Roman" w:hAnsi="Times New Roman"/>
          <w:szCs w:val="24"/>
        </w:rPr>
      </w:pPr>
      <w:r>
        <w:rPr>
          <w:rFonts w:ascii="Times New Roman" w:hAnsi="Times New Roman"/>
          <w:szCs w:val="24"/>
        </w:rPr>
        <w:t xml:space="preserve">Required local effort under the SEEK program </w:t>
      </w:r>
      <w:r w:rsidR="00797BE0">
        <w:rPr>
          <w:rFonts w:ascii="Times New Roman" w:hAnsi="Times New Roman"/>
          <w:szCs w:val="24"/>
        </w:rPr>
        <w:t xml:space="preserve">is expected to </w:t>
      </w:r>
      <w:r>
        <w:rPr>
          <w:rFonts w:ascii="Times New Roman" w:hAnsi="Times New Roman"/>
          <w:szCs w:val="24"/>
        </w:rPr>
        <w:t>increased from $</w:t>
      </w:r>
      <w:r w:rsidR="00797BE0">
        <w:rPr>
          <w:rFonts w:ascii="Times New Roman" w:hAnsi="Times New Roman"/>
          <w:szCs w:val="24"/>
        </w:rPr>
        <w:t>9</w:t>
      </w:r>
      <w:r>
        <w:rPr>
          <w:rFonts w:ascii="Times New Roman" w:hAnsi="Times New Roman"/>
          <w:szCs w:val="24"/>
        </w:rPr>
        <w:t>,</w:t>
      </w:r>
      <w:r w:rsidR="00797BE0">
        <w:rPr>
          <w:rFonts w:ascii="Times New Roman" w:hAnsi="Times New Roman"/>
          <w:szCs w:val="24"/>
        </w:rPr>
        <w:t>109</w:t>
      </w:r>
      <w:r>
        <w:rPr>
          <w:rFonts w:ascii="Times New Roman" w:hAnsi="Times New Roman"/>
          <w:szCs w:val="24"/>
        </w:rPr>
        <w:t>,</w:t>
      </w:r>
      <w:r w:rsidR="00797BE0">
        <w:rPr>
          <w:rFonts w:ascii="Times New Roman" w:hAnsi="Times New Roman"/>
          <w:szCs w:val="24"/>
        </w:rPr>
        <w:t>097</w:t>
      </w:r>
      <w:r>
        <w:rPr>
          <w:rFonts w:ascii="Times New Roman" w:hAnsi="Times New Roman"/>
          <w:szCs w:val="24"/>
        </w:rPr>
        <w:t xml:space="preserve"> in </w:t>
      </w:r>
      <w:r w:rsidR="00296302">
        <w:rPr>
          <w:rFonts w:ascii="Times New Roman" w:hAnsi="Times New Roman"/>
          <w:szCs w:val="24"/>
        </w:rPr>
        <w:t>2007-08</w:t>
      </w:r>
      <w:r>
        <w:rPr>
          <w:rFonts w:ascii="Times New Roman" w:hAnsi="Times New Roman"/>
          <w:szCs w:val="24"/>
        </w:rPr>
        <w:t xml:space="preserve"> to $</w:t>
      </w:r>
      <w:r w:rsidR="00797BE0">
        <w:rPr>
          <w:rFonts w:ascii="Times New Roman" w:hAnsi="Times New Roman"/>
          <w:szCs w:val="24"/>
        </w:rPr>
        <w:t>9</w:t>
      </w:r>
      <w:r>
        <w:rPr>
          <w:rFonts w:ascii="Times New Roman" w:hAnsi="Times New Roman"/>
          <w:szCs w:val="24"/>
        </w:rPr>
        <w:t>,</w:t>
      </w:r>
      <w:r w:rsidR="00797BE0">
        <w:rPr>
          <w:rFonts w:ascii="Times New Roman" w:hAnsi="Times New Roman"/>
          <w:szCs w:val="24"/>
        </w:rPr>
        <w:t>512</w:t>
      </w:r>
      <w:r>
        <w:rPr>
          <w:rFonts w:ascii="Times New Roman" w:hAnsi="Times New Roman"/>
          <w:szCs w:val="24"/>
        </w:rPr>
        <w:t>,</w:t>
      </w:r>
      <w:r w:rsidR="00797BE0">
        <w:rPr>
          <w:rFonts w:ascii="Times New Roman" w:hAnsi="Times New Roman"/>
          <w:szCs w:val="24"/>
        </w:rPr>
        <w:t>555</w:t>
      </w:r>
      <w:r>
        <w:rPr>
          <w:rFonts w:ascii="Times New Roman" w:hAnsi="Times New Roman"/>
          <w:szCs w:val="24"/>
        </w:rPr>
        <w:t xml:space="preserve"> in </w:t>
      </w:r>
      <w:r w:rsidR="00296302">
        <w:rPr>
          <w:rFonts w:ascii="Times New Roman" w:hAnsi="Times New Roman"/>
          <w:szCs w:val="24"/>
        </w:rPr>
        <w:t>2008-09</w:t>
      </w:r>
      <w:r>
        <w:rPr>
          <w:rFonts w:ascii="Times New Roman" w:hAnsi="Times New Roman"/>
          <w:szCs w:val="24"/>
        </w:rPr>
        <w:t>, an increase of $</w:t>
      </w:r>
      <w:r w:rsidR="00797BE0">
        <w:rPr>
          <w:rFonts w:ascii="Times New Roman" w:hAnsi="Times New Roman"/>
          <w:szCs w:val="24"/>
        </w:rPr>
        <w:t>405</w:t>
      </w:r>
      <w:r>
        <w:rPr>
          <w:rFonts w:ascii="Times New Roman" w:hAnsi="Times New Roman"/>
          <w:szCs w:val="24"/>
        </w:rPr>
        <w:t>,</w:t>
      </w:r>
      <w:r w:rsidR="00797BE0">
        <w:rPr>
          <w:rFonts w:ascii="Times New Roman" w:hAnsi="Times New Roman"/>
          <w:szCs w:val="24"/>
        </w:rPr>
        <w:t>458</w:t>
      </w:r>
      <w:r>
        <w:rPr>
          <w:rFonts w:ascii="Times New Roman" w:hAnsi="Times New Roman"/>
          <w:szCs w:val="24"/>
        </w:rPr>
        <w:t xml:space="preserve">.  General fund receipts from the state SEEK program are now estimated to be </w:t>
      </w:r>
      <w:r w:rsidR="00797BE0">
        <w:rPr>
          <w:rFonts w:ascii="Times New Roman" w:hAnsi="Times New Roman"/>
          <w:szCs w:val="24"/>
        </w:rPr>
        <w:t xml:space="preserve">only </w:t>
      </w:r>
      <w:r>
        <w:rPr>
          <w:rFonts w:ascii="Times New Roman" w:hAnsi="Times New Roman"/>
          <w:szCs w:val="24"/>
        </w:rPr>
        <w:t>$</w:t>
      </w:r>
      <w:r w:rsidR="00797BE0">
        <w:rPr>
          <w:rFonts w:ascii="Times New Roman" w:hAnsi="Times New Roman"/>
          <w:szCs w:val="24"/>
        </w:rPr>
        <w:t>441</w:t>
      </w:r>
      <w:r w:rsidR="00F165C6">
        <w:rPr>
          <w:rFonts w:ascii="Times New Roman" w:hAnsi="Times New Roman"/>
          <w:szCs w:val="24"/>
        </w:rPr>
        <w:t>,</w:t>
      </w:r>
      <w:r w:rsidR="00797BE0">
        <w:rPr>
          <w:rFonts w:ascii="Times New Roman" w:hAnsi="Times New Roman"/>
          <w:szCs w:val="24"/>
        </w:rPr>
        <w:t>036</w:t>
      </w:r>
      <w:r>
        <w:rPr>
          <w:rFonts w:ascii="Times New Roman" w:hAnsi="Times New Roman"/>
          <w:szCs w:val="24"/>
        </w:rPr>
        <w:t xml:space="preserve"> more than was received in </w:t>
      </w:r>
      <w:r w:rsidR="00296302">
        <w:rPr>
          <w:rFonts w:ascii="Times New Roman" w:hAnsi="Times New Roman"/>
          <w:szCs w:val="24"/>
        </w:rPr>
        <w:t>2007-08</w:t>
      </w:r>
      <w:r>
        <w:rPr>
          <w:rFonts w:ascii="Times New Roman" w:hAnsi="Times New Roman"/>
          <w:szCs w:val="24"/>
        </w:rPr>
        <w:t>.   Equalization on the school facility (building fund) tax is expected to be $6</w:t>
      </w:r>
      <w:r w:rsidR="00797BE0">
        <w:rPr>
          <w:rFonts w:ascii="Times New Roman" w:hAnsi="Times New Roman"/>
          <w:szCs w:val="24"/>
        </w:rPr>
        <w:t>40</w:t>
      </w:r>
      <w:r>
        <w:rPr>
          <w:rFonts w:ascii="Times New Roman" w:hAnsi="Times New Roman"/>
          <w:szCs w:val="24"/>
        </w:rPr>
        <w:t>,</w:t>
      </w:r>
      <w:r w:rsidR="00797BE0">
        <w:rPr>
          <w:rFonts w:ascii="Times New Roman" w:hAnsi="Times New Roman"/>
          <w:szCs w:val="24"/>
        </w:rPr>
        <w:t>134</w:t>
      </w:r>
      <w:r>
        <w:rPr>
          <w:rFonts w:ascii="Times New Roman" w:hAnsi="Times New Roman"/>
          <w:szCs w:val="24"/>
        </w:rPr>
        <w:t xml:space="preserve">, </w:t>
      </w:r>
      <w:r w:rsidR="00797BE0">
        <w:rPr>
          <w:rFonts w:ascii="Times New Roman" w:hAnsi="Times New Roman"/>
          <w:szCs w:val="24"/>
        </w:rPr>
        <w:t xml:space="preserve">up </w:t>
      </w:r>
      <w:r>
        <w:rPr>
          <w:rFonts w:ascii="Times New Roman" w:hAnsi="Times New Roman"/>
          <w:szCs w:val="24"/>
        </w:rPr>
        <w:t>from $</w:t>
      </w:r>
      <w:r w:rsidR="00797BE0">
        <w:rPr>
          <w:rFonts w:ascii="Times New Roman" w:hAnsi="Times New Roman"/>
          <w:szCs w:val="24"/>
        </w:rPr>
        <w:t>532</w:t>
      </w:r>
      <w:r>
        <w:rPr>
          <w:rFonts w:ascii="Times New Roman" w:hAnsi="Times New Roman"/>
          <w:szCs w:val="24"/>
        </w:rPr>
        <w:t>,</w:t>
      </w:r>
      <w:r w:rsidR="00797BE0">
        <w:rPr>
          <w:rFonts w:ascii="Times New Roman" w:hAnsi="Times New Roman"/>
          <w:szCs w:val="24"/>
        </w:rPr>
        <w:t>120</w:t>
      </w:r>
      <w:r>
        <w:rPr>
          <w:rFonts w:ascii="Times New Roman" w:hAnsi="Times New Roman"/>
          <w:szCs w:val="24"/>
        </w:rPr>
        <w:t xml:space="preserve"> in </w:t>
      </w:r>
      <w:r w:rsidR="00296302">
        <w:rPr>
          <w:rFonts w:ascii="Times New Roman" w:hAnsi="Times New Roman"/>
          <w:szCs w:val="24"/>
        </w:rPr>
        <w:t>2007-08</w:t>
      </w:r>
      <w:r>
        <w:rPr>
          <w:rFonts w:ascii="Times New Roman" w:hAnsi="Times New Roman"/>
          <w:szCs w:val="24"/>
        </w:rPr>
        <w:t xml:space="preserve">.   The primary reason for the </w:t>
      </w:r>
      <w:r w:rsidR="00797BE0">
        <w:rPr>
          <w:rFonts w:ascii="Times New Roman" w:hAnsi="Times New Roman"/>
          <w:szCs w:val="24"/>
        </w:rPr>
        <w:t>inc</w:t>
      </w:r>
      <w:r w:rsidR="00B12DD1">
        <w:rPr>
          <w:rFonts w:ascii="Times New Roman" w:hAnsi="Times New Roman"/>
          <w:szCs w:val="24"/>
        </w:rPr>
        <w:t xml:space="preserve">rease </w:t>
      </w:r>
      <w:r>
        <w:rPr>
          <w:rFonts w:ascii="Times New Roman" w:hAnsi="Times New Roman"/>
          <w:szCs w:val="24"/>
        </w:rPr>
        <w:t>is the biennial adjustment of the level of equalization based on 150% of the statewide assessment per pupil</w:t>
      </w:r>
      <w:r w:rsidR="00B12DD1">
        <w:rPr>
          <w:rFonts w:ascii="Times New Roman" w:hAnsi="Times New Roman"/>
          <w:szCs w:val="24"/>
        </w:rPr>
        <w:t xml:space="preserve"> does not increase the 2</w:t>
      </w:r>
      <w:r w:rsidR="00B12DD1" w:rsidRPr="00B12DD1">
        <w:rPr>
          <w:rFonts w:ascii="Times New Roman" w:hAnsi="Times New Roman"/>
          <w:szCs w:val="24"/>
          <w:vertAlign w:val="superscript"/>
        </w:rPr>
        <w:t>nd</w:t>
      </w:r>
      <w:r w:rsidR="00B12DD1">
        <w:rPr>
          <w:rFonts w:ascii="Times New Roman" w:hAnsi="Times New Roman"/>
          <w:szCs w:val="24"/>
        </w:rPr>
        <w:t xml:space="preserve"> year of the biennium</w:t>
      </w:r>
      <w:r>
        <w:rPr>
          <w:rFonts w:ascii="Times New Roman" w:hAnsi="Times New Roman"/>
          <w:szCs w:val="24"/>
        </w:rPr>
        <w:t>.</w:t>
      </w:r>
    </w:p>
    <w:p w:rsidR="002007C4" w:rsidRDefault="002007C4">
      <w:pPr>
        <w:rPr>
          <w:rFonts w:ascii="Times New Roman" w:hAnsi="Times New Roman"/>
          <w:shadow w:val="0"/>
          <w:sz w:val="24"/>
        </w:rPr>
      </w:pPr>
    </w:p>
    <w:p w:rsidR="002007C4" w:rsidRDefault="002007C4">
      <w:pPr>
        <w:rPr>
          <w:rFonts w:ascii="Times New Roman" w:hAnsi="Times New Roman"/>
          <w:shadow w:val="0"/>
          <w:sz w:val="24"/>
        </w:rPr>
      </w:pPr>
      <w:r>
        <w:rPr>
          <w:rFonts w:ascii="Times New Roman" w:hAnsi="Times New Roman"/>
          <w:shadow w:val="0"/>
          <w:sz w:val="24"/>
        </w:rPr>
        <w:t>The working budget will be presented at a September meeting with changes in revenue based on the tax levy approved by the board and adjustments in expense based on salary schedule improvements and staff changes since approval of the Tentative Budget in May.  Other revenue or expense adjustments may be recommended based on actual prior year expense or other information that was not available in May.</w:t>
      </w:r>
    </w:p>
    <w:p w:rsidR="002007C4" w:rsidRDefault="002007C4">
      <w:pPr>
        <w:pStyle w:val="BodyText3"/>
        <w:rPr>
          <w:szCs w:val="24"/>
        </w:rPr>
      </w:pPr>
    </w:p>
    <w:p w:rsidR="002007C4" w:rsidRDefault="002007C4">
      <w:pPr>
        <w:pStyle w:val="BodyText3"/>
        <w:rPr>
          <w:szCs w:val="24"/>
        </w:rPr>
      </w:pPr>
      <w:r>
        <w:rPr>
          <w:szCs w:val="24"/>
        </w:rPr>
        <w:t xml:space="preserve">Aircraft </w:t>
      </w:r>
      <w:r w:rsidR="00797BE0">
        <w:rPr>
          <w:szCs w:val="24"/>
        </w:rPr>
        <w:t xml:space="preserve">should be taxed </w:t>
      </w:r>
      <w:r>
        <w:rPr>
          <w:szCs w:val="24"/>
        </w:rPr>
        <w:t>and watercraft should be exempt from taxation because of the equalizing features of SEEK</w:t>
      </w:r>
      <w:r w:rsidR="00797BE0">
        <w:rPr>
          <w:szCs w:val="24"/>
        </w:rPr>
        <w:t xml:space="preserve"> in </w:t>
      </w:r>
      <w:smartTag w:uri="urn:schemas-microsoft-com:office:smarttags" w:element="place">
        <w:smartTag w:uri="urn:schemas-microsoft-com:office:smarttags" w:element="PlaceName">
          <w:r w:rsidR="00797BE0">
            <w:rPr>
              <w:szCs w:val="24"/>
            </w:rPr>
            <w:t>Franklin</w:t>
          </w:r>
        </w:smartTag>
        <w:r w:rsidR="00797BE0">
          <w:rPr>
            <w:szCs w:val="24"/>
          </w:rPr>
          <w:t xml:space="preserve"> </w:t>
        </w:r>
        <w:smartTag w:uri="urn:schemas-microsoft-com:office:smarttags" w:element="PlaceName">
          <w:r w:rsidR="00797BE0">
            <w:rPr>
              <w:szCs w:val="24"/>
            </w:rPr>
            <w:t>County</w:t>
          </w:r>
        </w:smartTag>
      </w:smartTag>
      <w:r>
        <w:rPr>
          <w:szCs w:val="24"/>
        </w:rPr>
        <w:t xml:space="preserve">.  </w:t>
      </w:r>
      <w:r w:rsidR="00797BE0">
        <w:rPr>
          <w:szCs w:val="24"/>
        </w:rPr>
        <w:t xml:space="preserve">The </w:t>
      </w:r>
      <w:r>
        <w:rPr>
          <w:szCs w:val="24"/>
        </w:rPr>
        <w:t>higher overall assessment that would result from taxing watercraft</w:t>
      </w:r>
      <w:r w:rsidR="00797BE0">
        <w:rPr>
          <w:szCs w:val="24"/>
        </w:rPr>
        <w:t xml:space="preserve"> would cause </w:t>
      </w:r>
      <w:r>
        <w:rPr>
          <w:szCs w:val="24"/>
        </w:rPr>
        <w:t xml:space="preserve">revenue received from equalization on the facility tax </w:t>
      </w:r>
      <w:r w:rsidR="00797BE0">
        <w:rPr>
          <w:szCs w:val="24"/>
        </w:rPr>
        <w:t xml:space="preserve">to </w:t>
      </w:r>
      <w:r>
        <w:rPr>
          <w:szCs w:val="24"/>
        </w:rPr>
        <w:t xml:space="preserve">be lower.  In order to maximize state equalization revenue, </w:t>
      </w:r>
      <w:r w:rsidR="00797BE0">
        <w:rPr>
          <w:szCs w:val="24"/>
        </w:rPr>
        <w:t xml:space="preserve">watercraft </w:t>
      </w:r>
      <w:r>
        <w:rPr>
          <w:szCs w:val="24"/>
        </w:rPr>
        <w:t>property should continue to be exempt from taxation.</w:t>
      </w:r>
    </w:p>
    <w:p w:rsidR="002007C4" w:rsidRDefault="002007C4">
      <w:pPr>
        <w:pStyle w:val="BodyText3"/>
        <w:rPr>
          <w:szCs w:val="24"/>
        </w:rPr>
      </w:pPr>
    </w:p>
    <w:p w:rsidR="002007C4" w:rsidRDefault="00797BE0">
      <w:pPr>
        <w:rPr>
          <w:rFonts w:ascii="Times New Roman" w:hAnsi="Times New Roman"/>
          <w:shadow w:val="0"/>
          <w:sz w:val="24"/>
        </w:rPr>
      </w:pPr>
      <w:r>
        <w:rPr>
          <w:rFonts w:ascii="Times New Roman" w:hAnsi="Times New Roman"/>
          <w:shadow w:val="0"/>
          <w:sz w:val="24"/>
          <w:u w:val="single"/>
        </w:rPr>
        <w:br w:type="page"/>
      </w:r>
      <w:r w:rsidR="002007C4">
        <w:rPr>
          <w:rFonts w:ascii="Times New Roman" w:hAnsi="Times New Roman"/>
          <w:shadow w:val="0"/>
          <w:sz w:val="24"/>
          <w:u w:val="single"/>
        </w:rPr>
        <w:lastRenderedPageBreak/>
        <w:t>RECOMMENDATION</w:t>
      </w:r>
      <w:r w:rsidR="002007C4">
        <w:rPr>
          <w:rFonts w:ascii="Times New Roman" w:hAnsi="Times New Roman"/>
          <w:shadow w:val="0"/>
          <w:sz w:val="24"/>
        </w:rPr>
        <w:t>:</w:t>
      </w:r>
    </w:p>
    <w:p w:rsidR="002007C4" w:rsidRDefault="002007C4">
      <w:pPr>
        <w:rPr>
          <w:rFonts w:ascii="Times New Roman" w:hAnsi="Times New Roman"/>
          <w:shadow w:val="0"/>
          <w:sz w:val="24"/>
        </w:rPr>
      </w:pPr>
    </w:p>
    <w:p w:rsidR="002007C4" w:rsidRDefault="002007C4">
      <w:pPr>
        <w:pStyle w:val="BodyText"/>
      </w:pPr>
      <w:r>
        <w:t xml:space="preserve">The Board should approve a tax levy per $100 of assessed value for </w:t>
      </w:r>
      <w:r w:rsidR="00296302">
        <w:t>2008-09</w:t>
      </w:r>
      <w:r>
        <w:t xml:space="preserve"> as follows:</w:t>
      </w:r>
    </w:p>
    <w:p w:rsidR="002007C4" w:rsidRDefault="002007C4">
      <w:pPr>
        <w:pStyle w:val="BodyText"/>
      </w:pPr>
    </w:p>
    <w:p w:rsidR="002007C4" w:rsidRDefault="002007C4">
      <w:pPr>
        <w:rPr>
          <w:rFonts w:ascii="Times New Roman" w:hAnsi="Times New Roman"/>
          <w:shadow w:val="0"/>
          <w:sz w:val="24"/>
        </w:rPr>
      </w:pPr>
      <w:r>
        <w:rPr>
          <w:rFonts w:ascii="Times New Roman" w:hAnsi="Times New Roman"/>
          <w:shadow w:val="0"/>
          <w:sz w:val="24"/>
        </w:rPr>
        <w:tab/>
      </w:r>
      <w:r>
        <w:rPr>
          <w:rFonts w:ascii="Times New Roman" w:hAnsi="Times New Roman"/>
          <w:shadow w:val="0"/>
          <w:sz w:val="24"/>
        </w:rPr>
        <w:tab/>
      </w:r>
      <w:r>
        <w:rPr>
          <w:rFonts w:ascii="Times New Roman" w:hAnsi="Times New Roman"/>
          <w:shadow w:val="0"/>
          <w:sz w:val="24"/>
        </w:rPr>
        <w:tab/>
      </w:r>
      <w:r>
        <w:rPr>
          <w:rFonts w:ascii="Times New Roman" w:hAnsi="Times New Roman"/>
          <w:shadow w:val="0"/>
          <w:sz w:val="24"/>
        </w:rPr>
        <w:tab/>
      </w:r>
      <w:r>
        <w:rPr>
          <w:rFonts w:ascii="Times New Roman" w:hAnsi="Times New Roman"/>
          <w:shadow w:val="0"/>
          <w:sz w:val="24"/>
        </w:rPr>
        <w:tab/>
      </w:r>
      <w:r>
        <w:rPr>
          <w:rFonts w:ascii="Times New Roman" w:hAnsi="Times New Roman"/>
          <w:shadow w:val="0"/>
          <w:sz w:val="24"/>
        </w:rPr>
        <w:tab/>
      </w:r>
      <w:r>
        <w:rPr>
          <w:rFonts w:ascii="Times New Roman" w:hAnsi="Times New Roman"/>
          <w:shadow w:val="0"/>
          <w:sz w:val="24"/>
        </w:rPr>
        <w:tab/>
      </w:r>
      <w:r>
        <w:rPr>
          <w:rFonts w:ascii="Times New Roman" w:hAnsi="Times New Roman"/>
          <w:shadow w:val="0"/>
          <w:sz w:val="24"/>
          <w:u w:val="single"/>
        </w:rPr>
        <w:t>Real Estate</w:t>
      </w:r>
      <w:r>
        <w:rPr>
          <w:rFonts w:ascii="Times New Roman" w:hAnsi="Times New Roman"/>
          <w:shadow w:val="0"/>
          <w:sz w:val="24"/>
          <w:u w:val="single"/>
        </w:rPr>
        <w:tab/>
      </w:r>
      <w:r>
        <w:rPr>
          <w:rFonts w:ascii="Times New Roman" w:hAnsi="Times New Roman"/>
          <w:shadow w:val="0"/>
          <w:sz w:val="24"/>
          <w:u w:val="single"/>
        </w:rPr>
        <w:tab/>
        <w:t>Tangibles</w:t>
      </w:r>
    </w:p>
    <w:p w:rsidR="002007C4" w:rsidRDefault="002007C4">
      <w:pPr>
        <w:rPr>
          <w:rFonts w:ascii="Times New Roman" w:hAnsi="Times New Roman"/>
          <w:shadow w:val="0"/>
          <w:sz w:val="24"/>
        </w:rPr>
      </w:pPr>
    </w:p>
    <w:p w:rsidR="002007C4" w:rsidRDefault="002007C4">
      <w:pPr>
        <w:rPr>
          <w:rFonts w:ascii="Times New Roman" w:hAnsi="Times New Roman"/>
          <w:shadow w:val="0"/>
          <w:sz w:val="24"/>
        </w:rPr>
      </w:pPr>
      <w:r>
        <w:rPr>
          <w:rFonts w:ascii="Times New Roman" w:hAnsi="Times New Roman"/>
          <w:shadow w:val="0"/>
          <w:sz w:val="24"/>
        </w:rPr>
        <w:t>General Purposes (</w:t>
      </w:r>
      <w:r>
        <w:rPr>
          <w:rFonts w:ascii="Times New Roman" w:hAnsi="Times New Roman"/>
          <w:i/>
          <w:shadow w:val="0"/>
        </w:rPr>
        <w:t>including exoneration allowance)</w:t>
      </w:r>
      <w:r>
        <w:rPr>
          <w:rFonts w:ascii="Times New Roman" w:hAnsi="Times New Roman"/>
          <w:shadow w:val="0"/>
          <w:sz w:val="24"/>
        </w:rPr>
        <w:tab/>
        <w:t>$0.</w:t>
      </w:r>
      <w:r w:rsidR="00DA420C">
        <w:rPr>
          <w:rFonts w:ascii="Times New Roman" w:hAnsi="Times New Roman"/>
          <w:shadow w:val="0"/>
          <w:sz w:val="24"/>
        </w:rPr>
        <w:t>571</w:t>
      </w:r>
      <w:r>
        <w:rPr>
          <w:rFonts w:ascii="Times New Roman" w:hAnsi="Times New Roman"/>
          <w:shadow w:val="0"/>
          <w:sz w:val="24"/>
        </w:rPr>
        <w:t xml:space="preserve"> (cents)</w:t>
      </w:r>
      <w:r>
        <w:rPr>
          <w:rFonts w:ascii="Times New Roman" w:hAnsi="Times New Roman"/>
          <w:shadow w:val="0"/>
          <w:sz w:val="24"/>
        </w:rPr>
        <w:tab/>
      </w:r>
      <w:r>
        <w:rPr>
          <w:rFonts w:ascii="Times New Roman" w:hAnsi="Times New Roman"/>
          <w:shadow w:val="0"/>
          <w:sz w:val="24"/>
        </w:rPr>
        <w:tab/>
        <w:t>$0.</w:t>
      </w:r>
      <w:r w:rsidR="00DA420C">
        <w:rPr>
          <w:rFonts w:ascii="Times New Roman" w:hAnsi="Times New Roman"/>
          <w:shadow w:val="0"/>
          <w:sz w:val="24"/>
        </w:rPr>
        <w:t>571</w:t>
      </w:r>
      <w:r>
        <w:rPr>
          <w:rFonts w:ascii="Times New Roman" w:hAnsi="Times New Roman"/>
          <w:shadow w:val="0"/>
          <w:sz w:val="24"/>
        </w:rPr>
        <w:t xml:space="preserve"> (cents)</w:t>
      </w:r>
    </w:p>
    <w:p w:rsidR="00E11152" w:rsidRDefault="00E11152">
      <w:pPr>
        <w:rPr>
          <w:rFonts w:ascii="Times New Roman" w:hAnsi="Times New Roman"/>
          <w:shadow w:val="0"/>
          <w:sz w:val="24"/>
          <w:u w:val="single"/>
        </w:rPr>
      </w:pPr>
    </w:p>
    <w:p w:rsidR="00E11152" w:rsidRPr="00E11152" w:rsidRDefault="00E11152">
      <w:pPr>
        <w:rPr>
          <w:rFonts w:ascii="Times New Roman" w:hAnsi="Times New Roman"/>
          <w:shadow w:val="0"/>
          <w:sz w:val="24"/>
        </w:rPr>
      </w:pPr>
      <w:r w:rsidRPr="00E11152">
        <w:rPr>
          <w:rFonts w:ascii="Times New Roman" w:hAnsi="Times New Roman"/>
          <w:shadow w:val="0"/>
          <w:sz w:val="24"/>
        </w:rPr>
        <w:t xml:space="preserve">The above rates include $0.057 (cents) for the FSPK levy and $0.057 (cents) for the recallable levy.  </w:t>
      </w:r>
      <w:r>
        <w:rPr>
          <w:rFonts w:ascii="Times New Roman" w:hAnsi="Times New Roman"/>
          <w:shadow w:val="0"/>
          <w:sz w:val="24"/>
        </w:rPr>
        <w:t xml:space="preserve"> The amount of the proposed rate not subject to recall is $0.530  (</w:t>
      </w:r>
      <w:r>
        <w:rPr>
          <w:rFonts w:ascii="Times New Roman" w:hAnsi="Times New Roman"/>
          <w:i/>
          <w:shadow w:val="0"/>
        </w:rPr>
        <w:t xml:space="preserve">including exoneration allowance).  </w:t>
      </w:r>
      <w:r>
        <w:rPr>
          <w:rFonts w:ascii="Times New Roman" w:hAnsi="Times New Roman"/>
          <w:shadow w:val="0"/>
          <w:sz w:val="24"/>
        </w:rPr>
        <w:t xml:space="preserve"> The amount of the proposed levy subject to recall is </w:t>
      </w:r>
      <w:r w:rsidRPr="00E11152">
        <w:rPr>
          <w:rFonts w:ascii="Times New Roman" w:hAnsi="Times New Roman"/>
          <w:shadow w:val="0"/>
          <w:sz w:val="24"/>
        </w:rPr>
        <w:t xml:space="preserve">$0.049 (cents) and the Board must publish an advertisement within 1-7 days of </w:t>
      </w:r>
      <w:r w:rsidR="00D774CF">
        <w:rPr>
          <w:rFonts w:ascii="Times New Roman" w:hAnsi="Times New Roman"/>
          <w:shadow w:val="0"/>
          <w:sz w:val="24"/>
        </w:rPr>
        <w:t xml:space="preserve">enactment of a </w:t>
      </w:r>
      <w:r w:rsidRPr="00E11152">
        <w:rPr>
          <w:rFonts w:ascii="Times New Roman" w:hAnsi="Times New Roman"/>
          <w:shadow w:val="0"/>
          <w:sz w:val="24"/>
        </w:rPr>
        <w:t>levy</w:t>
      </w:r>
      <w:r w:rsidR="00D774CF">
        <w:rPr>
          <w:rFonts w:ascii="Times New Roman" w:hAnsi="Times New Roman"/>
          <w:shadow w:val="0"/>
          <w:sz w:val="24"/>
        </w:rPr>
        <w:t xml:space="preserve"> subject to recall.</w:t>
      </w:r>
      <w:r w:rsidRPr="00E11152">
        <w:rPr>
          <w:rFonts w:ascii="Times New Roman" w:hAnsi="Times New Roman"/>
          <w:shadow w:val="0"/>
          <w:sz w:val="24"/>
        </w:rPr>
        <w:t xml:space="preserve"> </w:t>
      </w:r>
    </w:p>
    <w:p w:rsidR="002007C4" w:rsidRDefault="002007C4">
      <w:pPr>
        <w:rPr>
          <w:rFonts w:ascii="Times New Roman" w:hAnsi="Times New Roman"/>
          <w:shadow w:val="0"/>
          <w:sz w:val="24"/>
        </w:rPr>
      </w:pPr>
    </w:p>
    <w:p w:rsidR="00E11152" w:rsidRDefault="00E11152">
      <w:pPr>
        <w:rPr>
          <w:rFonts w:ascii="Times New Roman" w:hAnsi="Times New Roman"/>
          <w:shadow w:val="0"/>
          <w:sz w:val="24"/>
        </w:rPr>
      </w:pPr>
      <w:r>
        <w:rPr>
          <w:rFonts w:ascii="Times New Roman" w:hAnsi="Times New Roman"/>
          <w:shadow w:val="0"/>
          <w:sz w:val="24"/>
        </w:rPr>
        <w:t>Included in the recommended levy are:</w:t>
      </w:r>
    </w:p>
    <w:p w:rsidR="00E11152" w:rsidRDefault="00E11152">
      <w:pPr>
        <w:rPr>
          <w:rFonts w:ascii="Times New Roman" w:hAnsi="Times New Roman"/>
          <w:shadow w:val="0"/>
          <w:sz w:val="24"/>
        </w:rPr>
      </w:pPr>
    </w:p>
    <w:p w:rsidR="002007C4" w:rsidRDefault="002007C4">
      <w:pPr>
        <w:rPr>
          <w:rFonts w:ascii="Times New Roman" w:hAnsi="Times New Roman"/>
          <w:shadow w:val="0"/>
          <w:sz w:val="24"/>
        </w:rPr>
      </w:pPr>
      <w:r>
        <w:rPr>
          <w:rFonts w:ascii="Times New Roman" w:hAnsi="Times New Roman"/>
          <w:shadow w:val="0"/>
          <w:sz w:val="24"/>
        </w:rPr>
        <w:t>Motor Vehicle Tax of $0.</w:t>
      </w:r>
      <w:r w:rsidR="00797BE0">
        <w:rPr>
          <w:rFonts w:ascii="Times New Roman" w:hAnsi="Times New Roman"/>
          <w:shadow w:val="0"/>
          <w:sz w:val="24"/>
        </w:rPr>
        <w:t>5</w:t>
      </w:r>
      <w:r>
        <w:rPr>
          <w:rFonts w:ascii="Times New Roman" w:hAnsi="Times New Roman"/>
          <w:shadow w:val="0"/>
          <w:sz w:val="24"/>
        </w:rPr>
        <w:t>1 (cents)</w:t>
      </w:r>
      <w:r>
        <w:rPr>
          <w:rFonts w:ascii="Times New Roman" w:hAnsi="Times New Roman"/>
          <w:shadow w:val="0"/>
          <w:sz w:val="24"/>
        </w:rPr>
        <w:tab/>
      </w:r>
    </w:p>
    <w:p w:rsidR="002007C4" w:rsidRDefault="002007C4">
      <w:pPr>
        <w:rPr>
          <w:rFonts w:ascii="Times New Roman" w:hAnsi="Times New Roman"/>
          <w:shadow w:val="0"/>
          <w:sz w:val="24"/>
        </w:rPr>
      </w:pPr>
      <w:r>
        <w:rPr>
          <w:rFonts w:ascii="Times New Roman" w:hAnsi="Times New Roman"/>
          <w:shadow w:val="0"/>
          <w:sz w:val="24"/>
        </w:rPr>
        <w:t>Three Percent (3%) Utility Tax</w:t>
      </w:r>
    </w:p>
    <w:p w:rsidR="002007C4" w:rsidRDefault="00E11152">
      <w:pPr>
        <w:rPr>
          <w:rFonts w:ascii="Times New Roman" w:hAnsi="Times New Roman"/>
          <w:shadow w:val="0"/>
          <w:sz w:val="24"/>
        </w:rPr>
      </w:pPr>
      <w:r>
        <w:rPr>
          <w:rFonts w:ascii="Times New Roman" w:hAnsi="Times New Roman"/>
          <w:shadow w:val="0"/>
          <w:sz w:val="24"/>
        </w:rPr>
        <w:t>Aircraft Property</w:t>
      </w:r>
    </w:p>
    <w:p w:rsidR="00E11152" w:rsidRDefault="00E11152">
      <w:pPr>
        <w:rPr>
          <w:rFonts w:ascii="Times New Roman" w:hAnsi="Times New Roman"/>
          <w:shadow w:val="0"/>
          <w:sz w:val="24"/>
        </w:rPr>
      </w:pPr>
    </w:p>
    <w:p w:rsidR="002007C4" w:rsidRDefault="002007C4">
      <w:pPr>
        <w:rPr>
          <w:rFonts w:ascii="Times New Roman" w:hAnsi="Times New Roman"/>
          <w:shadow w:val="0"/>
          <w:sz w:val="24"/>
        </w:rPr>
      </w:pPr>
      <w:r>
        <w:rPr>
          <w:rFonts w:ascii="Times New Roman" w:hAnsi="Times New Roman"/>
          <w:shadow w:val="0"/>
          <w:sz w:val="24"/>
        </w:rPr>
        <w:t>The Board should continue to exempt watercraft.</w:t>
      </w:r>
      <w:r>
        <w:rPr>
          <w:rFonts w:ascii="Times New Roman" w:hAnsi="Times New Roman"/>
          <w:shadow w:val="0"/>
          <w:sz w:val="24"/>
        </w:rPr>
        <w:br w:type="page"/>
      </w:r>
    </w:p>
    <w:p w:rsidR="002007C4" w:rsidRDefault="002007C4">
      <w:pPr>
        <w:jc w:val="center"/>
        <w:rPr>
          <w:rFonts w:ascii="Times New Roman" w:hAnsi="Times New Roman"/>
          <w:shadow w:val="0"/>
          <w:sz w:val="24"/>
        </w:rPr>
      </w:pPr>
      <w:r>
        <w:rPr>
          <w:rFonts w:ascii="Times New Roman" w:hAnsi="Times New Roman"/>
          <w:shadow w:val="0"/>
          <w:sz w:val="24"/>
        </w:rPr>
        <w:t>NOTICE OF HEARING</w:t>
      </w:r>
    </w:p>
    <w:p w:rsidR="002007C4" w:rsidRDefault="002007C4">
      <w:pPr>
        <w:rPr>
          <w:rFonts w:ascii="Times New Roman" w:hAnsi="Times New Roman"/>
          <w:shadow w:val="0"/>
          <w:sz w:val="24"/>
        </w:rPr>
      </w:pPr>
      <w:r>
        <w:rPr>
          <w:rFonts w:ascii="Times New Roman" w:hAnsi="Times New Roman"/>
          <w:shadow w:val="0"/>
          <w:sz w:val="24"/>
        </w:rPr>
        <w:tab/>
      </w:r>
    </w:p>
    <w:p w:rsidR="002007C4" w:rsidRDefault="00296302">
      <w:pPr>
        <w:jc w:val="center"/>
        <w:rPr>
          <w:rFonts w:ascii="Times New Roman" w:hAnsi="Times New Roman"/>
          <w:shadow w:val="0"/>
          <w:sz w:val="24"/>
        </w:rPr>
      </w:pPr>
      <w:smartTag w:uri="urn:schemas-microsoft-com:office:smarttags" w:element="City">
        <w:r>
          <w:rPr>
            <w:rFonts w:ascii="Times New Roman" w:hAnsi="Times New Roman"/>
            <w:shadow w:val="0"/>
            <w:sz w:val="24"/>
          </w:rPr>
          <w:t>FRANKLIN</w:t>
        </w:r>
      </w:smartTag>
      <w:r w:rsidR="002007C4">
        <w:rPr>
          <w:rFonts w:ascii="Times New Roman" w:hAnsi="Times New Roman"/>
          <w:shadow w:val="0"/>
          <w:sz w:val="24"/>
        </w:rPr>
        <w:t xml:space="preserve"> </w:t>
      </w:r>
      <w:smartTag w:uri="urn:schemas-microsoft-com:office:smarttags" w:element="place">
        <w:smartTag w:uri="urn:schemas-microsoft-com:office:smarttags" w:element="PlaceType">
          <w:r w:rsidR="002007C4">
            <w:rPr>
              <w:rFonts w:ascii="Times New Roman" w:hAnsi="Times New Roman"/>
              <w:shadow w:val="0"/>
              <w:sz w:val="24"/>
            </w:rPr>
            <w:t>COUNTY</w:t>
          </w:r>
        </w:smartTag>
        <w:r w:rsidR="002007C4">
          <w:rPr>
            <w:rFonts w:ascii="Times New Roman" w:hAnsi="Times New Roman"/>
            <w:shadow w:val="0"/>
            <w:sz w:val="24"/>
          </w:rPr>
          <w:t xml:space="preserve"> </w:t>
        </w:r>
        <w:smartTag w:uri="urn:schemas-microsoft-com:office:smarttags" w:element="PlaceName">
          <w:r w:rsidR="002007C4">
            <w:rPr>
              <w:rFonts w:ascii="Times New Roman" w:hAnsi="Times New Roman"/>
              <w:shadow w:val="0"/>
              <w:sz w:val="24"/>
            </w:rPr>
            <w:t>BOARD OF EDUCATION</w:t>
          </w:r>
        </w:smartTag>
      </w:smartTag>
    </w:p>
    <w:p w:rsidR="002007C4" w:rsidRDefault="002007C4">
      <w:pPr>
        <w:rPr>
          <w:rFonts w:ascii="Times New Roman" w:hAnsi="Times New Roman"/>
          <w:shadow w:val="0"/>
          <w:sz w:val="24"/>
        </w:rPr>
      </w:pPr>
    </w:p>
    <w:p w:rsidR="002007C4" w:rsidRDefault="002007C4">
      <w:pPr>
        <w:rPr>
          <w:rFonts w:ascii="Times New Roman" w:hAnsi="Times New Roman"/>
          <w:shadow w:val="0"/>
          <w:sz w:val="24"/>
        </w:rPr>
      </w:pPr>
      <w:r>
        <w:rPr>
          <w:rFonts w:ascii="Times New Roman" w:hAnsi="Times New Roman"/>
          <w:shadow w:val="0"/>
          <w:sz w:val="24"/>
        </w:rPr>
        <w:t xml:space="preserve">The </w:t>
      </w:r>
      <w:r w:rsidR="00296302">
        <w:rPr>
          <w:rFonts w:ascii="Times New Roman" w:hAnsi="Times New Roman"/>
          <w:shadow w:val="0"/>
          <w:sz w:val="24"/>
        </w:rPr>
        <w:t>Franklin</w:t>
      </w:r>
      <w:r>
        <w:rPr>
          <w:rFonts w:ascii="Times New Roman" w:hAnsi="Times New Roman"/>
          <w:shadow w:val="0"/>
          <w:sz w:val="24"/>
        </w:rPr>
        <w:t xml:space="preserve"> County Board of Education will hold a public hearing in the Board Room of the Administration Building at </w:t>
      </w:r>
      <w:r w:rsidR="00561140">
        <w:rPr>
          <w:rFonts w:ascii="Times New Roman" w:hAnsi="Times New Roman"/>
          <w:shadow w:val="0"/>
          <w:sz w:val="24"/>
        </w:rPr>
        <w:t xml:space="preserve">916 East </w:t>
      </w:r>
      <w:r>
        <w:rPr>
          <w:rFonts w:ascii="Times New Roman" w:hAnsi="Times New Roman"/>
          <w:shadow w:val="0"/>
          <w:sz w:val="24"/>
        </w:rPr>
        <w:t xml:space="preserve">Main Street in </w:t>
      </w:r>
      <w:r w:rsidR="00296302">
        <w:rPr>
          <w:rFonts w:ascii="Times New Roman" w:hAnsi="Times New Roman"/>
          <w:shadow w:val="0"/>
          <w:sz w:val="24"/>
        </w:rPr>
        <w:t>Frank</w:t>
      </w:r>
      <w:r w:rsidR="00561140">
        <w:rPr>
          <w:rFonts w:ascii="Times New Roman" w:hAnsi="Times New Roman"/>
          <w:shadow w:val="0"/>
          <w:sz w:val="24"/>
        </w:rPr>
        <w:t>fort</w:t>
      </w:r>
      <w:r>
        <w:rPr>
          <w:rFonts w:ascii="Times New Roman" w:hAnsi="Times New Roman"/>
          <w:shadow w:val="0"/>
          <w:sz w:val="24"/>
        </w:rPr>
        <w:t xml:space="preserve">, Kentucky on </w:t>
      </w:r>
      <w:r w:rsidR="00EC46D2">
        <w:rPr>
          <w:rFonts w:ascii="Times New Roman" w:hAnsi="Times New Roman"/>
          <w:shadow w:val="0"/>
          <w:sz w:val="24"/>
        </w:rPr>
        <w:t>August 2</w:t>
      </w:r>
      <w:r w:rsidR="00561140">
        <w:rPr>
          <w:rFonts w:ascii="Times New Roman" w:hAnsi="Times New Roman"/>
          <w:shadow w:val="0"/>
          <w:sz w:val="24"/>
        </w:rPr>
        <w:t>5</w:t>
      </w:r>
      <w:r w:rsidR="00EC46D2">
        <w:rPr>
          <w:rFonts w:ascii="Times New Roman" w:hAnsi="Times New Roman"/>
          <w:shadow w:val="0"/>
          <w:sz w:val="24"/>
        </w:rPr>
        <w:t>, 200</w:t>
      </w:r>
      <w:r w:rsidR="00561140">
        <w:rPr>
          <w:rFonts w:ascii="Times New Roman" w:hAnsi="Times New Roman"/>
          <w:shadow w:val="0"/>
          <w:sz w:val="24"/>
        </w:rPr>
        <w:t>8</w:t>
      </w:r>
      <w:r>
        <w:rPr>
          <w:rFonts w:ascii="Times New Roman" w:hAnsi="Times New Roman"/>
          <w:shadow w:val="0"/>
          <w:sz w:val="24"/>
        </w:rPr>
        <w:t xml:space="preserve"> at </w:t>
      </w:r>
      <w:r w:rsidR="00984A49">
        <w:rPr>
          <w:rFonts w:ascii="Times New Roman" w:hAnsi="Times New Roman"/>
          <w:shadow w:val="0"/>
          <w:sz w:val="24"/>
        </w:rPr>
        <w:t>6</w:t>
      </w:r>
      <w:r>
        <w:rPr>
          <w:rFonts w:ascii="Times New Roman" w:hAnsi="Times New Roman"/>
          <w:shadow w:val="0"/>
          <w:sz w:val="24"/>
        </w:rPr>
        <w:t>:</w:t>
      </w:r>
      <w:r w:rsidR="00561140">
        <w:rPr>
          <w:rFonts w:ascii="Times New Roman" w:hAnsi="Times New Roman"/>
          <w:shadow w:val="0"/>
          <w:sz w:val="24"/>
        </w:rPr>
        <w:t>0</w:t>
      </w:r>
      <w:r>
        <w:rPr>
          <w:rFonts w:ascii="Times New Roman" w:hAnsi="Times New Roman"/>
          <w:shadow w:val="0"/>
          <w:sz w:val="24"/>
        </w:rPr>
        <w:t xml:space="preserve">0 p.m. to hear public comment regarding a proposed general fund tax levy of </w:t>
      </w:r>
      <w:r w:rsidR="00561140">
        <w:rPr>
          <w:rFonts w:ascii="Times New Roman" w:hAnsi="Times New Roman"/>
          <w:shadow w:val="0"/>
          <w:sz w:val="24"/>
        </w:rPr>
        <w:t>57</w:t>
      </w:r>
      <w:r>
        <w:rPr>
          <w:rFonts w:ascii="Times New Roman" w:hAnsi="Times New Roman"/>
          <w:shadow w:val="0"/>
          <w:sz w:val="24"/>
        </w:rPr>
        <w:t>.</w:t>
      </w:r>
      <w:r w:rsidR="00561140">
        <w:rPr>
          <w:rFonts w:ascii="Times New Roman" w:hAnsi="Times New Roman"/>
          <w:shadow w:val="0"/>
          <w:sz w:val="24"/>
        </w:rPr>
        <w:t>6</w:t>
      </w:r>
      <w:r>
        <w:rPr>
          <w:rFonts w:ascii="Times New Roman" w:hAnsi="Times New Roman"/>
          <w:shadow w:val="0"/>
          <w:sz w:val="24"/>
        </w:rPr>
        <w:t xml:space="preserve"> cents on real property and </w:t>
      </w:r>
      <w:r w:rsidR="00561140">
        <w:rPr>
          <w:rFonts w:ascii="Times New Roman" w:hAnsi="Times New Roman"/>
          <w:shadow w:val="0"/>
          <w:sz w:val="24"/>
        </w:rPr>
        <w:t>57.6</w:t>
      </w:r>
      <w:r>
        <w:rPr>
          <w:rFonts w:ascii="Times New Roman" w:hAnsi="Times New Roman"/>
          <w:shadow w:val="0"/>
          <w:sz w:val="24"/>
        </w:rPr>
        <w:t xml:space="preserve"> cents on personal property plus 0.</w:t>
      </w:r>
      <w:r w:rsidR="00561140">
        <w:rPr>
          <w:rFonts w:ascii="Times New Roman" w:hAnsi="Times New Roman"/>
          <w:shadow w:val="0"/>
          <w:sz w:val="24"/>
        </w:rPr>
        <w:t>1</w:t>
      </w:r>
      <w:r>
        <w:rPr>
          <w:rFonts w:ascii="Times New Roman" w:hAnsi="Times New Roman"/>
          <w:shadow w:val="0"/>
          <w:sz w:val="24"/>
        </w:rPr>
        <w:t xml:space="preserve"> cents for recovery of exonerations.</w:t>
      </w:r>
    </w:p>
    <w:p w:rsidR="002007C4" w:rsidRDefault="002007C4">
      <w:pPr>
        <w:rPr>
          <w:rFonts w:ascii="Times New Roman" w:hAnsi="Times New Roman"/>
          <w:shadow w:val="0"/>
          <w:sz w:val="24"/>
        </w:rPr>
      </w:pPr>
    </w:p>
    <w:p w:rsidR="002007C4" w:rsidRDefault="002007C4">
      <w:pPr>
        <w:rPr>
          <w:rFonts w:ascii="Times New Roman" w:hAnsi="Times New Roman"/>
          <w:shadow w:val="0"/>
          <w:sz w:val="24"/>
        </w:rPr>
      </w:pPr>
      <w:r>
        <w:rPr>
          <w:rFonts w:ascii="Times New Roman" w:hAnsi="Times New Roman"/>
          <w:shadow w:val="0"/>
          <w:sz w:val="24"/>
        </w:rPr>
        <w:t xml:space="preserve">The general fund tax levied in fiscal year </w:t>
      </w:r>
      <w:r w:rsidR="00296302">
        <w:rPr>
          <w:rFonts w:ascii="Times New Roman" w:hAnsi="Times New Roman"/>
          <w:shadow w:val="0"/>
          <w:sz w:val="24"/>
        </w:rPr>
        <w:t>2007-08</w:t>
      </w:r>
      <w:r>
        <w:rPr>
          <w:rFonts w:ascii="Times New Roman" w:hAnsi="Times New Roman"/>
          <w:shadow w:val="0"/>
          <w:sz w:val="24"/>
        </w:rPr>
        <w:t xml:space="preserve"> was </w:t>
      </w:r>
      <w:r w:rsidR="00561140">
        <w:rPr>
          <w:rFonts w:ascii="Times New Roman" w:hAnsi="Times New Roman"/>
          <w:shadow w:val="0"/>
          <w:sz w:val="24"/>
        </w:rPr>
        <w:t>52.1</w:t>
      </w:r>
      <w:r>
        <w:rPr>
          <w:rFonts w:ascii="Times New Roman" w:hAnsi="Times New Roman"/>
          <w:shadow w:val="0"/>
          <w:sz w:val="24"/>
        </w:rPr>
        <w:t xml:space="preserve"> cents on real property and </w:t>
      </w:r>
      <w:r w:rsidR="00561140">
        <w:rPr>
          <w:rFonts w:ascii="Times New Roman" w:hAnsi="Times New Roman"/>
          <w:shadow w:val="0"/>
          <w:sz w:val="24"/>
        </w:rPr>
        <w:t xml:space="preserve">52.1 </w:t>
      </w:r>
      <w:r>
        <w:rPr>
          <w:rFonts w:ascii="Times New Roman" w:hAnsi="Times New Roman"/>
          <w:shadow w:val="0"/>
          <w:sz w:val="24"/>
        </w:rPr>
        <w:t>cents on personal property and produced revenue of $1</w:t>
      </w:r>
      <w:r w:rsidR="00561140">
        <w:rPr>
          <w:rFonts w:ascii="Times New Roman" w:hAnsi="Times New Roman"/>
          <w:shadow w:val="0"/>
          <w:sz w:val="24"/>
        </w:rPr>
        <w:t>4</w:t>
      </w:r>
      <w:r>
        <w:rPr>
          <w:rFonts w:ascii="Times New Roman" w:hAnsi="Times New Roman"/>
          <w:shadow w:val="0"/>
          <w:sz w:val="24"/>
        </w:rPr>
        <w:t>,</w:t>
      </w:r>
      <w:r w:rsidR="00561140">
        <w:rPr>
          <w:rFonts w:ascii="Times New Roman" w:hAnsi="Times New Roman"/>
          <w:shadow w:val="0"/>
          <w:sz w:val="24"/>
        </w:rPr>
        <w:t>092</w:t>
      </w:r>
      <w:r>
        <w:rPr>
          <w:rFonts w:ascii="Times New Roman" w:hAnsi="Times New Roman"/>
          <w:shadow w:val="0"/>
          <w:sz w:val="24"/>
        </w:rPr>
        <w:t>,</w:t>
      </w:r>
      <w:r w:rsidR="00561140">
        <w:rPr>
          <w:rFonts w:ascii="Times New Roman" w:hAnsi="Times New Roman"/>
          <w:shadow w:val="0"/>
          <w:sz w:val="24"/>
        </w:rPr>
        <w:t>492.19</w:t>
      </w:r>
      <w:r>
        <w:rPr>
          <w:rFonts w:ascii="Times New Roman" w:hAnsi="Times New Roman"/>
          <w:shadow w:val="0"/>
          <w:sz w:val="24"/>
        </w:rPr>
        <w:t xml:space="preserve">.  The proposed general fund tax rates of </w:t>
      </w:r>
      <w:r w:rsidR="00DA420C">
        <w:rPr>
          <w:rFonts w:ascii="Times New Roman" w:hAnsi="Times New Roman"/>
          <w:shadow w:val="0"/>
          <w:sz w:val="24"/>
        </w:rPr>
        <w:t>57.1</w:t>
      </w:r>
      <w:r>
        <w:rPr>
          <w:rFonts w:ascii="Times New Roman" w:hAnsi="Times New Roman"/>
          <w:shadow w:val="0"/>
          <w:sz w:val="24"/>
        </w:rPr>
        <w:t xml:space="preserve"> cents for real property and </w:t>
      </w:r>
      <w:r w:rsidR="00DA420C">
        <w:rPr>
          <w:rFonts w:ascii="Times New Roman" w:hAnsi="Times New Roman"/>
          <w:shadow w:val="0"/>
          <w:sz w:val="24"/>
        </w:rPr>
        <w:t>57.1</w:t>
      </w:r>
      <w:r>
        <w:rPr>
          <w:rFonts w:ascii="Times New Roman" w:hAnsi="Times New Roman"/>
          <w:shadow w:val="0"/>
          <w:sz w:val="24"/>
        </w:rPr>
        <w:t xml:space="preserve"> cents for tangible property are expected to produce $1</w:t>
      </w:r>
      <w:r w:rsidR="00561140">
        <w:rPr>
          <w:rFonts w:ascii="Times New Roman" w:hAnsi="Times New Roman"/>
          <w:shadow w:val="0"/>
          <w:sz w:val="24"/>
        </w:rPr>
        <w:t>6</w:t>
      </w:r>
      <w:r>
        <w:rPr>
          <w:rFonts w:ascii="Times New Roman" w:hAnsi="Times New Roman"/>
          <w:shadow w:val="0"/>
          <w:sz w:val="24"/>
        </w:rPr>
        <w:t>,</w:t>
      </w:r>
      <w:r w:rsidR="00561140">
        <w:rPr>
          <w:rFonts w:ascii="Times New Roman" w:hAnsi="Times New Roman"/>
          <w:shadow w:val="0"/>
          <w:sz w:val="24"/>
        </w:rPr>
        <w:t>482</w:t>
      </w:r>
      <w:r>
        <w:rPr>
          <w:rFonts w:ascii="Times New Roman" w:hAnsi="Times New Roman"/>
          <w:shadow w:val="0"/>
          <w:sz w:val="24"/>
        </w:rPr>
        <w:t>,</w:t>
      </w:r>
      <w:r w:rsidR="00561140">
        <w:rPr>
          <w:rFonts w:ascii="Times New Roman" w:hAnsi="Times New Roman"/>
          <w:shadow w:val="0"/>
          <w:sz w:val="24"/>
        </w:rPr>
        <w:t>457</w:t>
      </w:r>
      <w:r>
        <w:rPr>
          <w:rFonts w:ascii="Times New Roman" w:hAnsi="Times New Roman"/>
          <w:shadow w:val="0"/>
          <w:sz w:val="24"/>
        </w:rPr>
        <w:t xml:space="preserve"> for </w:t>
      </w:r>
      <w:r w:rsidR="00296302">
        <w:rPr>
          <w:rFonts w:ascii="Times New Roman" w:hAnsi="Times New Roman"/>
          <w:shadow w:val="0"/>
          <w:sz w:val="24"/>
        </w:rPr>
        <w:t>2008-09</w:t>
      </w:r>
      <w:r>
        <w:rPr>
          <w:rFonts w:ascii="Times New Roman" w:hAnsi="Times New Roman"/>
          <w:shadow w:val="0"/>
          <w:sz w:val="24"/>
        </w:rPr>
        <w:t>, exclusive of revenue from recovery of exonerations.   Of this amount, $</w:t>
      </w:r>
      <w:r w:rsidR="00E65682">
        <w:rPr>
          <w:rFonts w:ascii="Times New Roman" w:hAnsi="Times New Roman"/>
          <w:shadow w:val="0"/>
          <w:sz w:val="24"/>
        </w:rPr>
        <w:t>1</w:t>
      </w:r>
      <w:r>
        <w:rPr>
          <w:rFonts w:ascii="Times New Roman" w:hAnsi="Times New Roman"/>
          <w:shadow w:val="0"/>
          <w:sz w:val="24"/>
        </w:rPr>
        <w:t>,</w:t>
      </w:r>
      <w:r w:rsidR="00FC7294">
        <w:rPr>
          <w:rFonts w:ascii="Times New Roman" w:hAnsi="Times New Roman"/>
          <w:shadow w:val="0"/>
          <w:sz w:val="24"/>
        </w:rPr>
        <w:t>993,093</w:t>
      </w:r>
      <w:r>
        <w:rPr>
          <w:rFonts w:ascii="Times New Roman" w:hAnsi="Times New Roman"/>
          <w:shadow w:val="0"/>
          <w:sz w:val="24"/>
        </w:rPr>
        <w:t xml:space="preserve"> is from new and personal property.  The compensating rate for </w:t>
      </w:r>
      <w:r w:rsidR="00296302">
        <w:rPr>
          <w:rFonts w:ascii="Times New Roman" w:hAnsi="Times New Roman"/>
          <w:shadow w:val="0"/>
          <w:sz w:val="24"/>
        </w:rPr>
        <w:t>2008-09</w:t>
      </w:r>
      <w:r>
        <w:rPr>
          <w:rFonts w:ascii="Times New Roman" w:hAnsi="Times New Roman"/>
          <w:shadow w:val="0"/>
          <w:sz w:val="24"/>
        </w:rPr>
        <w:t xml:space="preserve"> is </w:t>
      </w:r>
      <w:r w:rsidR="006B3FDD">
        <w:rPr>
          <w:rFonts w:ascii="Times New Roman" w:hAnsi="Times New Roman"/>
          <w:shadow w:val="0"/>
          <w:sz w:val="24"/>
        </w:rPr>
        <w:t>50.9</w:t>
      </w:r>
      <w:r>
        <w:rPr>
          <w:rFonts w:ascii="Times New Roman" w:hAnsi="Times New Roman"/>
          <w:shadow w:val="0"/>
          <w:sz w:val="24"/>
        </w:rPr>
        <w:t xml:space="preserve"> cents on real property and </w:t>
      </w:r>
      <w:r w:rsidR="006B3FDD">
        <w:rPr>
          <w:rFonts w:ascii="Times New Roman" w:hAnsi="Times New Roman"/>
          <w:shadow w:val="0"/>
          <w:sz w:val="24"/>
        </w:rPr>
        <w:t>50.9</w:t>
      </w:r>
      <w:r>
        <w:rPr>
          <w:rFonts w:ascii="Times New Roman" w:hAnsi="Times New Roman"/>
          <w:shadow w:val="0"/>
          <w:sz w:val="24"/>
        </w:rPr>
        <w:t xml:space="preserve"> cents on personal property and is expected to produce $1</w:t>
      </w:r>
      <w:r w:rsidR="006B3FDD">
        <w:rPr>
          <w:rFonts w:ascii="Times New Roman" w:hAnsi="Times New Roman"/>
          <w:shadow w:val="0"/>
          <w:sz w:val="24"/>
        </w:rPr>
        <w:t>4</w:t>
      </w:r>
      <w:r>
        <w:rPr>
          <w:rFonts w:ascii="Times New Roman" w:hAnsi="Times New Roman"/>
          <w:shadow w:val="0"/>
          <w:sz w:val="24"/>
        </w:rPr>
        <w:t>,</w:t>
      </w:r>
      <w:r w:rsidR="006B3FDD">
        <w:rPr>
          <w:rFonts w:ascii="Times New Roman" w:hAnsi="Times New Roman"/>
          <w:shadow w:val="0"/>
          <w:sz w:val="24"/>
        </w:rPr>
        <w:t>565</w:t>
      </w:r>
      <w:r>
        <w:rPr>
          <w:rFonts w:ascii="Times New Roman" w:hAnsi="Times New Roman"/>
          <w:shadow w:val="0"/>
          <w:sz w:val="24"/>
        </w:rPr>
        <w:t>,</w:t>
      </w:r>
      <w:r w:rsidR="006B3FDD">
        <w:rPr>
          <w:rFonts w:ascii="Times New Roman" w:hAnsi="Times New Roman"/>
          <w:shadow w:val="0"/>
          <w:sz w:val="24"/>
        </w:rPr>
        <w:t>226.83</w:t>
      </w:r>
      <w:r>
        <w:rPr>
          <w:rFonts w:ascii="Times New Roman" w:hAnsi="Times New Roman"/>
          <w:shadow w:val="0"/>
          <w:sz w:val="24"/>
        </w:rPr>
        <w:t>.</w:t>
      </w:r>
    </w:p>
    <w:p w:rsidR="002007C4" w:rsidRDefault="002007C4">
      <w:pPr>
        <w:rPr>
          <w:rFonts w:ascii="Times New Roman" w:hAnsi="Times New Roman"/>
          <w:shadow w:val="0"/>
          <w:sz w:val="24"/>
        </w:rPr>
      </w:pPr>
    </w:p>
    <w:p w:rsidR="002007C4" w:rsidRDefault="002007C4">
      <w:pPr>
        <w:rPr>
          <w:rFonts w:ascii="Times New Roman" w:hAnsi="Times New Roman"/>
          <w:shadow w:val="0"/>
          <w:sz w:val="24"/>
        </w:rPr>
      </w:pPr>
      <w:r>
        <w:rPr>
          <w:rFonts w:ascii="Times New Roman" w:hAnsi="Times New Roman"/>
          <w:shadow w:val="0"/>
          <w:sz w:val="24"/>
        </w:rPr>
        <w:t>The general areas to which revenue of $</w:t>
      </w:r>
      <w:r w:rsidR="00781C84">
        <w:rPr>
          <w:rFonts w:ascii="Times New Roman" w:hAnsi="Times New Roman"/>
          <w:shadow w:val="0"/>
          <w:sz w:val="24"/>
        </w:rPr>
        <w:t>2,389</w:t>
      </w:r>
      <w:r>
        <w:rPr>
          <w:rFonts w:ascii="Times New Roman" w:hAnsi="Times New Roman"/>
          <w:shadow w:val="0"/>
          <w:sz w:val="24"/>
        </w:rPr>
        <w:t>,</w:t>
      </w:r>
      <w:r w:rsidR="00781C84">
        <w:rPr>
          <w:rFonts w:ascii="Times New Roman" w:hAnsi="Times New Roman"/>
          <w:shadow w:val="0"/>
          <w:sz w:val="24"/>
        </w:rPr>
        <w:t>965</w:t>
      </w:r>
      <w:r>
        <w:rPr>
          <w:rFonts w:ascii="Times New Roman" w:hAnsi="Times New Roman"/>
          <w:shadow w:val="0"/>
          <w:sz w:val="24"/>
        </w:rPr>
        <w:t xml:space="preserve"> above </w:t>
      </w:r>
      <w:r w:rsidR="00296302">
        <w:rPr>
          <w:rFonts w:ascii="Times New Roman" w:hAnsi="Times New Roman"/>
          <w:shadow w:val="0"/>
          <w:sz w:val="24"/>
        </w:rPr>
        <w:t>2007-08</w:t>
      </w:r>
      <w:r>
        <w:rPr>
          <w:rFonts w:ascii="Times New Roman" w:hAnsi="Times New Roman"/>
          <w:shadow w:val="0"/>
          <w:sz w:val="24"/>
        </w:rPr>
        <w:t xml:space="preserve"> revenue is to be allocated are as follows:  Tax Collection $</w:t>
      </w:r>
      <w:r w:rsidR="006B3FDD">
        <w:rPr>
          <w:rFonts w:ascii="Times New Roman" w:hAnsi="Times New Roman"/>
          <w:shadow w:val="0"/>
          <w:sz w:val="24"/>
        </w:rPr>
        <w:t>20</w:t>
      </w:r>
      <w:r>
        <w:rPr>
          <w:rFonts w:ascii="Times New Roman" w:hAnsi="Times New Roman"/>
          <w:shadow w:val="0"/>
          <w:sz w:val="24"/>
        </w:rPr>
        <w:t>,</w:t>
      </w:r>
      <w:r w:rsidR="006B3FDD">
        <w:rPr>
          <w:rFonts w:ascii="Times New Roman" w:hAnsi="Times New Roman"/>
          <w:shadow w:val="0"/>
          <w:sz w:val="24"/>
        </w:rPr>
        <w:t>900</w:t>
      </w:r>
      <w:r>
        <w:rPr>
          <w:rFonts w:ascii="Times New Roman" w:hAnsi="Times New Roman"/>
          <w:shadow w:val="0"/>
          <w:sz w:val="24"/>
        </w:rPr>
        <w:t>, Instruction $</w:t>
      </w:r>
      <w:r w:rsidR="00781C84">
        <w:rPr>
          <w:rFonts w:ascii="Times New Roman" w:hAnsi="Times New Roman"/>
          <w:shadow w:val="0"/>
          <w:sz w:val="24"/>
        </w:rPr>
        <w:t>2,207,779</w:t>
      </w:r>
      <w:r w:rsidR="006B3FDD">
        <w:rPr>
          <w:rFonts w:ascii="Times New Roman" w:hAnsi="Times New Roman"/>
          <w:shadow w:val="0"/>
          <w:sz w:val="24"/>
        </w:rPr>
        <w:t xml:space="preserve"> </w:t>
      </w:r>
      <w:r>
        <w:rPr>
          <w:rFonts w:ascii="Times New Roman" w:hAnsi="Times New Roman"/>
          <w:shadow w:val="0"/>
          <w:sz w:val="24"/>
        </w:rPr>
        <w:t>and the Building Fund $</w:t>
      </w:r>
      <w:r w:rsidR="00E65682">
        <w:rPr>
          <w:rFonts w:ascii="Times New Roman" w:hAnsi="Times New Roman"/>
          <w:shadow w:val="0"/>
          <w:sz w:val="24"/>
        </w:rPr>
        <w:t>1</w:t>
      </w:r>
      <w:r w:rsidR="006B3FDD">
        <w:rPr>
          <w:rFonts w:ascii="Times New Roman" w:hAnsi="Times New Roman"/>
          <w:shadow w:val="0"/>
          <w:sz w:val="24"/>
        </w:rPr>
        <w:t>3</w:t>
      </w:r>
      <w:r w:rsidR="00E65682">
        <w:rPr>
          <w:rFonts w:ascii="Times New Roman" w:hAnsi="Times New Roman"/>
          <w:shadow w:val="0"/>
          <w:sz w:val="24"/>
        </w:rPr>
        <w:t>4</w:t>
      </w:r>
      <w:r>
        <w:rPr>
          <w:rFonts w:ascii="Times New Roman" w:hAnsi="Times New Roman"/>
          <w:shadow w:val="0"/>
          <w:sz w:val="24"/>
        </w:rPr>
        <w:t>,</w:t>
      </w:r>
      <w:r w:rsidR="006B3FDD">
        <w:rPr>
          <w:rFonts w:ascii="Times New Roman" w:hAnsi="Times New Roman"/>
          <w:shadow w:val="0"/>
          <w:sz w:val="24"/>
        </w:rPr>
        <w:t>387</w:t>
      </w:r>
      <w:r>
        <w:rPr>
          <w:rFonts w:ascii="Times New Roman" w:hAnsi="Times New Roman"/>
          <w:shadow w:val="0"/>
          <w:sz w:val="24"/>
        </w:rPr>
        <w:t>.</w:t>
      </w:r>
    </w:p>
    <w:p w:rsidR="002007C4" w:rsidRDefault="002007C4">
      <w:pPr>
        <w:rPr>
          <w:rFonts w:ascii="Times New Roman" w:hAnsi="Times New Roman"/>
          <w:shadow w:val="0"/>
          <w:sz w:val="24"/>
        </w:rPr>
      </w:pPr>
    </w:p>
    <w:p w:rsidR="002007C4" w:rsidRDefault="002007C4">
      <w:pPr>
        <w:pStyle w:val="BodyText3"/>
      </w:pPr>
      <w:r>
        <w:t>The General Assembly has required publication of this advertisement and the information contained herein.</w:t>
      </w:r>
    </w:p>
    <w:p w:rsidR="002007C4" w:rsidRDefault="002007C4">
      <w:pPr>
        <w:rPr>
          <w:rFonts w:ascii="Times New Roman" w:hAnsi="Times New Roman"/>
          <w:shadow w:val="0"/>
          <w:sz w:val="24"/>
        </w:rPr>
      </w:pPr>
      <w:r>
        <w:rPr>
          <w:rFonts w:ascii="Times New Roman" w:hAnsi="Times New Roman"/>
          <w:shadow w:val="0"/>
          <w:sz w:val="24"/>
        </w:rPr>
        <w:br w:type="page"/>
      </w:r>
      <w:r>
        <w:rPr>
          <w:rFonts w:ascii="Times New Roman" w:hAnsi="Times New Roman"/>
          <w:shadow w:val="0"/>
          <w:sz w:val="24"/>
        </w:rPr>
        <w:lastRenderedPageBreak/>
        <w:t>Hearing Date:</w:t>
      </w:r>
    </w:p>
    <w:p w:rsidR="002007C4" w:rsidRDefault="002007C4">
      <w:pPr>
        <w:rPr>
          <w:rFonts w:ascii="Times New Roman" w:hAnsi="Times New Roman"/>
          <w:shadow w:val="0"/>
          <w:sz w:val="24"/>
        </w:rPr>
      </w:pPr>
    </w:p>
    <w:p w:rsidR="002007C4" w:rsidRDefault="00E65682">
      <w:pPr>
        <w:rPr>
          <w:rFonts w:ascii="Times New Roman" w:hAnsi="Times New Roman"/>
          <w:shadow w:val="0"/>
          <w:sz w:val="24"/>
        </w:rPr>
      </w:pPr>
      <w:r>
        <w:rPr>
          <w:rFonts w:ascii="Times New Roman" w:hAnsi="Times New Roman"/>
          <w:shadow w:val="0"/>
          <w:sz w:val="24"/>
        </w:rPr>
        <w:t>First Ad</w:t>
      </w:r>
      <w:r>
        <w:rPr>
          <w:rFonts w:ascii="Times New Roman" w:hAnsi="Times New Roman"/>
          <w:shadow w:val="0"/>
          <w:sz w:val="24"/>
        </w:rPr>
        <w:tab/>
      </w:r>
      <w:r>
        <w:rPr>
          <w:rFonts w:ascii="Times New Roman" w:hAnsi="Times New Roman"/>
          <w:shadow w:val="0"/>
          <w:sz w:val="24"/>
        </w:rPr>
        <w:tab/>
      </w:r>
      <w:r>
        <w:rPr>
          <w:rFonts w:ascii="Times New Roman" w:hAnsi="Times New Roman"/>
          <w:shadow w:val="0"/>
          <w:sz w:val="24"/>
        </w:rPr>
        <w:tab/>
      </w:r>
      <w:r w:rsidR="00193567">
        <w:rPr>
          <w:rFonts w:ascii="Times New Roman" w:hAnsi="Times New Roman"/>
          <w:shadow w:val="0"/>
          <w:sz w:val="24"/>
        </w:rPr>
        <w:tab/>
      </w:r>
      <w:r w:rsidR="00193567">
        <w:rPr>
          <w:rFonts w:ascii="Times New Roman" w:hAnsi="Times New Roman"/>
          <w:shadow w:val="0"/>
          <w:sz w:val="24"/>
        </w:rPr>
        <w:tab/>
      </w:r>
      <w:r w:rsidR="002A308E">
        <w:rPr>
          <w:rFonts w:ascii="Times New Roman" w:hAnsi="Times New Roman"/>
          <w:shadow w:val="0"/>
          <w:sz w:val="24"/>
        </w:rPr>
        <w:t>Monday</w:t>
      </w:r>
      <w:r>
        <w:rPr>
          <w:rFonts w:ascii="Times New Roman" w:hAnsi="Times New Roman"/>
          <w:shadow w:val="0"/>
          <w:sz w:val="24"/>
        </w:rPr>
        <w:t xml:space="preserve">, August </w:t>
      </w:r>
      <w:r w:rsidR="002A308E">
        <w:rPr>
          <w:rFonts w:ascii="Times New Roman" w:hAnsi="Times New Roman"/>
          <w:shadow w:val="0"/>
          <w:sz w:val="24"/>
        </w:rPr>
        <w:t>11</w:t>
      </w:r>
    </w:p>
    <w:p w:rsidR="002007C4" w:rsidRDefault="00E65682">
      <w:pPr>
        <w:rPr>
          <w:rFonts w:ascii="Times New Roman" w:hAnsi="Times New Roman"/>
          <w:shadow w:val="0"/>
          <w:sz w:val="24"/>
        </w:rPr>
      </w:pPr>
      <w:r>
        <w:rPr>
          <w:rFonts w:ascii="Times New Roman" w:hAnsi="Times New Roman"/>
          <w:shadow w:val="0"/>
          <w:sz w:val="24"/>
        </w:rPr>
        <w:t>Second Ad</w:t>
      </w:r>
      <w:r>
        <w:rPr>
          <w:rFonts w:ascii="Times New Roman" w:hAnsi="Times New Roman"/>
          <w:shadow w:val="0"/>
          <w:sz w:val="24"/>
        </w:rPr>
        <w:tab/>
      </w:r>
      <w:r>
        <w:rPr>
          <w:rFonts w:ascii="Times New Roman" w:hAnsi="Times New Roman"/>
          <w:shadow w:val="0"/>
          <w:sz w:val="24"/>
        </w:rPr>
        <w:tab/>
      </w:r>
      <w:r>
        <w:rPr>
          <w:rFonts w:ascii="Times New Roman" w:hAnsi="Times New Roman"/>
          <w:shadow w:val="0"/>
          <w:sz w:val="24"/>
        </w:rPr>
        <w:tab/>
      </w:r>
      <w:r w:rsidR="00193567">
        <w:rPr>
          <w:rFonts w:ascii="Times New Roman" w:hAnsi="Times New Roman"/>
          <w:shadow w:val="0"/>
          <w:sz w:val="24"/>
        </w:rPr>
        <w:tab/>
      </w:r>
      <w:r w:rsidR="00193567">
        <w:rPr>
          <w:rFonts w:ascii="Times New Roman" w:hAnsi="Times New Roman"/>
          <w:shadow w:val="0"/>
          <w:sz w:val="24"/>
        </w:rPr>
        <w:tab/>
      </w:r>
      <w:r w:rsidR="002A308E">
        <w:rPr>
          <w:rFonts w:ascii="Times New Roman" w:hAnsi="Times New Roman"/>
          <w:shadow w:val="0"/>
          <w:sz w:val="24"/>
        </w:rPr>
        <w:t>Monday</w:t>
      </w:r>
      <w:r>
        <w:rPr>
          <w:rFonts w:ascii="Times New Roman" w:hAnsi="Times New Roman"/>
          <w:shadow w:val="0"/>
          <w:sz w:val="24"/>
        </w:rPr>
        <w:t>, August 1</w:t>
      </w:r>
      <w:r w:rsidR="002A308E">
        <w:rPr>
          <w:rFonts w:ascii="Times New Roman" w:hAnsi="Times New Roman"/>
          <w:shadow w:val="0"/>
          <w:sz w:val="24"/>
        </w:rPr>
        <w:t>8</w:t>
      </w:r>
    </w:p>
    <w:p w:rsidR="002007C4" w:rsidRDefault="002007C4">
      <w:pPr>
        <w:rPr>
          <w:rFonts w:ascii="Times New Roman" w:hAnsi="Times New Roman"/>
          <w:shadow w:val="0"/>
          <w:sz w:val="24"/>
        </w:rPr>
      </w:pPr>
    </w:p>
    <w:p w:rsidR="002007C4" w:rsidRDefault="002007C4">
      <w:pPr>
        <w:rPr>
          <w:rFonts w:ascii="Times New Roman" w:hAnsi="Times New Roman"/>
          <w:shadow w:val="0"/>
          <w:sz w:val="24"/>
        </w:rPr>
      </w:pPr>
      <w:r>
        <w:rPr>
          <w:rFonts w:ascii="Times New Roman" w:hAnsi="Times New Roman"/>
          <w:shadow w:val="0"/>
          <w:sz w:val="24"/>
        </w:rPr>
        <w:t>Hearing</w:t>
      </w:r>
      <w:r>
        <w:rPr>
          <w:rFonts w:ascii="Times New Roman" w:hAnsi="Times New Roman"/>
          <w:shadow w:val="0"/>
          <w:sz w:val="24"/>
        </w:rPr>
        <w:tab/>
      </w:r>
      <w:r>
        <w:rPr>
          <w:rFonts w:ascii="Times New Roman" w:hAnsi="Times New Roman"/>
          <w:shadow w:val="0"/>
          <w:sz w:val="24"/>
        </w:rPr>
        <w:tab/>
      </w:r>
      <w:r>
        <w:rPr>
          <w:rFonts w:ascii="Times New Roman" w:hAnsi="Times New Roman"/>
          <w:shadow w:val="0"/>
          <w:sz w:val="24"/>
        </w:rPr>
        <w:tab/>
      </w:r>
      <w:r w:rsidR="00193567">
        <w:rPr>
          <w:rFonts w:ascii="Times New Roman" w:hAnsi="Times New Roman"/>
          <w:shadow w:val="0"/>
          <w:sz w:val="24"/>
        </w:rPr>
        <w:tab/>
      </w:r>
      <w:r w:rsidR="00193567">
        <w:rPr>
          <w:rFonts w:ascii="Times New Roman" w:hAnsi="Times New Roman"/>
          <w:shadow w:val="0"/>
          <w:sz w:val="24"/>
        </w:rPr>
        <w:tab/>
      </w:r>
      <w:r w:rsidR="002A308E">
        <w:rPr>
          <w:rFonts w:ascii="Times New Roman" w:hAnsi="Times New Roman"/>
          <w:shadow w:val="0"/>
          <w:sz w:val="24"/>
        </w:rPr>
        <w:t>Monday</w:t>
      </w:r>
      <w:r>
        <w:rPr>
          <w:rFonts w:ascii="Times New Roman" w:hAnsi="Times New Roman"/>
          <w:shadow w:val="0"/>
          <w:sz w:val="24"/>
        </w:rPr>
        <w:t>, August 2</w:t>
      </w:r>
      <w:r w:rsidR="002A308E">
        <w:rPr>
          <w:rFonts w:ascii="Times New Roman" w:hAnsi="Times New Roman"/>
          <w:shadow w:val="0"/>
          <w:sz w:val="24"/>
        </w:rPr>
        <w:t>5</w:t>
      </w:r>
    </w:p>
    <w:p w:rsidR="002007C4" w:rsidRDefault="002007C4">
      <w:pPr>
        <w:rPr>
          <w:rFonts w:ascii="Times New Roman" w:hAnsi="Times New Roman"/>
          <w:shadow w:val="0"/>
          <w:sz w:val="24"/>
        </w:rPr>
      </w:pPr>
    </w:p>
    <w:p w:rsidR="002007C4" w:rsidRDefault="002007C4">
      <w:pPr>
        <w:rPr>
          <w:rFonts w:ascii="Times New Roman" w:hAnsi="Times New Roman"/>
          <w:shadow w:val="0"/>
          <w:sz w:val="24"/>
        </w:rPr>
      </w:pPr>
      <w:r>
        <w:rPr>
          <w:rFonts w:ascii="Times New Roman" w:hAnsi="Times New Roman"/>
          <w:shadow w:val="0"/>
          <w:sz w:val="24"/>
        </w:rPr>
        <w:t>(not less than 7 or more than 10 days after the second ad)</w:t>
      </w:r>
    </w:p>
    <w:p w:rsidR="00193567" w:rsidRDefault="00193567">
      <w:pPr>
        <w:jc w:val="center"/>
        <w:rPr>
          <w:rFonts w:ascii="Times New Roman" w:hAnsi="Times New Roman"/>
          <w:shadow w:val="0"/>
          <w:sz w:val="24"/>
        </w:rPr>
      </w:pPr>
    </w:p>
    <w:p w:rsidR="0092218F" w:rsidRDefault="00193567" w:rsidP="00193567">
      <w:pPr>
        <w:rPr>
          <w:rFonts w:ascii="Times New Roman" w:hAnsi="Times New Roman"/>
          <w:shadow w:val="0"/>
          <w:sz w:val="24"/>
        </w:rPr>
      </w:pPr>
      <w:r>
        <w:rPr>
          <w:rFonts w:ascii="Times New Roman" w:hAnsi="Times New Roman"/>
          <w:shadow w:val="0"/>
          <w:sz w:val="24"/>
        </w:rPr>
        <w:t>Ad Notifying Rate Subject to Recall</w:t>
      </w:r>
      <w:r>
        <w:rPr>
          <w:rFonts w:ascii="Times New Roman" w:hAnsi="Times New Roman"/>
          <w:shadow w:val="0"/>
          <w:sz w:val="24"/>
        </w:rPr>
        <w:tab/>
      </w:r>
      <w:r>
        <w:rPr>
          <w:rFonts w:ascii="Times New Roman" w:hAnsi="Times New Roman"/>
          <w:shadow w:val="0"/>
          <w:sz w:val="24"/>
        </w:rPr>
        <w:tab/>
        <w:t>Wednesday, August 27</w:t>
      </w:r>
    </w:p>
    <w:p w:rsidR="0092218F" w:rsidRDefault="0092218F" w:rsidP="00193567">
      <w:pPr>
        <w:rPr>
          <w:rFonts w:ascii="Times New Roman" w:hAnsi="Times New Roman"/>
          <w:shadow w:val="0"/>
          <w:sz w:val="24"/>
        </w:rPr>
      </w:pPr>
      <w:r>
        <w:rPr>
          <w:rFonts w:ascii="Times New Roman" w:hAnsi="Times New Roman"/>
          <w:shadow w:val="0"/>
          <w:sz w:val="24"/>
        </w:rPr>
        <w:t xml:space="preserve">(See Sample Ad on page 12) </w:t>
      </w:r>
    </w:p>
    <w:p w:rsidR="0092218F" w:rsidRDefault="0092218F" w:rsidP="00193567">
      <w:pPr>
        <w:rPr>
          <w:rFonts w:ascii="Times New Roman" w:hAnsi="Times New Roman"/>
          <w:shadow w:val="0"/>
          <w:sz w:val="24"/>
        </w:rPr>
      </w:pPr>
    </w:p>
    <w:p w:rsidR="0092218F" w:rsidRDefault="0092218F" w:rsidP="0092218F">
      <w:pPr>
        <w:rPr>
          <w:rFonts w:ascii="Times New Roman" w:hAnsi="Times New Roman"/>
          <w:shadow w:val="0"/>
          <w:sz w:val="24"/>
        </w:rPr>
      </w:pPr>
      <w:r>
        <w:rPr>
          <w:rFonts w:ascii="Times New Roman" w:hAnsi="Times New Roman"/>
          <w:shadow w:val="0"/>
          <w:sz w:val="24"/>
        </w:rPr>
        <w:t>(not less than 1 or more than 7 days after the approval of the tax rate subject to recall)</w:t>
      </w:r>
    </w:p>
    <w:p w:rsidR="001962F3" w:rsidRDefault="002007C4" w:rsidP="00DA420C">
      <w:r>
        <w:br w:type="page"/>
      </w:r>
    </w:p>
    <w:p w:rsidR="00B56ADF" w:rsidRPr="001962F3" w:rsidRDefault="00B56ADF">
      <w:pPr>
        <w:tabs>
          <w:tab w:val="center" w:pos="1260"/>
          <w:tab w:val="center" w:pos="3420"/>
          <w:tab w:val="center" w:pos="5040"/>
          <w:tab w:val="right" w:pos="1116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1140"/>
        </w:tabs>
        <w:suppressAutoHyphens/>
        <w:rPr>
          <w:rFonts w:ascii="Times New Roman" w:hAnsi="Times New Roman"/>
          <w:b/>
          <w:shadow w:val="0"/>
          <w:sz w:val="24"/>
          <w:szCs w:val="24"/>
        </w:rPr>
      </w:pPr>
    </w:p>
    <w:sectPr w:rsidR="00B56ADF" w:rsidRPr="001962F3" w:rsidSect="009E0742">
      <w:headerReference w:type="default" r:id="rId7"/>
      <w:footerReference w:type="default" r:id="rId8"/>
      <w:type w:val="continuous"/>
      <w:pgSz w:w="12240" w:h="15840"/>
      <w:pgMar w:top="1296" w:right="1627" w:bottom="1152"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42FA" w:rsidRDefault="003242FA">
      <w:r>
        <w:separator/>
      </w:r>
    </w:p>
  </w:endnote>
  <w:endnote w:type="continuationSeparator" w:id="1">
    <w:p w:rsidR="003242FA" w:rsidRDefault="003242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885" w:rsidRDefault="00AC0885">
    <w:pPr>
      <w:pStyle w:val="Footer"/>
      <w:rPr>
        <w:shadow w:val="0"/>
      </w:rPr>
    </w:pPr>
    <w:r>
      <w:rPr>
        <w:u w:val="single"/>
      </w:rPr>
      <w:tab/>
    </w:r>
    <w:r>
      <w:rPr>
        <w:u w:val="single"/>
      </w:rPr>
      <w:tab/>
    </w:r>
  </w:p>
  <w:p w:rsidR="00AC0885" w:rsidRDefault="00AC0885">
    <w:pPr>
      <w:pStyle w:val="Footer"/>
      <w:tabs>
        <w:tab w:val="left" w:pos="7110"/>
      </w:tabs>
      <w:rPr>
        <w:shadow w:val="0"/>
        <w:sz w:val="24"/>
      </w:rPr>
    </w:pPr>
    <w:r>
      <w:rPr>
        <w:shadow w:val="0"/>
      </w:rPr>
      <w:t>School Management Associates, Inc.</w:t>
    </w:r>
    <w:r>
      <w:rPr>
        <w:shadow w:val="0"/>
      </w:rPr>
      <w:tab/>
    </w:r>
    <w:r>
      <w:rPr>
        <w:shadow w:val="0"/>
      </w:rPr>
      <w:tab/>
    </w:r>
    <w:r>
      <w:rPr>
        <w:shadow w:val="0"/>
        <w:sz w:val="24"/>
      </w:rPr>
      <w:t xml:space="preserve">Page </w:t>
    </w:r>
    <w:r>
      <w:rPr>
        <w:rStyle w:val="PageNumber"/>
        <w:shadow w:val="0"/>
      </w:rPr>
      <w:fldChar w:fldCharType="begin"/>
    </w:r>
    <w:r>
      <w:rPr>
        <w:rStyle w:val="PageNumber"/>
        <w:shadow w:val="0"/>
      </w:rPr>
      <w:instrText xml:space="preserve"> PAGE </w:instrText>
    </w:r>
    <w:r>
      <w:rPr>
        <w:rStyle w:val="PageNumber"/>
        <w:shadow w:val="0"/>
      </w:rPr>
      <w:fldChar w:fldCharType="separate"/>
    </w:r>
    <w:r w:rsidR="0020712D">
      <w:rPr>
        <w:rStyle w:val="PageNumber"/>
        <w:shadow w:val="0"/>
        <w:noProof/>
      </w:rPr>
      <w:t>1</w:t>
    </w:r>
    <w:r>
      <w:rPr>
        <w:rStyle w:val="PageNumber"/>
        <w:shadow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42FA" w:rsidRDefault="003242FA">
      <w:r>
        <w:separator/>
      </w:r>
    </w:p>
  </w:footnote>
  <w:footnote w:type="continuationSeparator" w:id="1">
    <w:p w:rsidR="003242FA" w:rsidRDefault="003242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885" w:rsidRDefault="00AC0885">
    <w:pPr>
      <w:pStyle w:val="Header"/>
      <w:tabs>
        <w:tab w:val="left" w:pos="6480"/>
      </w:tabs>
      <w:rPr>
        <w:shadow w:val="0"/>
      </w:rPr>
    </w:pPr>
    <w:smartTag w:uri="urn:schemas-microsoft-com:office:smarttags" w:element="place">
      <w:smartTag w:uri="urn:schemas-microsoft-com:office:smarttags" w:element="PlaceName">
        <w:r>
          <w:rPr>
            <w:shadow w:val="0"/>
          </w:rPr>
          <w:t>Franklin</w:t>
        </w:r>
      </w:smartTag>
      <w:r>
        <w:rPr>
          <w:shadow w:val="0"/>
        </w:rPr>
        <w:t xml:space="preserve"> </w:t>
      </w:r>
      <w:smartTag w:uri="urn:schemas-microsoft-com:office:smarttags" w:element="PlaceName">
        <w:r>
          <w:rPr>
            <w:shadow w:val="0"/>
          </w:rPr>
          <w:t>County</w:t>
        </w:r>
      </w:smartTag>
    </w:smartTag>
    <w:r>
      <w:rPr>
        <w:shadow w:val="0"/>
      </w:rPr>
      <w:t xml:space="preserve"> Board of Education</w:t>
    </w:r>
    <w:r>
      <w:rPr>
        <w:shadow w:val="0"/>
      </w:rPr>
      <w:tab/>
    </w:r>
    <w:r>
      <w:rPr>
        <w:shadow w:val="0"/>
      </w:rPr>
      <w:tab/>
      <w:t>Enclosure</w:t>
    </w:r>
  </w:p>
  <w:p w:rsidR="00AC0885" w:rsidRDefault="00AC0885">
    <w:pPr>
      <w:pStyle w:val="Header"/>
      <w:tabs>
        <w:tab w:val="left" w:pos="6480"/>
      </w:tabs>
      <w:rPr>
        <w:shadow w:val="0"/>
      </w:rPr>
    </w:pPr>
    <w:r>
      <w:rPr>
        <w:shadow w:val="0"/>
      </w:rPr>
      <w:tab/>
    </w:r>
    <w:r>
      <w:rPr>
        <w:shadow w:val="0"/>
      </w:rPr>
      <w:tab/>
      <w:t>August 25, 2008</w:t>
    </w:r>
  </w:p>
  <w:p w:rsidR="00AC0885" w:rsidRDefault="00AC0885">
    <w:pPr>
      <w:pStyle w:val="Header"/>
      <w:tabs>
        <w:tab w:val="left" w:pos="6480"/>
      </w:tabs>
    </w:pPr>
    <w:r>
      <w:rPr>
        <w:shadow w:val="0"/>
        <w:u w:val="single"/>
      </w:rPr>
      <w:tab/>
    </w:r>
    <w:r>
      <w:rPr>
        <w:shadow w:val="0"/>
        <w:u w:val="single"/>
      </w:rPr>
      <w:tab/>
    </w:r>
    <w:r>
      <w:rPr>
        <w:u w:val="single"/>
      </w:rPr>
      <w:tab/>
    </w:r>
  </w:p>
  <w:p w:rsidR="00AC0885" w:rsidRDefault="00AC0885">
    <w:pPr>
      <w:pStyle w:val="Header"/>
      <w:tabs>
        <w:tab w:val="left" w:pos="648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54D54"/>
    <w:multiLevelType w:val="hybridMultilevel"/>
    <w:tmpl w:val="A5C64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C677B7"/>
    <w:multiLevelType w:val="hybridMultilevel"/>
    <w:tmpl w:val="D1D432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E7F117A"/>
    <w:multiLevelType w:val="singleLevel"/>
    <w:tmpl w:val="40D22A06"/>
    <w:lvl w:ilvl="0">
      <w:numFmt w:val="bullet"/>
      <w:lvlText w:val="-"/>
      <w:lvlJc w:val="left"/>
      <w:pPr>
        <w:tabs>
          <w:tab w:val="num" w:pos="360"/>
        </w:tabs>
        <w:ind w:left="360" w:hanging="360"/>
      </w:pPr>
      <w:rPr>
        <w:rFonts w:hint="default"/>
      </w:rPr>
    </w:lvl>
  </w:abstractNum>
  <w:abstractNum w:abstractNumId="3">
    <w:nsid w:val="535A5FFB"/>
    <w:multiLevelType w:val="singleLevel"/>
    <w:tmpl w:val="04090001"/>
    <w:lvl w:ilvl="0">
      <w:start w:val="5200"/>
      <w:numFmt w:val="bullet"/>
      <w:lvlText w:val=""/>
      <w:lvlJc w:val="left"/>
      <w:pPr>
        <w:tabs>
          <w:tab w:val="num" w:pos="360"/>
        </w:tabs>
        <w:ind w:left="360" w:hanging="360"/>
      </w:pPr>
      <w:rPr>
        <w:rFonts w:ascii="Symbol" w:hAnsi="Symbol" w:hint="default"/>
      </w:rPr>
    </w:lvl>
  </w:abstractNum>
  <w:abstractNum w:abstractNumId="4">
    <w:nsid w:val="5C962283"/>
    <w:multiLevelType w:val="singleLevel"/>
    <w:tmpl w:val="4D3C80AC"/>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endnote w:id="0"/>
    <w:endnote w:id="1"/>
  </w:endnotePr>
  <w:compat/>
  <w:docVars>
    <w:docVar w:name="IPSpeechSession$" w:val="FALSE"/>
    <w:docVar w:name="IPSpeechSessionSaved$" w:val="FALSE"/>
  </w:docVars>
  <w:rsids>
    <w:rsidRoot w:val="00EC46D2"/>
    <w:rsid w:val="0001056F"/>
    <w:rsid w:val="00064500"/>
    <w:rsid w:val="00141508"/>
    <w:rsid w:val="00193567"/>
    <w:rsid w:val="001962F3"/>
    <w:rsid w:val="002007C4"/>
    <w:rsid w:val="0020712D"/>
    <w:rsid w:val="002753F4"/>
    <w:rsid w:val="00291049"/>
    <w:rsid w:val="00296302"/>
    <w:rsid w:val="002A308E"/>
    <w:rsid w:val="003120E8"/>
    <w:rsid w:val="003242FA"/>
    <w:rsid w:val="0036168F"/>
    <w:rsid w:val="00387745"/>
    <w:rsid w:val="00447E44"/>
    <w:rsid w:val="00487FCA"/>
    <w:rsid w:val="004967CD"/>
    <w:rsid w:val="00561140"/>
    <w:rsid w:val="005F0074"/>
    <w:rsid w:val="005F1E1A"/>
    <w:rsid w:val="00697C59"/>
    <w:rsid w:val="006B3FDD"/>
    <w:rsid w:val="007151FC"/>
    <w:rsid w:val="00750155"/>
    <w:rsid w:val="00756C79"/>
    <w:rsid w:val="00781C84"/>
    <w:rsid w:val="00785074"/>
    <w:rsid w:val="00797BE0"/>
    <w:rsid w:val="007A4ADB"/>
    <w:rsid w:val="007D352A"/>
    <w:rsid w:val="008B10FA"/>
    <w:rsid w:val="008B3C90"/>
    <w:rsid w:val="0092218F"/>
    <w:rsid w:val="00923266"/>
    <w:rsid w:val="0093526E"/>
    <w:rsid w:val="00947BE2"/>
    <w:rsid w:val="00984A49"/>
    <w:rsid w:val="009E0742"/>
    <w:rsid w:val="00AC0885"/>
    <w:rsid w:val="00B12DD1"/>
    <w:rsid w:val="00B16778"/>
    <w:rsid w:val="00B56ADF"/>
    <w:rsid w:val="00BA297D"/>
    <w:rsid w:val="00BB0249"/>
    <w:rsid w:val="00BB0DF0"/>
    <w:rsid w:val="00BC2786"/>
    <w:rsid w:val="00BD39F9"/>
    <w:rsid w:val="00C26B64"/>
    <w:rsid w:val="00C30B61"/>
    <w:rsid w:val="00C75770"/>
    <w:rsid w:val="00C82A64"/>
    <w:rsid w:val="00CF334A"/>
    <w:rsid w:val="00D774CF"/>
    <w:rsid w:val="00DA420C"/>
    <w:rsid w:val="00DB7885"/>
    <w:rsid w:val="00E11152"/>
    <w:rsid w:val="00E65682"/>
    <w:rsid w:val="00E767AC"/>
    <w:rsid w:val="00E944D1"/>
    <w:rsid w:val="00EC46D2"/>
    <w:rsid w:val="00F14B33"/>
    <w:rsid w:val="00F165C6"/>
    <w:rsid w:val="00FC7294"/>
    <w:rsid w:val="00FE7A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352A"/>
    <w:rPr>
      <w:rFonts w:ascii="Tms Rmn" w:hAnsi="Tms Rmn"/>
      <w:shadow/>
    </w:rPr>
  </w:style>
  <w:style w:type="paragraph" w:styleId="Heading1">
    <w:name w:val="heading 1"/>
    <w:basedOn w:val="Normal"/>
    <w:next w:val="Normal"/>
    <w:qFormat/>
    <w:pPr>
      <w:keepNext/>
      <w:outlineLvl w:val="0"/>
    </w:pPr>
    <w:rPr>
      <w:shadow w:val="0"/>
      <w:sz w:val="24"/>
    </w:rPr>
  </w:style>
  <w:style w:type="paragraph" w:styleId="Heading2">
    <w:name w:val="heading 2"/>
    <w:basedOn w:val="Normal"/>
    <w:next w:val="Normal"/>
    <w:qFormat/>
    <w:pPr>
      <w:keepNext/>
      <w:jc w:val="center"/>
      <w:outlineLvl w:val="1"/>
    </w:pPr>
    <w:rPr>
      <w:shadow w:val="0"/>
      <w:sz w:val="24"/>
    </w:rPr>
  </w:style>
  <w:style w:type="paragraph" w:styleId="Heading3">
    <w:name w:val="heading 3"/>
    <w:basedOn w:val="Normal"/>
    <w:next w:val="Normal"/>
    <w:qFormat/>
    <w:pPr>
      <w:keepNext/>
      <w:outlineLvl w:val="2"/>
    </w:pPr>
    <w:rPr>
      <w:shadow w:val="0"/>
      <w:sz w:val="24"/>
      <w:u w:val="single"/>
    </w:rPr>
  </w:style>
  <w:style w:type="paragraph" w:styleId="Heading4">
    <w:name w:val="heading 4"/>
    <w:basedOn w:val="Normal"/>
    <w:next w:val="Normal"/>
    <w:qFormat/>
    <w:pPr>
      <w:ind w:left="360"/>
      <w:outlineLvl w:val="3"/>
    </w:pPr>
    <w:rPr>
      <w:sz w:val="24"/>
      <w:u w:val="single"/>
    </w:rPr>
  </w:style>
  <w:style w:type="paragraph" w:styleId="Heading5">
    <w:name w:val="heading 5"/>
    <w:basedOn w:val="Normal"/>
    <w:next w:val="Normal"/>
    <w:qFormat/>
    <w:pPr>
      <w:ind w:left="720"/>
      <w:outlineLvl w:val="4"/>
    </w:pPr>
    <w:rPr>
      <w:b/>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rPr>
  </w:style>
  <w:style w:type="paragraph" w:styleId="Heading8">
    <w:name w:val="heading 8"/>
    <w:basedOn w:val="Normal"/>
    <w:next w:val="Normal"/>
    <w:qFormat/>
    <w:pPr>
      <w:ind w:left="720"/>
      <w:outlineLvl w:val="7"/>
    </w:pPr>
    <w:rPr>
      <w:i/>
    </w:rPr>
  </w:style>
  <w:style w:type="paragraph" w:styleId="Heading9">
    <w:name w:val="heading 9"/>
    <w:basedOn w:val="Normal"/>
    <w:next w:val="Normal"/>
    <w:qFormat/>
    <w:pPr>
      <w:ind w:left="720"/>
      <w:outlineLvl w:val="8"/>
    </w:pPr>
    <w:rPr>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basedOn w:val="DefaultParagraphFont"/>
    <w:semiHidden/>
    <w:rPr>
      <w:position w:val="6"/>
      <w:sz w:val="16"/>
    </w:rPr>
  </w:style>
  <w:style w:type="paragraph" w:styleId="FootnoteText">
    <w:name w:val="footnote text"/>
    <w:basedOn w:val="Normal"/>
    <w:semiHidden/>
  </w:style>
  <w:style w:type="character" w:styleId="PageNumber">
    <w:name w:val="page number"/>
    <w:basedOn w:val="DefaultParagraphFont"/>
  </w:style>
  <w:style w:type="paragraph" w:styleId="BodyText">
    <w:name w:val="Body Text"/>
    <w:basedOn w:val="Normal"/>
    <w:rPr>
      <w:shadow w:val="0"/>
      <w:sz w:val="24"/>
    </w:rPr>
  </w:style>
  <w:style w:type="paragraph" w:styleId="Title">
    <w:name w:val="Title"/>
    <w:basedOn w:val="Normal"/>
    <w:qFormat/>
    <w:pPr>
      <w:tabs>
        <w:tab w:val="right" w:pos="1116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1140"/>
      </w:tabs>
      <w:suppressAutoHyphens/>
      <w:jc w:val="center"/>
    </w:pPr>
    <w:rPr>
      <w:rFonts w:ascii="Times New Roman" w:hAnsi="Times New Roman"/>
      <w:b/>
      <w:shadow w:val="0"/>
      <w:sz w:val="28"/>
    </w:rPr>
  </w:style>
  <w:style w:type="paragraph" w:styleId="BodyText2">
    <w:name w:val="Body Text 2"/>
    <w:basedOn w:val="Normal"/>
    <w:rPr>
      <w:rFonts w:ascii="Times New Roman" w:hAnsi="Times New Roman"/>
      <w:b/>
      <w:i/>
      <w:shadow w:val="0"/>
      <w:sz w:val="24"/>
    </w:rPr>
  </w:style>
  <w:style w:type="paragraph" w:styleId="BodyText3">
    <w:name w:val="Body Text 3"/>
    <w:basedOn w:val="Normal"/>
    <w:rPr>
      <w:rFonts w:ascii="Times New Roman" w:hAnsi="Times New Roman"/>
      <w:shadow w:val="0"/>
      <w:sz w:val="24"/>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6721501">
      <w:bodyDiv w:val="1"/>
      <w:marLeft w:val="0"/>
      <w:marRight w:val="0"/>
      <w:marTop w:val="0"/>
      <w:marBottom w:val="0"/>
      <w:divBdr>
        <w:top w:val="none" w:sz="0" w:space="0" w:color="auto"/>
        <w:left w:val="none" w:sz="0" w:space="0" w:color="auto"/>
        <w:bottom w:val="none" w:sz="0" w:space="0" w:color="auto"/>
        <w:right w:val="none" w:sz="0" w:space="0" w:color="auto"/>
      </w:divBdr>
    </w:div>
    <w:div w:id="900943389">
      <w:bodyDiv w:val="1"/>
      <w:marLeft w:val="0"/>
      <w:marRight w:val="0"/>
      <w:marTop w:val="0"/>
      <w:marBottom w:val="0"/>
      <w:divBdr>
        <w:top w:val="none" w:sz="0" w:space="0" w:color="auto"/>
        <w:left w:val="none" w:sz="0" w:space="0" w:color="auto"/>
        <w:bottom w:val="none" w:sz="0" w:space="0" w:color="auto"/>
        <w:right w:val="none" w:sz="0" w:space="0" w:color="auto"/>
      </w:divBdr>
    </w:div>
    <w:div w:id="162372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2563</Words>
  <Characters>14613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C:\ETOWN\TAXLEVY.DOC________ENCLOSURE  </vt:lpstr>
    </vt:vector>
  </TitlesOfParts>
  <Company>Arvin School Management Assoc</Company>
  <LinksUpToDate>false</LinksUpToDate>
  <CharactersWithSpaces>17142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C:\ETOWN\TAXLEVY.DOC________ENCLOSURE  </dc:title>
  <dc:subject/>
  <dc:creator>Robert L. Arvin</dc:creator>
  <cp:keywords/>
  <cp:lastModifiedBy>sjones2</cp:lastModifiedBy>
  <cp:revision>2</cp:revision>
  <cp:lastPrinted>2007-08-04T12:00:00Z</cp:lastPrinted>
  <dcterms:created xsi:type="dcterms:W3CDTF">2008-08-22T14:41:00Z</dcterms:created>
  <dcterms:modified xsi:type="dcterms:W3CDTF">2008-08-22T14:41:00Z</dcterms:modified>
</cp:coreProperties>
</file>