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C91C8D">
              <w:rPr>
                <w:rFonts w:asciiTheme="minorHAnsi" w:hAnsiTheme="minorHAnsi" w:cs="Tahoma"/>
                <w:sz w:val="16"/>
                <w:szCs w:val="16"/>
              </w:rPr>
            </w:r>
            <w:r w:rsidR="00C91C8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C91C8D">
              <w:rPr>
                <w:rFonts w:asciiTheme="minorHAnsi" w:hAnsiTheme="minorHAnsi" w:cs="Tahoma"/>
                <w:sz w:val="16"/>
                <w:szCs w:val="16"/>
              </w:rPr>
            </w:r>
            <w:r w:rsidR="00C91C8D">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7C81929A" w:rsidR="000F65B7" w:rsidRPr="00A5454D" w:rsidRDefault="00C91C8D">
            <w:pPr>
              <w:rPr>
                <w:rFonts w:asciiTheme="minorHAnsi" w:hAnsiTheme="minorHAnsi" w:cstheme="minorHAnsi"/>
                <w:caps/>
                <w:sz w:val="22"/>
                <w:szCs w:val="22"/>
              </w:rPr>
            </w:pPr>
            <w:r>
              <w:rPr>
                <w:rFonts w:asciiTheme="minorHAnsi" w:hAnsiTheme="minorHAnsi" w:cstheme="minorHAnsi"/>
                <w:caps/>
                <w:sz w:val="22"/>
                <w:szCs w:val="22"/>
              </w:rPr>
              <w:t xml:space="preserve">Determination of curriculum and curriculum development policy </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77777777" w:rsidR="000F65B7" w:rsidRDefault="000F65B7" w:rsidP="00D13D96">
            <w:pPr>
              <w:rPr>
                <w:rFonts w:asciiTheme="minorHAnsi" w:hAnsiTheme="minorHAnsi" w:cstheme="majorHAnsi"/>
                <w:sz w:val="22"/>
                <w:szCs w:val="22"/>
              </w:rPr>
            </w:pPr>
            <w:bookmarkStart w:id="2" w:name="_GoBack"/>
          </w:p>
          <w:p w14:paraId="1A598301" w14:textId="77777777" w:rsidR="00C91C8D" w:rsidRDefault="00C91C8D" w:rsidP="00C91C8D">
            <w:r>
              <w:t xml:space="preserve">Adoption:  The school council, in alignment with school board policy and state standards, shall adopt a curriculum that provides access to a common academic core for all students designed to meet all student’s academic and career needs as reflected in the Comprehensive School Improvement Plan.  The council shall adopt curriculum changes and new programs for implementation as needed based on recommendations from SBDM committees.  </w:t>
            </w:r>
          </w:p>
          <w:p w14:paraId="77038870" w14:textId="77777777" w:rsidR="00C91C8D" w:rsidRDefault="00C91C8D" w:rsidP="00C91C8D"/>
          <w:p w14:paraId="5D96310A" w14:textId="77777777" w:rsidR="00C91C8D" w:rsidRDefault="00C91C8D" w:rsidP="00C91C8D">
            <w:r>
              <w:t>Development:  The curriculum shall be developed by the administration working with each department and grade level team using guidelines set forth by the Comprehensive School Improvement Plan and the Kentucky Department of Education using the Uniform Academic Course Document and state adopted academic standards for content and instruction.  Curriculum maps and syllabi for each course will be developed by the instructor and submitted to the principal for approval prior to the beginning of the school year.</w:t>
            </w:r>
          </w:p>
          <w:p w14:paraId="65E42C50" w14:textId="77777777" w:rsidR="00C91C8D" w:rsidRDefault="00C91C8D" w:rsidP="00C91C8D"/>
          <w:p w14:paraId="7D84F78A" w14:textId="77777777" w:rsidR="00C91C8D" w:rsidRDefault="00C91C8D" w:rsidP="00C91C8D">
            <w:r>
              <w:t>The curriculum shall allow and assist all students to acquire the follow capacities:</w:t>
            </w:r>
          </w:p>
          <w:p w14:paraId="71195A59" w14:textId="77777777" w:rsidR="00C91C8D" w:rsidRDefault="00C91C8D" w:rsidP="00C91C8D"/>
          <w:p w14:paraId="74ABF3DA" w14:textId="77777777" w:rsidR="00C91C8D" w:rsidRDefault="00C91C8D" w:rsidP="00C91C8D">
            <w:pPr>
              <w:pStyle w:val="ListParagraph"/>
              <w:numPr>
                <w:ilvl w:val="0"/>
                <w:numId w:val="11"/>
              </w:numPr>
              <w:spacing w:after="0" w:line="240" w:lineRule="auto"/>
            </w:pPr>
            <w:r>
              <w:t>Communication, math, science, and technology skills necessary to function in a complex and changing world.</w:t>
            </w:r>
          </w:p>
          <w:p w14:paraId="03B6E537" w14:textId="77777777" w:rsidR="00C91C8D" w:rsidRPr="00BF4BD3" w:rsidRDefault="00C91C8D" w:rsidP="00C91C8D">
            <w:pPr>
              <w:pStyle w:val="ListParagraph"/>
              <w:numPr>
                <w:ilvl w:val="0"/>
                <w:numId w:val="11"/>
              </w:numPr>
              <w:spacing w:after="0" w:line="240" w:lineRule="auto"/>
            </w:pPr>
            <w:r>
              <w:t>Knowledge to make economic, social, and career choices, including self-advocacy and independent living skills,</w:t>
            </w:r>
          </w:p>
          <w:p w14:paraId="1A841B91" w14:textId="77777777" w:rsidR="00C91C8D" w:rsidRDefault="00C91C8D" w:rsidP="00C91C8D">
            <w:pPr>
              <w:pStyle w:val="ListParagraph"/>
              <w:numPr>
                <w:ilvl w:val="0"/>
                <w:numId w:val="11"/>
              </w:numPr>
              <w:spacing w:after="0" w:line="240" w:lineRule="auto"/>
            </w:pPr>
            <w:r>
              <w:t>Understanding of history and governmental process as they affect the community, the state, the nation, and the world,</w:t>
            </w:r>
          </w:p>
          <w:p w14:paraId="59224013" w14:textId="77777777" w:rsidR="00C91C8D" w:rsidRDefault="00C91C8D" w:rsidP="00C91C8D">
            <w:pPr>
              <w:pStyle w:val="ListParagraph"/>
              <w:numPr>
                <w:ilvl w:val="0"/>
                <w:numId w:val="11"/>
              </w:numPr>
              <w:spacing w:after="0" w:line="240" w:lineRule="auto"/>
            </w:pPr>
            <w:r>
              <w:t>Knowledge of mental and physical wellness,</w:t>
            </w:r>
          </w:p>
          <w:p w14:paraId="1200EDCD" w14:textId="77777777" w:rsidR="00C91C8D" w:rsidRDefault="00C91C8D" w:rsidP="00C91C8D">
            <w:pPr>
              <w:pStyle w:val="ListParagraph"/>
              <w:numPr>
                <w:ilvl w:val="0"/>
                <w:numId w:val="11"/>
              </w:numPr>
              <w:spacing w:after="0" w:line="240" w:lineRule="auto"/>
            </w:pPr>
            <w:r>
              <w:t>Arts education to enable each student to appreciate cultural and historical heritage,</w:t>
            </w:r>
          </w:p>
          <w:p w14:paraId="48AF7D3B" w14:textId="77777777" w:rsidR="00C91C8D" w:rsidRPr="00BF4BD3" w:rsidRDefault="00C91C8D" w:rsidP="00C91C8D">
            <w:pPr>
              <w:pStyle w:val="ListParagraph"/>
              <w:numPr>
                <w:ilvl w:val="0"/>
                <w:numId w:val="11"/>
              </w:numPr>
              <w:spacing w:after="0" w:line="240" w:lineRule="auto"/>
            </w:pPr>
            <w:r>
              <w:t>Critical thinking, data analysis, and digital literacy competency for success at the college and career level.</w:t>
            </w:r>
          </w:p>
          <w:p w14:paraId="0F641D46" w14:textId="77777777" w:rsidR="00C91C8D" w:rsidRDefault="00C91C8D" w:rsidP="00C91C8D">
            <w:pPr>
              <w:pStyle w:val="ListParagraph"/>
            </w:pPr>
          </w:p>
          <w:p w14:paraId="0EC3BBEF" w14:textId="77777777" w:rsidR="00C91C8D" w:rsidRDefault="00C91C8D" w:rsidP="00C91C8D"/>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bookmarkEnd w:id="2"/>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9C31F9"/>
    <w:multiLevelType w:val="hybridMultilevel"/>
    <w:tmpl w:val="596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4"/>
  </w:num>
  <w:num w:numId="8">
    <w:abstractNumId w:val="9"/>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A5454D"/>
    <w:rsid w:val="00A613FE"/>
    <w:rsid w:val="00AD4597"/>
    <w:rsid w:val="00B55FE8"/>
    <w:rsid w:val="00B900CA"/>
    <w:rsid w:val="00C53AF6"/>
    <w:rsid w:val="00C91C8D"/>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60AA1D46-CA09-4176-A301-6EA99F7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F3BA-F881-4032-AB29-AEDA5081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2017-03-10T20:11:00Z</dcterms:created>
  <dcterms:modified xsi:type="dcterms:W3CDTF">2017-03-10T20:11:00Z</dcterms:modified>
</cp:coreProperties>
</file>