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A0" w:rsidRDefault="00C337A0" w:rsidP="00C337A0">
      <w:pPr>
        <w:rPr>
          <w:b/>
          <w:sz w:val="24"/>
          <w:szCs w:val="24"/>
        </w:rPr>
      </w:pPr>
      <w:bookmarkStart w:id="0" w:name="_GoBack"/>
      <w:bookmarkEnd w:id="0"/>
      <w:r>
        <w:rPr>
          <w:b/>
          <w:sz w:val="24"/>
          <w:szCs w:val="24"/>
        </w:rPr>
        <w:t>Growth Factor Verification 2016-17</w:t>
      </w:r>
    </w:p>
    <w:p w:rsidR="00C337A0" w:rsidRDefault="00C337A0" w:rsidP="00C337A0">
      <w:pPr>
        <w:rPr>
          <w:b/>
          <w:sz w:val="24"/>
          <w:szCs w:val="24"/>
        </w:rPr>
      </w:pPr>
    </w:p>
    <w:p w:rsidR="00C337A0" w:rsidRDefault="00C337A0" w:rsidP="00C337A0">
      <w:pPr>
        <w:rPr>
          <w:sz w:val="24"/>
          <w:szCs w:val="24"/>
        </w:rPr>
      </w:pPr>
      <w:r>
        <w:rPr>
          <w:sz w:val="24"/>
          <w:szCs w:val="24"/>
        </w:rPr>
        <w:t xml:space="preserve">A reply email, verifying the data mentioned on the two reports listed below, is a requirement in order to have a completed Growth Factor. </w:t>
      </w:r>
    </w:p>
    <w:p w:rsidR="00C337A0" w:rsidRDefault="00C337A0" w:rsidP="00C337A0">
      <w:pPr>
        <w:rPr>
          <w:sz w:val="24"/>
          <w:szCs w:val="24"/>
        </w:rPr>
      </w:pPr>
    </w:p>
    <w:p w:rsidR="00C337A0" w:rsidRDefault="00C337A0" w:rsidP="00C337A0">
      <w:pPr>
        <w:rPr>
          <w:sz w:val="24"/>
          <w:szCs w:val="24"/>
        </w:rPr>
      </w:pPr>
      <w:r>
        <w:rPr>
          <w:b/>
          <w:i/>
          <w:color w:val="FF0000"/>
          <w:sz w:val="24"/>
          <w:szCs w:val="24"/>
          <w:u w:val="single"/>
        </w:rPr>
        <w:t>The verification email must be received no later than November 15th</w:t>
      </w:r>
      <w:r>
        <w:rPr>
          <w:sz w:val="24"/>
          <w:szCs w:val="24"/>
        </w:rPr>
        <w:t xml:space="preserve">. </w:t>
      </w:r>
    </w:p>
    <w:p w:rsidR="00C337A0" w:rsidRDefault="00C337A0" w:rsidP="00C337A0">
      <w:pPr>
        <w:rPr>
          <w:sz w:val="24"/>
          <w:szCs w:val="24"/>
        </w:rPr>
      </w:pPr>
    </w:p>
    <w:p w:rsidR="00C337A0" w:rsidRDefault="00C337A0" w:rsidP="00C337A0">
      <w:pPr>
        <w:pStyle w:val="ListParagraph"/>
        <w:numPr>
          <w:ilvl w:val="0"/>
          <w:numId w:val="1"/>
        </w:numPr>
        <w:rPr>
          <w:b/>
          <w:sz w:val="24"/>
          <w:szCs w:val="24"/>
        </w:rPr>
      </w:pPr>
      <w:r>
        <w:rPr>
          <w:b/>
          <w:sz w:val="24"/>
          <w:szCs w:val="24"/>
        </w:rPr>
        <w:t xml:space="preserve">Growth Factor Summary by School* </w:t>
      </w:r>
    </w:p>
    <w:p w:rsidR="00C337A0" w:rsidRDefault="00C337A0" w:rsidP="00C337A0">
      <w:pPr>
        <w:pStyle w:val="ListParagraph"/>
        <w:spacing w:after="120" w:line="240" w:lineRule="auto"/>
        <w:rPr>
          <w:sz w:val="24"/>
          <w:szCs w:val="24"/>
        </w:rPr>
      </w:pPr>
      <w:r>
        <w:rPr>
          <w:sz w:val="24"/>
          <w:szCs w:val="24"/>
        </w:rPr>
        <w:t>Please verify the following columns on the attached report:</w:t>
      </w:r>
    </w:p>
    <w:p w:rsidR="00C337A0" w:rsidRDefault="00C337A0" w:rsidP="00C337A0">
      <w:pPr>
        <w:pStyle w:val="ListParagraph"/>
        <w:numPr>
          <w:ilvl w:val="0"/>
          <w:numId w:val="2"/>
        </w:numPr>
        <w:rPr>
          <w:sz w:val="24"/>
          <w:szCs w:val="24"/>
        </w:rPr>
      </w:pPr>
      <w:r>
        <w:rPr>
          <w:b/>
          <w:sz w:val="24"/>
          <w:szCs w:val="24"/>
        </w:rPr>
        <w:t>‘</w:t>
      </w:r>
      <w:r>
        <w:rPr>
          <w:sz w:val="24"/>
          <w:szCs w:val="24"/>
        </w:rPr>
        <w:t>K_RPTED’ attendance values (compare to Record 2 of the GF PDF from IC).</w:t>
      </w:r>
    </w:p>
    <w:p w:rsidR="00C337A0" w:rsidRDefault="00C337A0" w:rsidP="00C337A0">
      <w:pPr>
        <w:pStyle w:val="ListParagraph"/>
        <w:numPr>
          <w:ilvl w:val="0"/>
          <w:numId w:val="2"/>
        </w:numPr>
        <w:rPr>
          <w:sz w:val="24"/>
          <w:szCs w:val="24"/>
        </w:rPr>
      </w:pPr>
      <w:r>
        <w:rPr>
          <w:sz w:val="24"/>
          <w:szCs w:val="24"/>
        </w:rPr>
        <w:t>‘1-12_RPTED’ attendance values (compare to Record 2 of the GF PDF from IC).</w:t>
      </w:r>
    </w:p>
    <w:p w:rsidR="00C337A0" w:rsidRDefault="00C337A0" w:rsidP="00C337A0">
      <w:pPr>
        <w:pStyle w:val="ListParagraph"/>
        <w:numPr>
          <w:ilvl w:val="0"/>
          <w:numId w:val="2"/>
        </w:numPr>
        <w:rPr>
          <w:sz w:val="24"/>
          <w:szCs w:val="24"/>
        </w:rPr>
      </w:pPr>
      <w:r>
        <w:rPr>
          <w:sz w:val="24"/>
          <w:szCs w:val="24"/>
        </w:rPr>
        <w:t xml:space="preserve">‘Total </w:t>
      </w:r>
      <w:proofErr w:type="gramStart"/>
      <w:r>
        <w:rPr>
          <w:sz w:val="24"/>
          <w:szCs w:val="24"/>
        </w:rPr>
        <w:t>Before</w:t>
      </w:r>
      <w:proofErr w:type="gramEnd"/>
      <w:r>
        <w:rPr>
          <w:sz w:val="24"/>
          <w:szCs w:val="24"/>
        </w:rPr>
        <w:t xml:space="preserve"> Adjustments’ (K_RPTED + 1-12_RPTED).</w:t>
      </w:r>
    </w:p>
    <w:p w:rsidR="00C337A0" w:rsidRDefault="00C337A0" w:rsidP="00C337A0">
      <w:pPr>
        <w:pStyle w:val="ListParagraph"/>
        <w:numPr>
          <w:ilvl w:val="0"/>
          <w:numId w:val="2"/>
        </w:numPr>
        <w:rPr>
          <w:sz w:val="24"/>
          <w:szCs w:val="24"/>
        </w:rPr>
      </w:pPr>
      <w:r>
        <w:rPr>
          <w:sz w:val="24"/>
          <w:szCs w:val="24"/>
        </w:rPr>
        <w:t>‘OVER/UNDER’ attendance values (compare to Record 4 of the GF PDF from IC).</w:t>
      </w:r>
    </w:p>
    <w:p w:rsidR="00C337A0" w:rsidRDefault="00C337A0" w:rsidP="00C337A0">
      <w:pPr>
        <w:pStyle w:val="ListParagraph"/>
        <w:numPr>
          <w:ilvl w:val="0"/>
          <w:numId w:val="2"/>
        </w:numPr>
        <w:rPr>
          <w:sz w:val="24"/>
          <w:szCs w:val="24"/>
        </w:rPr>
      </w:pPr>
      <w:r>
        <w:rPr>
          <w:sz w:val="24"/>
          <w:szCs w:val="24"/>
        </w:rPr>
        <w:t>‘NONCONT’ attendance values (compare to Record 4 of the GF PDF from IC).</w:t>
      </w:r>
    </w:p>
    <w:p w:rsidR="00C337A0" w:rsidRDefault="00C337A0" w:rsidP="00C337A0">
      <w:pPr>
        <w:pStyle w:val="ListParagraph"/>
        <w:numPr>
          <w:ilvl w:val="0"/>
          <w:numId w:val="2"/>
        </w:numPr>
        <w:rPr>
          <w:sz w:val="24"/>
          <w:szCs w:val="24"/>
        </w:rPr>
      </w:pPr>
      <w:r>
        <w:rPr>
          <w:sz w:val="24"/>
          <w:szCs w:val="24"/>
        </w:rPr>
        <w:t xml:space="preserve">‘ADJ_RPTED’ [Total Before Adjustments – (Over/Under and </w:t>
      </w:r>
      <w:proofErr w:type="spellStart"/>
      <w:r>
        <w:rPr>
          <w:sz w:val="24"/>
          <w:szCs w:val="24"/>
        </w:rPr>
        <w:t>NonCont</w:t>
      </w:r>
      <w:proofErr w:type="spellEnd"/>
      <w:r>
        <w:rPr>
          <w:sz w:val="24"/>
          <w:szCs w:val="24"/>
        </w:rPr>
        <w:t>)]</w:t>
      </w:r>
    </w:p>
    <w:p w:rsidR="00C337A0" w:rsidRDefault="00C337A0" w:rsidP="00C337A0">
      <w:pPr>
        <w:pStyle w:val="ListParagraph"/>
        <w:numPr>
          <w:ilvl w:val="0"/>
          <w:numId w:val="2"/>
        </w:numPr>
        <w:rPr>
          <w:sz w:val="24"/>
          <w:szCs w:val="24"/>
        </w:rPr>
      </w:pPr>
      <w:r>
        <w:rPr>
          <w:sz w:val="24"/>
          <w:szCs w:val="24"/>
        </w:rPr>
        <w:t>‘DAYS TAUGHT’ (number of attendance days in the first two months of school).</w:t>
      </w:r>
    </w:p>
    <w:p w:rsidR="00C337A0" w:rsidRDefault="00C337A0" w:rsidP="00C337A0">
      <w:pPr>
        <w:pStyle w:val="ListParagraph"/>
        <w:numPr>
          <w:ilvl w:val="0"/>
          <w:numId w:val="2"/>
        </w:numPr>
        <w:rPr>
          <w:sz w:val="24"/>
          <w:szCs w:val="24"/>
        </w:rPr>
      </w:pPr>
      <w:r>
        <w:rPr>
          <w:sz w:val="24"/>
          <w:szCs w:val="24"/>
        </w:rPr>
        <w:t xml:space="preserve">‘Full </w:t>
      </w:r>
      <w:proofErr w:type="spellStart"/>
      <w:r>
        <w:rPr>
          <w:sz w:val="24"/>
          <w:szCs w:val="24"/>
        </w:rPr>
        <w:t>Day_AADA</w:t>
      </w:r>
      <w:proofErr w:type="spellEnd"/>
      <w:r>
        <w:rPr>
          <w:sz w:val="24"/>
          <w:szCs w:val="24"/>
        </w:rPr>
        <w:t>’ (ADJ_RPTED divided by Days Taught).</w:t>
      </w:r>
    </w:p>
    <w:p w:rsidR="00C337A0" w:rsidRDefault="00C337A0" w:rsidP="00C337A0">
      <w:pPr>
        <w:pStyle w:val="ListParagraph"/>
        <w:numPr>
          <w:ilvl w:val="0"/>
          <w:numId w:val="2"/>
        </w:numPr>
        <w:rPr>
          <w:sz w:val="24"/>
          <w:szCs w:val="24"/>
        </w:rPr>
      </w:pPr>
      <w:r>
        <w:rPr>
          <w:sz w:val="24"/>
          <w:szCs w:val="24"/>
        </w:rPr>
        <w:t>‘Membership’ (compare to Record 1 of the GF PDF from IC).</w:t>
      </w:r>
    </w:p>
    <w:p w:rsidR="00C337A0" w:rsidRDefault="00C337A0" w:rsidP="00C337A0">
      <w:pPr>
        <w:ind w:left="360"/>
        <w:rPr>
          <w:sz w:val="24"/>
          <w:szCs w:val="24"/>
        </w:rPr>
      </w:pPr>
      <w:r>
        <w:rPr>
          <w:sz w:val="24"/>
          <w:szCs w:val="24"/>
        </w:rPr>
        <w:t xml:space="preserve">The T-Code Attendance Comparison </w:t>
      </w:r>
      <w:r>
        <w:rPr>
          <w:rFonts w:ascii="Times New Roman" w:hAnsi="Times New Roman"/>
          <w:sz w:val="24"/>
          <w:szCs w:val="24"/>
        </w:rPr>
        <w:t>report reflects the aggregate days present by grade and school for both the current year and previous year.  Please review to verify that the correct T-Codes are reflected on the report From the Growth Factor PDF Record 2. This report will also reflect the changes in T-Codes from last school year’s Growth Factor to this year’s Growth Factor.</w:t>
      </w:r>
    </w:p>
    <w:p w:rsidR="00C337A0" w:rsidRDefault="00C337A0" w:rsidP="00C337A0">
      <w:pPr>
        <w:rPr>
          <w:sz w:val="24"/>
          <w:szCs w:val="24"/>
        </w:rPr>
      </w:pPr>
    </w:p>
    <w:p w:rsidR="00C337A0" w:rsidRDefault="004A4432" w:rsidP="00C337A0">
      <w:pPr>
        <w:jc w:val="center"/>
        <w:rPr>
          <w:sz w:val="24"/>
          <w:szCs w:val="24"/>
        </w:rPr>
      </w:pPr>
      <w:r>
        <w:rPr>
          <w:sz w:val="24"/>
          <w:szCs w:val="24"/>
        </w:rPr>
        <w:pict>
          <v:rect id="_x0000_i1025" style="width:468pt;height:1.8pt" o:hralign="center" o:hrstd="t" o:hr="t" fillcolor="#a0a0a0" stroked="f"/>
        </w:pict>
      </w:r>
    </w:p>
    <w:p w:rsidR="00C337A0" w:rsidRDefault="00C337A0" w:rsidP="00C337A0">
      <w:pPr>
        <w:ind w:left="360"/>
        <w:rPr>
          <w:sz w:val="24"/>
          <w:szCs w:val="24"/>
        </w:rPr>
      </w:pPr>
    </w:p>
    <w:p w:rsidR="00C337A0" w:rsidRDefault="00C337A0" w:rsidP="00C337A0">
      <w:pPr>
        <w:pStyle w:val="ListParagraph"/>
        <w:numPr>
          <w:ilvl w:val="0"/>
          <w:numId w:val="1"/>
        </w:numPr>
        <w:rPr>
          <w:b/>
          <w:sz w:val="24"/>
          <w:szCs w:val="24"/>
        </w:rPr>
      </w:pPr>
      <w:r>
        <w:rPr>
          <w:b/>
          <w:sz w:val="24"/>
          <w:szCs w:val="24"/>
        </w:rPr>
        <w:t xml:space="preserve">District Summary Gain Loss Report* </w:t>
      </w:r>
    </w:p>
    <w:tbl>
      <w:tblPr>
        <w:tblW w:w="8204" w:type="dxa"/>
        <w:tblInd w:w="-15" w:type="dxa"/>
        <w:tblLook w:val="04A0" w:firstRow="1" w:lastRow="0" w:firstColumn="1" w:lastColumn="0" w:noHBand="0" w:noVBand="1"/>
      </w:tblPr>
      <w:tblGrid>
        <w:gridCol w:w="8378"/>
      </w:tblGrid>
      <w:tr w:rsidR="00C337A0" w:rsidTr="00C337A0">
        <w:trPr>
          <w:trHeight w:val="260"/>
        </w:trPr>
        <w:tc>
          <w:tcPr>
            <w:tcW w:w="8204" w:type="dxa"/>
            <w:noWrap/>
            <w:vAlign w:val="bottom"/>
            <w:hideMark/>
          </w:tcPr>
          <w:tbl>
            <w:tblPr>
              <w:tblW w:w="7986" w:type="dxa"/>
              <w:tblLook w:val="04A0" w:firstRow="1" w:lastRow="0" w:firstColumn="1" w:lastColumn="0" w:noHBand="0" w:noVBand="1"/>
            </w:tblPr>
            <w:tblGrid>
              <w:gridCol w:w="1120"/>
              <w:gridCol w:w="1285"/>
              <w:gridCol w:w="1120"/>
              <w:gridCol w:w="1120"/>
              <w:gridCol w:w="1120"/>
              <w:gridCol w:w="1120"/>
              <w:gridCol w:w="1277"/>
            </w:tblGrid>
            <w:tr w:rsidR="00C337A0">
              <w:trPr>
                <w:trHeight w:val="255"/>
              </w:trPr>
              <w:tc>
                <w:tcPr>
                  <w:tcW w:w="7986" w:type="dxa"/>
                  <w:gridSpan w:val="7"/>
                  <w:noWrap/>
                  <w:vAlign w:val="bottom"/>
                  <w:hideMark/>
                </w:tcPr>
                <w:p w:rsidR="00C337A0" w:rsidRDefault="00C337A0">
                  <w:pPr>
                    <w:jc w:val="center"/>
                    <w:rPr>
                      <w:rFonts w:cs="Calibri"/>
                      <w:b/>
                      <w:bCs/>
                      <w:color w:val="000000"/>
                      <w:sz w:val="20"/>
                      <w:szCs w:val="20"/>
                    </w:rPr>
                  </w:pPr>
                  <w:r>
                    <w:rPr>
                      <w:rFonts w:cs="Calibri"/>
                      <w:b/>
                      <w:bCs/>
                      <w:color w:val="000000"/>
                      <w:sz w:val="20"/>
                      <w:szCs w:val="20"/>
                    </w:rPr>
                    <w:t>GROWTH FACTOR</w:t>
                  </w:r>
                </w:p>
              </w:tc>
            </w:tr>
            <w:tr w:rsidR="00C337A0">
              <w:trPr>
                <w:trHeight w:val="255"/>
              </w:trPr>
              <w:tc>
                <w:tcPr>
                  <w:tcW w:w="7986" w:type="dxa"/>
                  <w:gridSpan w:val="7"/>
                  <w:noWrap/>
                  <w:vAlign w:val="bottom"/>
                  <w:hideMark/>
                </w:tcPr>
                <w:p w:rsidR="00C337A0" w:rsidRDefault="00C337A0">
                  <w:pPr>
                    <w:jc w:val="center"/>
                    <w:rPr>
                      <w:rFonts w:cs="Calibri"/>
                      <w:b/>
                      <w:bCs/>
                      <w:color w:val="000000"/>
                      <w:sz w:val="20"/>
                      <w:szCs w:val="20"/>
                    </w:rPr>
                  </w:pPr>
                  <w:r>
                    <w:rPr>
                      <w:rFonts w:cs="Calibri"/>
                      <w:b/>
                      <w:bCs/>
                      <w:color w:val="000000"/>
                      <w:sz w:val="20"/>
                      <w:szCs w:val="20"/>
                    </w:rPr>
                    <w:t>DISTRICT SUMMARY GAIN LOSS REPORT</w:t>
                  </w:r>
                </w:p>
              </w:tc>
            </w:tr>
            <w:tr w:rsidR="00C337A0">
              <w:trPr>
                <w:trHeight w:val="255"/>
              </w:trPr>
              <w:tc>
                <w:tcPr>
                  <w:tcW w:w="7986" w:type="dxa"/>
                  <w:gridSpan w:val="7"/>
                  <w:noWrap/>
                  <w:vAlign w:val="bottom"/>
                  <w:hideMark/>
                </w:tcPr>
                <w:p w:rsidR="00C337A0" w:rsidRDefault="00C337A0">
                  <w:pPr>
                    <w:jc w:val="center"/>
                    <w:rPr>
                      <w:rFonts w:cs="Calibri"/>
                      <w:b/>
                      <w:bCs/>
                      <w:color w:val="000000"/>
                      <w:sz w:val="20"/>
                      <w:szCs w:val="20"/>
                    </w:rPr>
                  </w:pPr>
                  <w:r>
                    <w:rPr>
                      <w:rFonts w:cs="Calibri"/>
                      <w:b/>
                      <w:bCs/>
                      <w:color w:val="000000"/>
                      <w:sz w:val="20"/>
                      <w:szCs w:val="20"/>
                    </w:rPr>
                    <w:t>School Year 16-17</w:t>
                  </w:r>
                </w:p>
              </w:tc>
            </w:tr>
            <w:tr w:rsidR="00C337A0">
              <w:trPr>
                <w:trHeight w:val="300"/>
              </w:trPr>
              <w:tc>
                <w:tcPr>
                  <w:tcW w:w="1120" w:type="dxa"/>
                  <w:noWrap/>
                  <w:vAlign w:val="bottom"/>
                  <w:hideMark/>
                </w:tcPr>
                <w:p w:rsidR="00C337A0" w:rsidRDefault="00C337A0"/>
              </w:tc>
              <w:tc>
                <w:tcPr>
                  <w:tcW w:w="1120" w:type="dxa"/>
                  <w:noWrap/>
                  <w:vAlign w:val="bottom"/>
                  <w:hideMark/>
                </w:tcPr>
                <w:p w:rsidR="00C337A0" w:rsidRDefault="00C337A0"/>
              </w:tc>
              <w:tc>
                <w:tcPr>
                  <w:tcW w:w="1120" w:type="dxa"/>
                  <w:noWrap/>
                  <w:vAlign w:val="bottom"/>
                  <w:hideMark/>
                </w:tcPr>
                <w:p w:rsidR="00C337A0" w:rsidRDefault="00C337A0"/>
              </w:tc>
              <w:tc>
                <w:tcPr>
                  <w:tcW w:w="1120" w:type="dxa"/>
                  <w:noWrap/>
                  <w:vAlign w:val="bottom"/>
                  <w:hideMark/>
                </w:tcPr>
                <w:p w:rsidR="00C337A0" w:rsidRDefault="00C337A0"/>
              </w:tc>
              <w:tc>
                <w:tcPr>
                  <w:tcW w:w="1120" w:type="dxa"/>
                  <w:noWrap/>
                  <w:vAlign w:val="bottom"/>
                  <w:hideMark/>
                </w:tcPr>
                <w:p w:rsidR="00C337A0" w:rsidRDefault="00C337A0"/>
              </w:tc>
              <w:tc>
                <w:tcPr>
                  <w:tcW w:w="1120" w:type="dxa"/>
                  <w:noWrap/>
                  <w:vAlign w:val="bottom"/>
                  <w:hideMark/>
                </w:tcPr>
                <w:p w:rsidR="00C337A0" w:rsidRDefault="00C337A0"/>
              </w:tc>
              <w:tc>
                <w:tcPr>
                  <w:tcW w:w="1266" w:type="dxa"/>
                  <w:noWrap/>
                  <w:vAlign w:val="bottom"/>
                  <w:hideMark/>
                </w:tcPr>
                <w:p w:rsidR="00C337A0" w:rsidRDefault="00C337A0"/>
              </w:tc>
            </w:tr>
            <w:tr w:rsidR="00C337A0">
              <w:trPr>
                <w:trHeight w:val="510"/>
              </w:trPr>
              <w:tc>
                <w:tcPr>
                  <w:tcW w:w="1120" w:type="dxa"/>
                  <w:tcBorders>
                    <w:top w:val="single" w:sz="4" w:space="0" w:color="auto"/>
                    <w:left w:val="single" w:sz="4" w:space="0" w:color="auto"/>
                    <w:bottom w:val="single" w:sz="4" w:space="0" w:color="auto"/>
                    <w:right w:val="single" w:sz="4" w:space="0" w:color="auto"/>
                  </w:tcBorders>
                  <w:vAlign w:val="bottom"/>
                  <w:hideMark/>
                </w:tcPr>
                <w:p w:rsidR="00C337A0" w:rsidRDefault="00C337A0">
                  <w:pPr>
                    <w:rPr>
                      <w:rFonts w:cs="Calibri"/>
                      <w:b/>
                      <w:bCs/>
                      <w:color w:val="000000"/>
                      <w:sz w:val="20"/>
                      <w:szCs w:val="20"/>
                    </w:rPr>
                  </w:pPr>
                  <w:r>
                    <w:rPr>
                      <w:rFonts w:cs="Calibri"/>
                      <w:b/>
                      <w:bCs/>
                      <w:color w:val="000000"/>
                      <w:sz w:val="20"/>
                      <w:szCs w:val="20"/>
                    </w:rPr>
                    <w:t>Dist. No.</w:t>
                  </w:r>
                </w:p>
              </w:tc>
              <w:tc>
                <w:tcPr>
                  <w:tcW w:w="1120" w:type="dxa"/>
                  <w:tcBorders>
                    <w:top w:val="single" w:sz="4" w:space="0" w:color="auto"/>
                    <w:left w:val="nil"/>
                    <w:bottom w:val="single" w:sz="4" w:space="0" w:color="auto"/>
                    <w:right w:val="single" w:sz="4" w:space="0" w:color="auto"/>
                  </w:tcBorders>
                  <w:vAlign w:val="bottom"/>
                  <w:hideMark/>
                </w:tcPr>
                <w:p w:rsidR="00C337A0" w:rsidRDefault="00C337A0">
                  <w:pPr>
                    <w:rPr>
                      <w:rFonts w:cs="Calibri"/>
                      <w:b/>
                      <w:bCs/>
                      <w:color w:val="000000"/>
                      <w:sz w:val="20"/>
                      <w:szCs w:val="20"/>
                    </w:rPr>
                  </w:pPr>
                  <w:r>
                    <w:rPr>
                      <w:rFonts w:cs="Calibri"/>
                      <w:b/>
                      <w:bCs/>
                      <w:color w:val="000000"/>
                      <w:sz w:val="20"/>
                      <w:szCs w:val="20"/>
                    </w:rPr>
                    <w:t>District</w:t>
                  </w:r>
                </w:p>
              </w:tc>
              <w:tc>
                <w:tcPr>
                  <w:tcW w:w="1120" w:type="dxa"/>
                  <w:tcBorders>
                    <w:top w:val="single" w:sz="4" w:space="0" w:color="auto"/>
                    <w:left w:val="nil"/>
                    <w:bottom w:val="single" w:sz="4" w:space="0" w:color="auto"/>
                    <w:right w:val="single" w:sz="4" w:space="0" w:color="auto"/>
                  </w:tcBorders>
                  <w:vAlign w:val="bottom"/>
                  <w:hideMark/>
                </w:tcPr>
                <w:p w:rsidR="00C337A0" w:rsidRDefault="00C337A0">
                  <w:pPr>
                    <w:rPr>
                      <w:rFonts w:cs="Calibri"/>
                      <w:b/>
                      <w:bCs/>
                      <w:color w:val="000000"/>
                      <w:sz w:val="20"/>
                      <w:szCs w:val="20"/>
                    </w:rPr>
                  </w:pPr>
                  <w:proofErr w:type="spellStart"/>
                  <w:r>
                    <w:rPr>
                      <w:rFonts w:cs="Calibri"/>
                      <w:b/>
                      <w:bCs/>
                      <w:color w:val="000000"/>
                      <w:sz w:val="20"/>
                      <w:szCs w:val="20"/>
                    </w:rPr>
                    <w:t>Curr</w:t>
                  </w:r>
                  <w:proofErr w:type="spellEnd"/>
                  <w:r>
                    <w:rPr>
                      <w:rFonts w:cs="Calibri"/>
                      <w:b/>
                      <w:bCs/>
                      <w:color w:val="000000"/>
                      <w:sz w:val="20"/>
                      <w:szCs w:val="20"/>
                    </w:rPr>
                    <w:t>. AADA</w:t>
                  </w:r>
                </w:p>
              </w:tc>
              <w:tc>
                <w:tcPr>
                  <w:tcW w:w="1120" w:type="dxa"/>
                  <w:tcBorders>
                    <w:top w:val="single" w:sz="4" w:space="0" w:color="auto"/>
                    <w:left w:val="nil"/>
                    <w:bottom w:val="single" w:sz="4" w:space="0" w:color="auto"/>
                    <w:right w:val="single" w:sz="4" w:space="0" w:color="auto"/>
                  </w:tcBorders>
                  <w:vAlign w:val="bottom"/>
                  <w:hideMark/>
                </w:tcPr>
                <w:p w:rsidR="00C337A0" w:rsidRDefault="00C337A0">
                  <w:pPr>
                    <w:rPr>
                      <w:rFonts w:cs="Calibri"/>
                      <w:b/>
                      <w:bCs/>
                      <w:color w:val="000000"/>
                      <w:sz w:val="20"/>
                      <w:szCs w:val="20"/>
                    </w:rPr>
                  </w:pPr>
                  <w:r>
                    <w:rPr>
                      <w:rFonts w:cs="Calibri"/>
                      <w:b/>
                      <w:bCs/>
                      <w:color w:val="000000"/>
                      <w:sz w:val="20"/>
                      <w:szCs w:val="20"/>
                    </w:rPr>
                    <w:t>Prev. AADA</w:t>
                  </w:r>
                </w:p>
              </w:tc>
              <w:tc>
                <w:tcPr>
                  <w:tcW w:w="1120" w:type="dxa"/>
                  <w:tcBorders>
                    <w:top w:val="single" w:sz="4" w:space="0" w:color="auto"/>
                    <w:left w:val="nil"/>
                    <w:bottom w:val="single" w:sz="4" w:space="0" w:color="auto"/>
                    <w:right w:val="single" w:sz="4" w:space="0" w:color="auto"/>
                  </w:tcBorders>
                  <w:vAlign w:val="bottom"/>
                  <w:hideMark/>
                </w:tcPr>
                <w:p w:rsidR="00C337A0" w:rsidRDefault="00C337A0">
                  <w:pPr>
                    <w:rPr>
                      <w:rFonts w:cs="Calibri"/>
                      <w:b/>
                      <w:bCs/>
                      <w:color w:val="000000"/>
                      <w:sz w:val="20"/>
                      <w:szCs w:val="20"/>
                    </w:rPr>
                  </w:pPr>
                  <w:r>
                    <w:rPr>
                      <w:rFonts w:cs="Calibri"/>
                      <w:b/>
                      <w:bCs/>
                      <w:color w:val="000000"/>
                      <w:sz w:val="20"/>
                      <w:szCs w:val="20"/>
                    </w:rPr>
                    <w:t>Gain/Loss</w:t>
                  </w:r>
                </w:p>
              </w:tc>
              <w:tc>
                <w:tcPr>
                  <w:tcW w:w="1120" w:type="dxa"/>
                  <w:tcBorders>
                    <w:top w:val="single" w:sz="4" w:space="0" w:color="auto"/>
                    <w:left w:val="nil"/>
                    <w:bottom w:val="single" w:sz="4" w:space="0" w:color="auto"/>
                    <w:right w:val="single" w:sz="4" w:space="0" w:color="auto"/>
                  </w:tcBorders>
                  <w:vAlign w:val="bottom"/>
                  <w:hideMark/>
                </w:tcPr>
                <w:p w:rsidR="00C337A0" w:rsidRDefault="00C337A0">
                  <w:pPr>
                    <w:rPr>
                      <w:rFonts w:cs="Calibri"/>
                      <w:b/>
                      <w:bCs/>
                      <w:color w:val="000000"/>
                      <w:sz w:val="20"/>
                      <w:szCs w:val="20"/>
                    </w:rPr>
                  </w:pPr>
                  <w:r>
                    <w:rPr>
                      <w:rFonts w:cs="Calibri"/>
                      <w:b/>
                      <w:bCs/>
                      <w:color w:val="000000"/>
                      <w:sz w:val="20"/>
                      <w:szCs w:val="20"/>
                    </w:rPr>
                    <w:t>Percent</w:t>
                  </w:r>
                </w:p>
              </w:tc>
              <w:tc>
                <w:tcPr>
                  <w:tcW w:w="1266" w:type="dxa"/>
                  <w:tcBorders>
                    <w:top w:val="single" w:sz="4" w:space="0" w:color="auto"/>
                    <w:left w:val="nil"/>
                    <w:bottom w:val="single" w:sz="4" w:space="0" w:color="auto"/>
                    <w:right w:val="single" w:sz="4" w:space="0" w:color="auto"/>
                  </w:tcBorders>
                  <w:vAlign w:val="bottom"/>
                  <w:hideMark/>
                </w:tcPr>
                <w:p w:rsidR="00C337A0" w:rsidRDefault="00C337A0">
                  <w:pPr>
                    <w:rPr>
                      <w:rFonts w:cs="Calibri"/>
                      <w:b/>
                      <w:bCs/>
                      <w:color w:val="000000"/>
                      <w:sz w:val="20"/>
                      <w:szCs w:val="20"/>
                    </w:rPr>
                  </w:pPr>
                  <w:r>
                    <w:rPr>
                      <w:rFonts w:cs="Calibri"/>
                      <w:b/>
                      <w:bCs/>
                      <w:color w:val="000000"/>
                      <w:sz w:val="20"/>
                      <w:szCs w:val="20"/>
                    </w:rPr>
                    <w:t>Membership</w:t>
                  </w:r>
                </w:p>
              </w:tc>
            </w:tr>
            <w:tr w:rsidR="00C337A0">
              <w:trPr>
                <w:trHeight w:val="510"/>
              </w:trPr>
              <w:tc>
                <w:tcPr>
                  <w:tcW w:w="1120" w:type="dxa"/>
                  <w:tcBorders>
                    <w:top w:val="single" w:sz="4" w:space="0" w:color="auto"/>
                    <w:left w:val="single" w:sz="4" w:space="0" w:color="auto"/>
                    <w:bottom w:val="single" w:sz="4" w:space="0" w:color="auto"/>
                    <w:right w:val="single" w:sz="4" w:space="0" w:color="auto"/>
                  </w:tcBorders>
                </w:tcPr>
                <w:p w:rsidR="00C337A0" w:rsidRDefault="00C337A0">
                  <w:pPr>
                    <w:autoSpaceDE w:val="0"/>
                    <w:autoSpaceDN w:val="0"/>
                    <w:adjustRightInd w:val="0"/>
                    <w:jc w:val="right"/>
                    <w:rPr>
                      <w:rFonts w:cs="Calibri"/>
                      <w:b/>
                      <w:sz w:val="20"/>
                      <w:szCs w:val="20"/>
                    </w:rPr>
                  </w:pPr>
                </w:p>
                <w:p w:rsidR="00C337A0" w:rsidRDefault="00C337A0">
                  <w:pPr>
                    <w:autoSpaceDE w:val="0"/>
                    <w:autoSpaceDN w:val="0"/>
                    <w:adjustRightInd w:val="0"/>
                    <w:jc w:val="right"/>
                    <w:rPr>
                      <w:rFonts w:cs="Calibri"/>
                      <w:b/>
                      <w:color w:val="000000"/>
                      <w:sz w:val="20"/>
                      <w:szCs w:val="20"/>
                    </w:rPr>
                  </w:pPr>
                  <w:r>
                    <w:rPr>
                      <w:rFonts w:cs="Calibri"/>
                      <w:b/>
                      <w:color w:val="000000"/>
                      <w:sz w:val="20"/>
                      <w:szCs w:val="20"/>
                    </w:rPr>
                    <w:t>146</w:t>
                  </w:r>
                </w:p>
              </w:tc>
              <w:tc>
                <w:tcPr>
                  <w:tcW w:w="1120" w:type="dxa"/>
                  <w:tcBorders>
                    <w:top w:val="single" w:sz="4" w:space="0" w:color="auto"/>
                    <w:left w:val="nil"/>
                    <w:bottom w:val="single" w:sz="4" w:space="0" w:color="auto"/>
                    <w:right w:val="single" w:sz="4" w:space="0" w:color="auto"/>
                  </w:tcBorders>
                  <w:hideMark/>
                </w:tcPr>
                <w:p w:rsidR="00C337A0" w:rsidRDefault="00C337A0">
                  <w:pPr>
                    <w:autoSpaceDE w:val="0"/>
                    <w:autoSpaceDN w:val="0"/>
                    <w:adjustRightInd w:val="0"/>
                    <w:rPr>
                      <w:rFonts w:cs="Calibri"/>
                      <w:b/>
                      <w:color w:val="000000"/>
                      <w:sz w:val="20"/>
                      <w:szCs w:val="20"/>
                    </w:rPr>
                  </w:pPr>
                  <w:r>
                    <w:rPr>
                      <w:rFonts w:cs="Calibri"/>
                      <w:b/>
                      <w:color w:val="000000"/>
                      <w:sz w:val="20"/>
                      <w:szCs w:val="20"/>
                    </w:rPr>
                    <w:t xml:space="preserve">Dawson Springs Independent                   </w:t>
                  </w:r>
                </w:p>
              </w:tc>
              <w:tc>
                <w:tcPr>
                  <w:tcW w:w="1120" w:type="dxa"/>
                  <w:tcBorders>
                    <w:top w:val="single" w:sz="4" w:space="0" w:color="auto"/>
                    <w:left w:val="nil"/>
                    <w:bottom w:val="single" w:sz="4" w:space="0" w:color="auto"/>
                    <w:right w:val="single" w:sz="4" w:space="0" w:color="auto"/>
                  </w:tcBorders>
                </w:tcPr>
                <w:p w:rsidR="00C337A0" w:rsidRDefault="00C337A0">
                  <w:pPr>
                    <w:autoSpaceDE w:val="0"/>
                    <w:autoSpaceDN w:val="0"/>
                    <w:adjustRightInd w:val="0"/>
                    <w:rPr>
                      <w:b/>
                    </w:rPr>
                  </w:pPr>
                </w:p>
                <w:p w:rsidR="00C337A0" w:rsidRDefault="00C337A0">
                  <w:pPr>
                    <w:autoSpaceDE w:val="0"/>
                    <w:autoSpaceDN w:val="0"/>
                    <w:adjustRightInd w:val="0"/>
                    <w:jc w:val="right"/>
                    <w:rPr>
                      <w:rFonts w:cs="Calibri"/>
                      <w:b/>
                      <w:color w:val="000000"/>
                      <w:sz w:val="20"/>
                      <w:szCs w:val="20"/>
                    </w:rPr>
                  </w:pPr>
                  <w:r>
                    <w:rPr>
                      <w:rFonts w:cs="Calibri"/>
                      <w:b/>
                      <w:color w:val="000000"/>
                      <w:sz w:val="20"/>
                      <w:szCs w:val="20"/>
                    </w:rPr>
                    <w:t>619.308</w:t>
                  </w:r>
                </w:p>
              </w:tc>
              <w:tc>
                <w:tcPr>
                  <w:tcW w:w="1120" w:type="dxa"/>
                  <w:tcBorders>
                    <w:top w:val="single" w:sz="4" w:space="0" w:color="auto"/>
                    <w:left w:val="nil"/>
                    <w:bottom w:val="single" w:sz="4" w:space="0" w:color="auto"/>
                    <w:right w:val="single" w:sz="4" w:space="0" w:color="auto"/>
                  </w:tcBorders>
                </w:tcPr>
                <w:p w:rsidR="00C337A0" w:rsidRDefault="00C337A0">
                  <w:pPr>
                    <w:autoSpaceDE w:val="0"/>
                    <w:autoSpaceDN w:val="0"/>
                    <w:adjustRightInd w:val="0"/>
                    <w:rPr>
                      <w:b/>
                    </w:rPr>
                  </w:pPr>
                </w:p>
                <w:p w:rsidR="00C337A0" w:rsidRDefault="00C337A0">
                  <w:pPr>
                    <w:autoSpaceDE w:val="0"/>
                    <w:autoSpaceDN w:val="0"/>
                    <w:adjustRightInd w:val="0"/>
                    <w:jc w:val="right"/>
                    <w:rPr>
                      <w:rFonts w:cs="Calibri"/>
                      <w:b/>
                      <w:color w:val="000000"/>
                      <w:sz w:val="20"/>
                      <w:szCs w:val="20"/>
                    </w:rPr>
                  </w:pPr>
                  <w:r>
                    <w:rPr>
                      <w:rFonts w:cs="Calibri"/>
                      <w:b/>
                      <w:color w:val="000000"/>
                      <w:sz w:val="20"/>
                      <w:szCs w:val="20"/>
                    </w:rPr>
                    <w:t>596.118</w:t>
                  </w:r>
                </w:p>
              </w:tc>
              <w:tc>
                <w:tcPr>
                  <w:tcW w:w="1120" w:type="dxa"/>
                  <w:tcBorders>
                    <w:top w:val="single" w:sz="4" w:space="0" w:color="auto"/>
                    <w:left w:val="nil"/>
                    <w:bottom w:val="single" w:sz="4" w:space="0" w:color="auto"/>
                    <w:right w:val="single" w:sz="4" w:space="0" w:color="auto"/>
                  </w:tcBorders>
                </w:tcPr>
                <w:p w:rsidR="00C337A0" w:rsidRDefault="00C337A0">
                  <w:pPr>
                    <w:autoSpaceDE w:val="0"/>
                    <w:autoSpaceDN w:val="0"/>
                    <w:adjustRightInd w:val="0"/>
                    <w:rPr>
                      <w:b/>
                    </w:rPr>
                  </w:pPr>
                </w:p>
                <w:p w:rsidR="00C337A0" w:rsidRDefault="00C337A0">
                  <w:pPr>
                    <w:autoSpaceDE w:val="0"/>
                    <w:autoSpaceDN w:val="0"/>
                    <w:adjustRightInd w:val="0"/>
                    <w:jc w:val="right"/>
                    <w:rPr>
                      <w:rFonts w:cs="Calibri"/>
                      <w:b/>
                      <w:color w:val="000000"/>
                      <w:sz w:val="20"/>
                      <w:szCs w:val="20"/>
                    </w:rPr>
                  </w:pPr>
                  <w:r>
                    <w:rPr>
                      <w:rFonts w:cs="Calibri"/>
                      <w:b/>
                      <w:color w:val="000000"/>
                      <w:sz w:val="20"/>
                      <w:szCs w:val="20"/>
                    </w:rPr>
                    <w:t>23.19</w:t>
                  </w:r>
                </w:p>
              </w:tc>
              <w:tc>
                <w:tcPr>
                  <w:tcW w:w="1120" w:type="dxa"/>
                  <w:tcBorders>
                    <w:top w:val="single" w:sz="4" w:space="0" w:color="auto"/>
                    <w:left w:val="nil"/>
                    <w:bottom w:val="single" w:sz="4" w:space="0" w:color="auto"/>
                    <w:right w:val="single" w:sz="4" w:space="0" w:color="auto"/>
                  </w:tcBorders>
                </w:tcPr>
                <w:p w:rsidR="00C337A0" w:rsidRDefault="00C337A0">
                  <w:pPr>
                    <w:autoSpaceDE w:val="0"/>
                    <w:autoSpaceDN w:val="0"/>
                    <w:adjustRightInd w:val="0"/>
                    <w:rPr>
                      <w:b/>
                    </w:rPr>
                  </w:pPr>
                </w:p>
                <w:p w:rsidR="00C337A0" w:rsidRDefault="00C337A0">
                  <w:pPr>
                    <w:autoSpaceDE w:val="0"/>
                    <w:autoSpaceDN w:val="0"/>
                    <w:adjustRightInd w:val="0"/>
                    <w:jc w:val="right"/>
                    <w:rPr>
                      <w:rFonts w:cs="Calibri"/>
                      <w:b/>
                      <w:color w:val="000000"/>
                      <w:sz w:val="20"/>
                      <w:szCs w:val="20"/>
                    </w:rPr>
                  </w:pPr>
                  <w:r>
                    <w:rPr>
                      <w:rFonts w:cs="Calibri"/>
                      <w:b/>
                      <w:color w:val="000000"/>
                      <w:sz w:val="20"/>
                      <w:szCs w:val="20"/>
                    </w:rPr>
                    <w:t>3.8901</w:t>
                  </w:r>
                </w:p>
              </w:tc>
              <w:tc>
                <w:tcPr>
                  <w:tcW w:w="1266" w:type="dxa"/>
                  <w:tcBorders>
                    <w:top w:val="single" w:sz="4" w:space="0" w:color="auto"/>
                    <w:left w:val="nil"/>
                    <w:bottom w:val="single" w:sz="4" w:space="0" w:color="auto"/>
                    <w:right w:val="single" w:sz="4" w:space="0" w:color="auto"/>
                  </w:tcBorders>
                </w:tcPr>
                <w:p w:rsidR="00C337A0" w:rsidRDefault="00C337A0">
                  <w:pPr>
                    <w:autoSpaceDE w:val="0"/>
                    <w:autoSpaceDN w:val="0"/>
                    <w:adjustRightInd w:val="0"/>
                    <w:rPr>
                      <w:b/>
                    </w:rPr>
                  </w:pPr>
                </w:p>
                <w:p w:rsidR="00C337A0" w:rsidRDefault="00C337A0">
                  <w:pPr>
                    <w:autoSpaceDE w:val="0"/>
                    <w:autoSpaceDN w:val="0"/>
                    <w:adjustRightInd w:val="0"/>
                    <w:jc w:val="right"/>
                    <w:rPr>
                      <w:rFonts w:cs="Calibri"/>
                      <w:b/>
                      <w:color w:val="000000"/>
                      <w:sz w:val="20"/>
                      <w:szCs w:val="20"/>
                    </w:rPr>
                  </w:pPr>
                  <w:r>
                    <w:rPr>
                      <w:rFonts w:cs="Calibri"/>
                      <w:b/>
                      <w:color w:val="000000"/>
                      <w:sz w:val="20"/>
                      <w:szCs w:val="20"/>
                    </w:rPr>
                    <w:t>667</w:t>
                  </w:r>
                </w:p>
              </w:tc>
            </w:tr>
          </w:tbl>
          <w:p w:rsidR="00C337A0" w:rsidRDefault="00C337A0">
            <w:pPr>
              <w:jc w:val="center"/>
              <w:rPr>
                <w:b/>
                <w:bCs/>
                <w:color w:val="000000"/>
                <w:sz w:val="24"/>
                <w:szCs w:val="24"/>
              </w:rPr>
            </w:pPr>
          </w:p>
        </w:tc>
      </w:tr>
      <w:tr w:rsidR="00C337A0" w:rsidTr="00C337A0">
        <w:trPr>
          <w:trHeight w:val="260"/>
        </w:trPr>
        <w:tc>
          <w:tcPr>
            <w:tcW w:w="8204" w:type="dxa"/>
            <w:noWrap/>
            <w:vAlign w:val="bottom"/>
          </w:tcPr>
          <w:p w:rsidR="00C337A0" w:rsidRDefault="00C337A0">
            <w:pPr>
              <w:jc w:val="center"/>
              <w:rPr>
                <w:b/>
                <w:bCs/>
                <w:color w:val="000000"/>
                <w:sz w:val="24"/>
                <w:szCs w:val="24"/>
              </w:rPr>
            </w:pPr>
          </w:p>
        </w:tc>
      </w:tr>
    </w:tbl>
    <w:p w:rsidR="00C337A0" w:rsidRDefault="00C337A0" w:rsidP="00C337A0">
      <w:pPr>
        <w:rPr>
          <w:b/>
          <w:i/>
          <w:sz w:val="24"/>
          <w:szCs w:val="24"/>
        </w:rPr>
      </w:pPr>
    </w:p>
    <w:p w:rsidR="00C337A0" w:rsidRDefault="00C337A0" w:rsidP="00C337A0">
      <w:pPr>
        <w:rPr>
          <w:b/>
          <w:i/>
          <w:sz w:val="24"/>
          <w:szCs w:val="24"/>
        </w:rPr>
      </w:pPr>
      <w:r>
        <w:rPr>
          <w:b/>
          <w:i/>
          <w:sz w:val="24"/>
          <w:szCs w:val="24"/>
        </w:rPr>
        <w:lastRenderedPageBreak/>
        <w:t>NOTE:</w:t>
      </w:r>
    </w:p>
    <w:p w:rsidR="00C337A0" w:rsidRDefault="00C337A0" w:rsidP="00C337A0">
      <w:pPr>
        <w:rPr>
          <w:b/>
          <w:i/>
          <w:color w:val="FF0000"/>
          <w:sz w:val="24"/>
          <w:szCs w:val="24"/>
        </w:rPr>
      </w:pPr>
      <w:r>
        <w:rPr>
          <w:b/>
          <w:i/>
          <w:color w:val="FF0000"/>
          <w:sz w:val="24"/>
          <w:szCs w:val="24"/>
        </w:rPr>
        <w:t>The Gain/Loss above reflects only the change from the previous GF AADA to current GF AADA.  The “Growth” on the SEEK calculation is actually the Percent above times the KD adjusted Last SAAR AADA.</w:t>
      </w:r>
    </w:p>
    <w:p w:rsidR="00C337A0" w:rsidRDefault="00C337A0" w:rsidP="00C337A0">
      <w:pPr>
        <w:rPr>
          <w:b/>
          <w:i/>
          <w:sz w:val="24"/>
          <w:szCs w:val="24"/>
        </w:rPr>
      </w:pPr>
    </w:p>
    <w:p w:rsidR="00C337A0" w:rsidRDefault="00C337A0" w:rsidP="00C337A0">
      <w:pPr>
        <w:rPr>
          <w:b/>
          <w:i/>
          <w:sz w:val="24"/>
          <w:szCs w:val="24"/>
        </w:rPr>
      </w:pPr>
      <w:r>
        <w:rPr>
          <w:b/>
          <w:i/>
          <w:sz w:val="24"/>
          <w:szCs w:val="24"/>
        </w:rPr>
        <w:t>*Growth Factor Summary by school reports all grades at full WDHD attendance.</w:t>
      </w:r>
    </w:p>
    <w:p w:rsidR="00C337A0" w:rsidRDefault="00C337A0" w:rsidP="00C337A0">
      <w:pPr>
        <w:rPr>
          <w:b/>
          <w:i/>
          <w:sz w:val="24"/>
          <w:szCs w:val="24"/>
        </w:rPr>
      </w:pPr>
      <w:r>
        <w:rPr>
          <w:b/>
          <w:i/>
          <w:sz w:val="24"/>
          <w:szCs w:val="24"/>
        </w:rPr>
        <w:t>*Growth Factor Summary Gain Loss reports kindergarten utilizing 50% funding level to be used in Support Education Excellence in Kentucky (SEEK).</w:t>
      </w:r>
    </w:p>
    <w:p w:rsidR="00C647A7" w:rsidRDefault="00C647A7"/>
    <w:sectPr w:rsidR="00C647A7" w:rsidSect="00C337A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9D2"/>
    <w:multiLevelType w:val="hybridMultilevel"/>
    <w:tmpl w:val="C42A308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70930DBF"/>
    <w:multiLevelType w:val="hybridMultilevel"/>
    <w:tmpl w:val="1FBA7328"/>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0"/>
    <w:rsid w:val="004A4432"/>
    <w:rsid w:val="00C337A0"/>
    <w:rsid w:val="00C6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A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A0"/>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A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A0"/>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kworkman</dc:creator>
  <cp:lastModifiedBy>Whalen, Leonard</cp:lastModifiedBy>
  <cp:revision>2</cp:revision>
  <dcterms:created xsi:type="dcterms:W3CDTF">2016-11-18T19:51:00Z</dcterms:created>
  <dcterms:modified xsi:type="dcterms:W3CDTF">2016-11-18T19:51:00Z</dcterms:modified>
</cp:coreProperties>
</file>