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24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56"/>
        <w:gridCol w:w="2523"/>
        <w:gridCol w:w="4563"/>
        <w:gridCol w:w="5699"/>
      </w:tblGrid>
      <w:tr w:rsidR="00871CCF" w14:paraId="03F43083" w14:textId="77777777" w:rsidTr="000E643A">
        <w:trPr>
          <w:cantSplit/>
          <w:tblHeader/>
        </w:trPr>
        <w:tc>
          <w:tcPr>
            <w:tcW w:w="456" w:type="dxa"/>
            <w:shd w:val="clear" w:color="auto" w:fill="auto"/>
            <w:vAlign w:val="center"/>
          </w:tcPr>
          <w:p w14:paraId="37F401C2" w14:textId="77777777" w:rsidR="00871CCF" w:rsidRPr="00FE6EB9" w:rsidRDefault="00871CCF" w:rsidP="00101019">
            <w:pPr>
              <w:spacing w:before="120" w:after="120"/>
              <w:jc w:val="center"/>
              <w:rPr>
                <w:b/>
              </w:rPr>
            </w:pPr>
            <w:bookmarkStart w:id="0" w:name="_GoBack"/>
            <w:bookmarkEnd w:id="0"/>
          </w:p>
        </w:tc>
        <w:tc>
          <w:tcPr>
            <w:tcW w:w="2523" w:type="dxa"/>
            <w:shd w:val="clear" w:color="auto" w:fill="auto"/>
          </w:tcPr>
          <w:p w14:paraId="26F436F6" w14:textId="77777777" w:rsidR="00871CCF" w:rsidRPr="00FE6EB9" w:rsidRDefault="00871CCF" w:rsidP="00245DB4">
            <w:pPr>
              <w:spacing w:before="120" w:after="120"/>
              <w:rPr>
                <w:b/>
              </w:rPr>
            </w:pPr>
            <w:r w:rsidRPr="00FE6EB9">
              <w:rPr>
                <w:b/>
              </w:rPr>
              <w:t>Element</w:t>
            </w:r>
          </w:p>
        </w:tc>
        <w:tc>
          <w:tcPr>
            <w:tcW w:w="4563" w:type="dxa"/>
            <w:shd w:val="clear" w:color="auto" w:fill="auto"/>
          </w:tcPr>
          <w:p w14:paraId="01ED39C9" w14:textId="77777777" w:rsidR="00871CCF" w:rsidRPr="000531CA" w:rsidRDefault="001A309C" w:rsidP="00245DB4">
            <w:pPr>
              <w:spacing w:before="120" w:after="120"/>
              <w:rPr>
                <w:b/>
              </w:rPr>
            </w:pPr>
            <w:r>
              <w:rPr>
                <w:b/>
              </w:rPr>
              <w:t>Proposed</w:t>
            </w:r>
            <w:r w:rsidR="00871CCF" w:rsidRPr="000531CA">
              <w:rPr>
                <w:b/>
              </w:rPr>
              <w:t xml:space="preserve"> Contract Provision</w:t>
            </w:r>
          </w:p>
        </w:tc>
        <w:tc>
          <w:tcPr>
            <w:tcW w:w="5699" w:type="dxa"/>
            <w:shd w:val="clear" w:color="auto" w:fill="auto"/>
          </w:tcPr>
          <w:p w14:paraId="04CE9343" w14:textId="77777777" w:rsidR="00871CCF" w:rsidRPr="000531CA" w:rsidRDefault="00871CCF" w:rsidP="00245DB4">
            <w:pPr>
              <w:spacing w:before="120" w:after="120"/>
              <w:rPr>
                <w:b/>
              </w:rPr>
            </w:pPr>
            <w:r w:rsidRPr="000531CA">
              <w:rPr>
                <w:b/>
              </w:rPr>
              <w:t>Comments and Considerations</w:t>
            </w:r>
          </w:p>
        </w:tc>
      </w:tr>
      <w:tr w:rsidR="00871CCF" w14:paraId="43940E2C" w14:textId="77777777" w:rsidTr="000E643A">
        <w:trPr>
          <w:cantSplit/>
        </w:trPr>
        <w:tc>
          <w:tcPr>
            <w:tcW w:w="456" w:type="dxa"/>
            <w:shd w:val="clear" w:color="auto" w:fill="auto"/>
            <w:vAlign w:val="center"/>
          </w:tcPr>
          <w:p w14:paraId="49F5BA6B" w14:textId="77777777" w:rsidR="00871CCF" w:rsidRPr="00FE6EB9" w:rsidRDefault="00871CCF" w:rsidP="00101019">
            <w:pPr>
              <w:spacing w:before="120" w:after="120"/>
              <w:jc w:val="center"/>
              <w:rPr>
                <w:b/>
              </w:rPr>
            </w:pPr>
            <w:r w:rsidRPr="00FE6EB9">
              <w:rPr>
                <w:b/>
              </w:rPr>
              <w:t>1</w:t>
            </w:r>
          </w:p>
        </w:tc>
        <w:tc>
          <w:tcPr>
            <w:tcW w:w="2523" w:type="dxa"/>
            <w:shd w:val="clear" w:color="auto" w:fill="auto"/>
            <w:vAlign w:val="center"/>
          </w:tcPr>
          <w:p w14:paraId="72FD653A" w14:textId="77777777" w:rsidR="00871CCF" w:rsidRPr="00FE6EB9" w:rsidRDefault="00871CCF" w:rsidP="00B13970">
            <w:pPr>
              <w:spacing w:before="120" w:after="120"/>
              <w:rPr>
                <w:b/>
              </w:rPr>
            </w:pPr>
            <w:r w:rsidRPr="00FE6EB9">
              <w:rPr>
                <w:b/>
              </w:rPr>
              <w:t>Term</w:t>
            </w:r>
          </w:p>
        </w:tc>
        <w:tc>
          <w:tcPr>
            <w:tcW w:w="4563" w:type="dxa"/>
            <w:shd w:val="clear" w:color="auto" w:fill="auto"/>
            <w:vAlign w:val="center"/>
          </w:tcPr>
          <w:p w14:paraId="7E214A84" w14:textId="77777777" w:rsidR="00871CCF" w:rsidRDefault="00871CCF" w:rsidP="00B32B43">
            <w:pPr>
              <w:numPr>
                <w:ilvl w:val="0"/>
                <w:numId w:val="36"/>
              </w:numPr>
              <w:spacing w:before="120" w:after="120"/>
              <w:ind w:left="326"/>
            </w:pPr>
            <w:r>
              <w:t>Contract becomes effective upon signing</w:t>
            </w:r>
          </w:p>
          <w:p w14:paraId="5E34B23F" w14:textId="77777777" w:rsidR="00871CCF" w:rsidRDefault="00871CCF" w:rsidP="00B32B43">
            <w:pPr>
              <w:numPr>
                <w:ilvl w:val="0"/>
                <w:numId w:val="36"/>
              </w:numPr>
              <w:spacing w:before="120" w:after="120"/>
              <w:ind w:left="326"/>
            </w:pPr>
            <w:r>
              <w:t>Term of Member-Owned Resourc</w:t>
            </w:r>
            <w:r w:rsidR="00E0218E">
              <w:t>e use and crediting by KyMEA:  T</w:t>
            </w:r>
            <w:r>
              <w:t>en years beginning May 1, 2019</w:t>
            </w:r>
          </w:p>
        </w:tc>
        <w:tc>
          <w:tcPr>
            <w:tcW w:w="5699" w:type="dxa"/>
            <w:shd w:val="clear" w:color="auto" w:fill="auto"/>
            <w:vAlign w:val="center"/>
          </w:tcPr>
          <w:p w14:paraId="26A70450" w14:textId="77777777" w:rsidR="00871CCF" w:rsidRDefault="00871CCF" w:rsidP="00B32B43">
            <w:pPr>
              <w:numPr>
                <w:ilvl w:val="0"/>
                <w:numId w:val="36"/>
              </w:numPr>
              <w:spacing w:before="120" w:after="120"/>
              <w:ind w:left="326"/>
            </w:pPr>
            <w:r>
              <w:t>Parties are committed upon signing</w:t>
            </w:r>
          </w:p>
          <w:p w14:paraId="705D3A57" w14:textId="77777777" w:rsidR="00871CCF" w:rsidRDefault="00871CCF" w:rsidP="00B32B43">
            <w:pPr>
              <w:numPr>
                <w:ilvl w:val="0"/>
                <w:numId w:val="36"/>
              </w:numPr>
              <w:spacing w:before="120" w:after="120"/>
              <w:ind w:left="326"/>
            </w:pPr>
            <w:r>
              <w:t>KyMEA</w:t>
            </w:r>
            <w:r w:rsidR="00007DDB">
              <w:t>’s right to use the resource</w:t>
            </w:r>
            <w:r>
              <w:t xml:space="preserve"> and </w:t>
            </w:r>
            <w:r w:rsidR="00007DDB">
              <w:t xml:space="preserve">the Member’s compensation from KyMEA </w:t>
            </w:r>
            <w:r>
              <w:t xml:space="preserve">are </w:t>
            </w:r>
            <w:r w:rsidR="00AA18A2">
              <w:t>established</w:t>
            </w:r>
            <w:r w:rsidR="00007DDB">
              <w:t xml:space="preserve"> for </w:t>
            </w:r>
            <w:r>
              <w:t>ten years beginning May 1, 2019</w:t>
            </w:r>
          </w:p>
        </w:tc>
      </w:tr>
      <w:tr w:rsidR="00871CCF" w14:paraId="3584FE0A" w14:textId="77777777" w:rsidTr="000E643A">
        <w:trPr>
          <w:cantSplit/>
        </w:trPr>
        <w:tc>
          <w:tcPr>
            <w:tcW w:w="456" w:type="dxa"/>
            <w:shd w:val="clear" w:color="auto" w:fill="auto"/>
            <w:vAlign w:val="center"/>
          </w:tcPr>
          <w:p w14:paraId="21F07D7C" w14:textId="77777777" w:rsidR="00871CCF" w:rsidRPr="00FE6EB9" w:rsidRDefault="00871CCF" w:rsidP="00101019">
            <w:pPr>
              <w:spacing w:before="120" w:after="120"/>
              <w:jc w:val="center"/>
              <w:rPr>
                <w:b/>
              </w:rPr>
            </w:pPr>
            <w:r w:rsidRPr="00FE6EB9">
              <w:rPr>
                <w:b/>
              </w:rPr>
              <w:t>2</w:t>
            </w:r>
          </w:p>
        </w:tc>
        <w:tc>
          <w:tcPr>
            <w:tcW w:w="2523" w:type="dxa"/>
            <w:shd w:val="clear" w:color="auto" w:fill="auto"/>
            <w:vAlign w:val="center"/>
          </w:tcPr>
          <w:p w14:paraId="220ACD2C" w14:textId="77777777" w:rsidR="00871CCF" w:rsidRPr="00FE6EB9" w:rsidRDefault="00871CCF" w:rsidP="00B13970">
            <w:pPr>
              <w:spacing w:before="120" w:after="120"/>
              <w:rPr>
                <w:b/>
              </w:rPr>
            </w:pPr>
            <w:r w:rsidRPr="00FE6EB9">
              <w:rPr>
                <w:b/>
              </w:rPr>
              <w:t>Nature of service</w:t>
            </w:r>
          </w:p>
        </w:tc>
        <w:tc>
          <w:tcPr>
            <w:tcW w:w="4563" w:type="dxa"/>
            <w:shd w:val="clear" w:color="auto" w:fill="auto"/>
            <w:vAlign w:val="center"/>
          </w:tcPr>
          <w:p w14:paraId="136DE3A2" w14:textId="77777777" w:rsidR="00871CCF" w:rsidRDefault="00871CCF" w:rsidP="00B13970">
            <w:pPr>
              <w:spacing w:before="120" w:after="120"/>
            </w:pPr>
            <w:r>
              <w:t xml:space="preserve">KyMEA integrates the Member-Owned Resource into its power supply portfolio and compensates the Owner based on </w:t>
            </w:r>
            <w:r w:rsidR="00400004">
              <w:t xml:space="preserve">the value of </w:t>
            </w:r>
            <w:r>
              <w:t>the resource</w:t>
            </w:r>
            <w:r w:rsidR="00400004">
              <w:t xml:space="preserve"> to KyMEA</w:t>
            </w:r>
          </w:p>
        </w:tc>
        <w:tc>
          <w:tcPr>
            <w:tcW w:w="5699" w:type="dxa"/>
            <w:shd w:val="clear" w:color="auto" w:fill="auto"/>
            <w:vAlign w:val="center"/>
          </w:tcPr>
          <w:p w14:paraId="79C27EBC" w14:textId="77777777" w:rsidR="00871CCF" w:rsidRDefault="00871CCF" w:rsidP="00B13970">
            <w:pPr>
              <w:spacing w:before="120" w:after="120"/>
            </w:pPr>
            <w:r>
              <w:t>As provided in Section 3(d) of the All Requirements Contract</w:t>
            </w:r>
            <w:r w:rsidR="0034390D">
              <w:t>.  Member-Owned Resources are not used to reduce the Member’s billing demands under the All Requirements Contract.</w:t>
            </w:r>
          </w:p>
        </w:tc>
      </w:tr>
      <w:tr w:rsidR="00871CCF" w14:paraId="72AB8C76" w14:textId="77777777" w:rsidTr="000E643A">
        <w:trPr>
          <w:cantSplit/>
        </w:trPr>
        <w:tc>
          <w:tcPr>
            <w:tcW w:w="456" w:type="dxa"/>
            <w:shd w:val="clear" w:color="auto" w:fill="auto"/>
            <w:vAlign w:val="center"/>
          </w:tcPr>
          <w:p w14:paraId="4A129655" w14:textId="77777777" w:rsidR="00871CCF" w:rsidRPr="00FE6EB9" w:rsidRDefault="00871CCF" w:rsidP="00101019">
            <w:pPr>
              <w:spacing w:before="120" w:after="120"/>
              <w:jc w:val="center"/>
              <w:rPr>
                <w:b/>
              </w:rPr>
            </w:pPr>
            <w:r w:rsidRPr="00FE6EB9">
              <w:rPr>
                <w:b/>
              </w:rPr>
              <w:t>3</w:t>
            </w:r>
          </w:p>
        </w:tc>
        <w:tc>
          <w:tcPr>
            <w:tcW w:w="2523" w:type="dxa"/>
            <w:shd w:val="clear" w:color="auto" w:fill="auto"/>
            <w:vAlign w:val="center"/>
          </w:tcPr>
          <w:p w14:paraId="461E0668" w14:textId="77777777" w:rsidR="00871CCF" w:rsidRPr="00FE6EB9" w:rsidRDefault="00007DDB" w:rsidP="00B13970">
            <w:pPr>
              <w:spacing w:before="120" w:after="120"/>
              <w:rPr>
                <w:b/>
              </w:rPr>
            </w:pPr>
            <w:r w:rsidRPr="00FE6EB9">
              <w:rPr>
                <w:b/>
              </w:rPr>
              <w:t xml:space="preserve">KyMEA entitlement to </w:t>
            </w:r>
            <w:r w:rsidR="00B13970" w:rsidRPr="00FE6EB9">
              <w:rPr>
                <w:b/>
              </w:rPr>
              <w:t>use</w:t>
            </w:r>
            <w:r w:rsidRPr="00FE6EB9">
              <w:rPr>
                <w:b/>
              </w:rPr>
              <w:t xml:space="preserve"> </w:t>
            </w:r>
            <w:r w:rsidR="00504978" w:rsidRPr="00FE6EB9">
              <w:rPr>
                <w:b/>
              </w:rPr>
              <w:t>the resource</w:t>
            </w:r>
          </w:p>
        </w:tc>
        <w:tc>
          <w:tcPr>
            <w:tcW w:w="4563" w:type="dxa"/>
            <w:shd w:val="clear" w:color="auto" w:fill="auto"/>
            <w:vAlign w:val="center"/>
          </w:tcPr>
          <w:p w14:paraId="08E8A138" w14:textId="77777777" w:rsidR="00871CCF" w:rsidRDefault="00504978" w:rsidP="00B13970">
            <w:pPr>
              <w:spacing w:before="120" w:after="120"/>
            </w:pPr>
            <w:r>
              <w:t xml:space="preserve">Member authorizes KyMEA to </w:t>
            </w:r>
            <w:r w:rsidR="00AA18A2">
              <w:t xml:space="preserve">schedule and </w:t>
            </w:r>
            <w:r>
              <w:t>use all Attributes of the resource</w:t>
            </w:r>
          </w:p>
        </w:tc>
        <w:tc>
          <w:tcPr>
            <w:tcW w:w="5699" w:type="dxa"/>
            <w:shd w:val="clear" w:color="auto" w:fill="auto"/>
            <w:vAlign w:val="center"/>
          </w:tcPr>
          <w:p w14:paraId="5F7DA839" w14:textId="77777777" w:rsidR="00871CCF" w:rsidRDefault="00504978" w:rsidP="00B13970">
            <w:pPr>
              <w:spacing w:before="120" w:after="120"/>
            </w:pPr>
            <w:r>
              <w:t xml:space="preserve">“Attributes” (defined in AR Contract) include </w:t>
            </w:r>
            <w:r w:rsidR="00AA18A2">
              <w:t xml:space="preserve">capacity, energy, and </w:t>
            </w:r>
            <w:r>
              <w:t xml:space="preserve">all </w:t>
            </w:r>
            <w:r w:rsidR="00AA18A2">
              <w:t xml:space="preserve">other </w:t>
            </w:r>
            <w:r>
              <w:t>aspects of the resource and its output</w:t>
            </w:r>
          </w:p>
        </w:tc>
      </w:tr>
      <w:tr w:rsidR="00871CCF" w14:paraId="371998C2" w14:textId="77777777" w:rsidTr="000E643A">
        <w:trPr>
          <w:cantSplit/>
        </w:trPr>
        <w:tc>
          <w:tcPr>
            <w:tcW w:w="456" w:type="dxa"/>
            <w:shd w:val="clear" w:color="auto" w:fill="auto"/>
            <w:vAlign w:val="center"/>
          </w:tcPr>
          <w:p w14:paraId="3A389170" w14:textId="77777777" w:rsidR="00871CCF" w:rsidRPr="00FE6EB9" w:rsidRDefault="00871CCF" w:rsidP="00101019">
            <w:pPr>
              <w:spacing w:before="120" w:after="120"/>
              <w:jc w:val="center"/>
              <w:rPr>
                <w:b/>
              </w:rPr>
            </w:pPr>
            <w:r w:rsidRPr="00FE6EB9">
              <w:rPr>
                <w:b/>
              </w:rPr>
              <w:t>4</w:t>
            </w:r>
          </w:p>
        </w:tc>
        <w:tc>
          <w:tcPr>
            <w:tcW w:w="2523" w:type="dxa"/>
            <w:shd w:val="clear" w:color="auto" w:fill="auto"/>
            <w:vAlign w:val="center"/>
          </w:tcPr>
          <w:p w14:paraId="27305838" w14:textId="77777777" w:rsidR="00871CCF" w:rsidRPr="00FE6EB9" w:rsidRDefault="00AA18A2" w:rsidP="00B13970">
            <w:pPr>
              <w:spacing w:before="120" w:after="120"/>
              <w:rPr>
                <w:b/>
              </w:rPr>
            </w:pPr>
            <w:r w:rsidRPr="00FE6EB9">
              <w:rPr>
                <w:b/>
              </w:rPr>
              <w:t>Resource operation and maintenance</w:t>
            </w:r>
          </w:p>
        </w:tc>
        <w:tc>
          <w:tcPr>
            <w:tcW w:w="4563" w:type="dxa"/>
            <w:shd w:val="clear" w:color="auto" w:fill="auto"/>
            <w:vAlign w:val="center"/>
          </w:tcPr>
          <w:p w14:paraId="04B530B8" w14:textId="77777777" w:rsidR="000B2325" w:rsidRDefault="00AA18A2" w:rsidP="00A251CF">
            <w:pPr>
              <w:spacing w:before="120" w:after="120"/>
            </w:pPr>
            <w:r>
              <w:t xml:space="preserve">Member is responsible for maintaining the resource </w:t>
            </w:r>
            <w:r w:rsidR="000B2325">
              <w:t xml:space="preserve">in good working condition </w:t>
            </w:r>
            <w:r>
              <w:t>and operating it when called upon</w:t>
            </w:r>
          </w:p>
        </w:tc>
        <w:tc>
          <w:tcPr>
            <w:tcW w:w="5699" w:type="dxa"/>
            <w:shd w:val="clear" w:color="auto" w:fill="auto"/>
            <w:vAlign w:val="center"/>
          </w:tcPr>
          <w:p w14:paraId="361AA430" w14:textId="77777777" w:rsidR="00871CCF" w:rsidRDefault="00AA18A2" w:rsidP="00B13970">
            <w:pPr>
              <w:spacing w:before="120" w:after="120"/>
            </w:pPr>
            <w:r>
              <w:t>Not applicable for SEPA allocations</w:t>
            </w:r>
          </w:p>
        </w:tc>
      </w:tr>
      <w:tr w:rsidR="00871CCF" w14:paraId="7575457A" w14:textId="77777777" w:rsidTr="000E643A">
        <w:trPr>
          <w:cantSplit/>
        </w:trPr>
        <w:tc>
          <w:tcPr>
            <w:tcW w:w="456" w:type="dxa"/>
            <w:shd w:val="clear" w:color="auto" w:fill="auto"/>
            <w:vAlign w:val="center"/>
          </w:tcPr>
          <w:p w14:paraId="6C0623B7" w14:textId="77777777" w:rsidR="00871CCF" w:rsidRPr="00FE6EB9" w:rsidRDefault="00871CCF" w:rsidP="00101019">
            <w:pPr>
              <w:spacing w:before="120" w:after="120"/>
              <w:jc w:val="center"/>
              <w:rPr>
                <w:b/>
              </w:rPr>
            </w:pPr>
            <w:r w:rsidRPr="00FE6EB9">
              <w:rPr>
                <w:b/>
              </w:rPr>
              <w:t>5</w:t>
            </w:r>
          </w:p>
        </w:tc>
        <w:tc>
          <w:tcPr>
            <w:tcW w:w="2523" w:type="dxa"/>
            <w:shd w:val="clear" w:color="auto" w:fill="auto"/>
            <w:vAlign w:val="center"/>
          </w:tcPr>
          <w:p w14:paraId="42950A22" w14:textId="77777777" w:rsidR="00871CCF" w:rsidRPr="00FE6EB9" w:rsidRDefault="00AA18A2" w:rsidP="00B13970">
            <w:pPr>
              <w:spacing w:before="120" w:after="120"/>
              <w:rPr>
                <w:b/>
              </w:rPr>
            </w:pPr>
            <w:r w:rsidRPr="00FE6EB9">
              <w:rPr>
                <w:b/>
              </w:rPr>
              <w:t>Compensation to Member – Capacity</w:t>
            </w:r>
          </w:p>
        </w:tc>
        <w:tc>
          <w:tcPr>
            <w:tcW w:w="4563" w:type="dxa"/>
            <w:shd w:val="clear" w:color="auto" w:fill="auto"/>
            <w:vAlign w:val="center"/>
          </w:tcPr>
          <w:p w14:paraId="6AB28E7E" w14:textId="77777777" w:rsidR="002D0C58" w:rsidRDefault="00AA18A2" w:rsidP="00F6102C">
            <w:pPr>
              <w:numPr>
                <w:ilvl w:val="0"/>
                <w:numId w:val="36"/>
              </w:numPr>
              <w:spacing w:before="120" w:after="120"/>
              <w:ind w:left="326"/>
            </w:pPr>
            <w:r>
              <w:t>Member will receive monthly capacity payments or credits from KyMEA based on the Agency’s net avoided capacity cost</w:t>
            </w:r>
            <w:r w:rsidR="00A251CF">
              <w:t xml:space="preserve"> and the </w:t>
            </w:r>
            <w:r w:rsidR="00DC03F2">
              <w:t xml:space="preserve">resource’s </w:t>
            </w:r>
            <w:r w:rsidR="00A251CF">
              <w:t>accredited capacity rating</w:t>
            </w:r>
            <w:r w:rsidR="002D0C58">
              <w:t>.</w:t>
            </w:r>
          </w:p>
          <w:p w14:paraId="5F11774D" w14:textId="77777777" w:rsidR="00871CCF" w:rsidRDefault="002D0C58" w:rsidP="00F6102C">
            <w:pPr>
              <w:numPr>
                <w:ilvl w:val="0"/>
                <w:numId w:val="36"/>
              </w:numPr>
              <w:spacing w:before="120" w:after="120"/>
              <w:ind w:left="326"/>
            </w:pPr>
            <w:r>
              <w:t>Accredited capacity rating will be defined as the amount of capacity that can be recognized by KyMEA in meeting its capacity requirement.  Capacity will be determined at the input to the LGE/KU transmission system.</w:t>
            </w:r>
          </w:p>
        </w:tc>
        <w:tc>
          <w:tcPr>
            <w:tcW w:w="5699" w:type="dxa"/>
            <w:shd w:val="clear" w:color="auto" w:fill="auto"/>
            <w:vAlign w:val="center"/>
          </w:tcPr>
          <w:p w14:paraId="3C1AA4A8" w14:textId="77777777" w:rsidR="00217468" w:rsidRDefault="00AA18A2" w:rsidP="00217468">
            <w:pPr>
              <w:numPr>
                <w:ilvl w:val="0"/>
                <w:numId w:val="36"/>
              </w:numPr>
              <w:spacing w:before="120" w:after="120"/>
              <w:ind w:left="326"/>
            </w:pPr>
            <w:r>
              <w:t>Pricing based on the Paducah peaking capacity PPA would be $3.85 per kW-month, escalating beginning in year 4.</w:t>
            </w:r>
          </w:p>
          <w:p w14:paraId="652B9925" w14:textId="77777777" w:rsidR="00871CCF" w:rsidRDefault="00400004" w:rsidP="00217468">
            <w:pPr>
              <w:numPr>
                <w:ilvl w:val="0"/>
                <w:numId w:val="36"/>
              </w:numPr>
              <w:spacing w:before="120" w:after="120"/>
              <w:ind w:left="326"/>
            </w:pPr>
            <w:r>
              <w:t xml:space="preserve">Compensation for SEPA allocations will </w:t>
            </w:r>
            <w:r w:rsidR="002D0C58">
              <w:t xml:space="preserve">be based on an accredited capacity that </w:t>
            </w:r>
            <w:r>
              <w:t>include</w:t>
            </w:r>
            <w:r w:rsidR="00042F9C">
              <w:t>s</w:t>
            </w:r>
            <w:r>
              <w:t xml:space="preserve"> an additional 15% </w:t>
            </w:r>
            <w:r w:rsidR="002D0C58">
              <w:t xml:space="preserve">above the Member’s </w:t>
            </w:r>
            <w:r w:rsidR="00042F9C">
              <w:t xml:space="preserve">SEPA </w:t>
            </w:r>
            <w:r w:rsidR="002D0C58">
              <w:t xml:space="preserve">capacity entitlement </w:t>
            </w:r>
            <w:r>
              <w:t xml:space="preserve">to reflect that the </w:t>
            </w:r>
            <w:r w:rsidR="00042F9C">
              <w:t xml:space="preserve">entitlements </w:t>
            </w:r>
            <w:r>
              <w:t>are backed up with reserves.</w:t>
            </w:r>
          </w:p>
          <w:p w14:paraId="549F11A8" w14:textId="77777777" w:rsidR="002D0C58" w:rsidRDefault="002D0C58" w:rsidP="001A4550">
            <w:pPr>
              <w:numPr>
                <w:ilvl w:val="0"/>
                <w:numId w:val="36"/>
              </w:numPr>
              <w:spacing w:before="120" w:after="120"/>
              <w:ind w:left="326"/>
            </w:pPr>
            <w:r>
              <w:t xml:space="preserve">The accredited capacity of the </w:t>
            </w:r>
            <w:r w:rsidR="00042F9C">
              <w:t>Paris diesels will be based on the dependable capacity of the resource</w:t>
            </w:r>
            <w:r w:rsidR="00422605">
              <w:t xml:space="preserve"> determined based on </w:t>
            </w:r>
            <w:r w:rsidR="00F6102C">
              <w:t>Prudent Utility Practice</w:t>
            </w:r>
            <w:r w:rsidR="00422605">
              <w:t>.</w:t>
            </w:r>
          </w:p>
        </w:tc>
      </w:tr>
      <w:tr w:rsidR="00871CCF" w14:paraId="06B279C0" w14:textId="77777777" w:rsidTr="000E643A">
        <w:trPr>
          <w:cantSplit/>
        </w:trPr>
        <w:tc>
          <w:tcPr>
            <w:tcW w:w="456" w:type="dxa"/>
            <w:shd w:val="clear" w:color="auto" w:fill="auto"/>
            <w:vAlign w:val="center"/>
          </w:tcPr>
          <w:p w14:paraId="2EF7454B" w14:textId="77777777" w:rsidR="00871CCF" w:rsidRPr="00FE6EB9" w:rsidRDefault="00871CCF" w:rsidP="00101019">
            <w:pPr>
              <w:spacing w:before="120" w:after="120"/>
              <w:jc w:val="center"/>
              <w:rPr>
                <w:b/>
              </w:rPr>
            </w:pPr>
            <w:r w:rsidRPr="00FE6EB9">
              <w:rPr>
                <w:b/>
              </w:rPr>
              <w:lastRenderedPageBreak/>
              <w:t>6</w:t>
            </w:r>
          </w:p>
        </w:tc>
        <w:tc>
          <w:tcPr>
            <w:tcW w:w="2523" w:type="dxa"/>
            <w:shd w:val="clear" w:color="auto" w:fill="auto"/>
            <w:vAlign w:val="center"/>
          </w:tcPr>
          <w:p w14:paraId="5F2A1E58" w14:textId="77777777" w:rsidR="00871CCF" w:rsidRPr="00FE6EB9" w:rsidRDefault="00AA18A2" w:rsidP="00B13970">
            <w:pPr>
              <w:spacing w:before="120" w:after="120"/>
              <w:rPr>
                <w:b/>
              </w:rPr>
            </w:pPr>
            <w:r w:rsidRPr="00FE6EB9">
              <w:rPr>
                <w:b/>
              </w:rPr>
              <w:t>Compensation to Member – Energy</w:t>
            </w:r>
          </w:p>
        </w:tc>
        <w:tc>
          <w:tcPr>
            <w:tcW w:w="4563" w:type="dxa"/>
            <w:shd w:val="clear" w:color="auto" w:fill="auto"/>
            <w:vAlign w:val="center"/>
          </w:tcPr>
          <w:p w14:paraId="6DDAF679" w14:textId="77777777" w:rsidR="00871CCF" w:rsidRDefault="00AA18A2" w:rsidP="00042F9C">
            <w:pPr>
              <w:spacing w:before="120" w:after="120"/>
            </w:pPr>
            <w:r>
              <w:t xml:space="preserve">Member will be paid </w:t>
            </w:r>
            <w:r w:rsidR="00042F9C">
              <w:t xml:space="preserve">or credited </w:t>
            </w:r>
            <w:r>
              <w:t xml:space="preserve">for the energy produced by the resource.  Price will be based on KyMEA’s </w:t>
            </w:r>
            <w:r w:rsidR="001A309C">
              <w:t xml:space="preserve">actual </w:t>
            </w:r>
            <w:r w:rsidR="002D0C58">
              <w:t xml:space="preserve">avoided </w:t>
            </w:r>
            <w:r>
              <w:t xml:space="preserve">energy cost </w:t>
            </w:r>
            <w:r w:rsidR="001A309C">
              <w:t>each hour</w:t>
            </w:r>
            <w:r>
              <w:t>.</w:t>
            </w:r>
          </w:p>
        </w:tc>
        <w:tc>
          <w:tcPr>
            <w:tcW w:w="5699" w:type="dxa"/>
            <w:shd w:val="clear" w:color="auto" w:fill="auto"/>
            <w:vAlign w:val="center"/>
          </w:tcPr>
          <w:p w14:paraId="042E7E5D" w14:textId="77777777" w:rsidR="00871CCF" w:rsidRDefault="00AA18A2" w:rsidP="00B13970">
            <w:pPr>
              <w:spacing w:before="120" w:after="120"/>
            </w:pPr>
            <w:r>
              <w:t xml:space="preserve">Net avoided energy cost for each hour will be determined after the end of each month </w:t>
            </w:r>
            <w:r w:rsidR="005A24FD">
              <w:t xml:space="preserve">in accordance with </w:t>
            </w:r>
            <w:r>
              <w:t xml:space="preserve">the KyMEA energy pooling </w:t>
            </w:r>
            <w:r w:rsidR="005A24FD">
              <w:t>agreement.</w:t>
            </w:r>
            <w:r w:rsidR="002D0C58">
              <w:t xml:space="preserve"> </w:t>
            </w:r>
          </w:p>
        </w:tc>
      </w:tr>
      <w:tr w:rsidR="00042F9C" w14:paraId="5C401B73" w14:textId="77777777" w:rsidTr="000E643A">
        <w:trPr>
          <w:cantSplit/>
        </w:trPr>
        <w:tc>
          <w:tcPr>
            <w:tcW w:w="456" w:type="dxa"/>
            <w:shd w:val="clear" w:color="auto" w:fill="auto"/>
            <w:vAlign w:val="center"/>
          </w:tcPr>
          <w:p w14:paraId="07F56490" w14:textId="77777777" w:rsidR="00042F9C" w:rsidRPr="00FE6EB9" w:rsidRDefault="00042F9C" w:rsidP="00101019">
            <w:pPr>
              <w:spacing w:before="120" w:after="120"/>
              <w:jc w:val="center"/>
              <w:rPr>
                <w:b/>
              </w:rPr>
            </w:pPr>
            <w:r w:rsidRPr="00FE6EB9">
              <w:rPr>
                <w:b/>
              </w:rPr>
              <w:t>7</w:t>
            </w:r>
          </w:p>
        </w:tc>
        <w:tc>
          <w:tcPr>
            <w:tcW w:w="2523" w:type="dxa"/>
            <w:shd w:val="clear" w:color="auto" w:fill="auto"/>
            <w:vAlign w:val="center"/>
          </w:tcPr>
          <w:p w14:paraId="6C1FA96C" w14:textId="77777777" w:rsidR="00042F9C" w:rsidRPr="00FE6EB9" w:rsidRDefault="00042F9C" w:rsidP="00B13970">
            <w:pPr>
              <w:spacing w:before="120" w:after="120"/>
              <w:rPr>
                <w:b/>
              </w:rPr>
            </w:pPr>
            <w:r w:rsidRPr="00FE6EB9">
              <w:rPr>
                <w:b/>
              </w:rPr>
              <w:t>Compensation to Member – Other Attributes</w:t>
            </w:r>
          </w:p>
        </w:tc>
        <w:tc>
          <w:tcPr>
            <w:tcW w:w="4563" w:type="dxa"/>
            <w:shd w:val="clear" w:color="auto" w:fill="auto"/>
            <w:vAlign w:val="center"/>
          </w:tcPr>
          <w:p w14:paraId="15B38E85" w14:textId="77777777" w:rsidR="00042F9C" w:rsidRDefault="00235FAC" w:rsidP="00235FAC">
            <w:pPr>
              <w:spacing w:before="120" w:after="120"/>
            </w:pPr>
            <w:r>
              <w:t xml:space="preserve">If and </w:t>
            </w:r>
            <w:r w:rsidR="00042F9C">
              <w:t>to the extent KyMEA</w:t>
            </w:r>
            <w:r>
              <w:t>, by use of the Member’s resource,</w:t>
            </w:r>
            <w:r w:rsidR="00042F9C">
              <w:t xml:space="preserve"> avoids </w:t>
            </w:r>
            <w:r>
              <w:t xml:space="preserve">power supply </w:t>
            </w:r>
            <w:r w:rsidR="00042F9C">
              <w:t xml:space="preserve">costs other than </w:t>
            </w:r>
            <w:r>
              <w:t xml:space="preserve">the costs accounted for in reference to </w:t>
            </w:r>
            <w:r w:rsidR="00042F9C">
              <w:t>capacity and energy</w:t>
            </w:r>
            <w:r>
              <w:t xml:space="preserve"> above</w:t>
            </w:r>
            <w:r w:rsidR="00042F9C">
              <w:t xml:space="preserve">, Member will be paid or credited </w:t>
            </w:r>
            <w:r>
              <w:t>for those other avoided costs</w:t>
            </w:r>
            <w:r w:rsidR="00042F9C">
              <w:t>.</w:t>
            </w:r>
          </w:p>
        </w:tc>
        <w:tc>
          <w:tcPr>
            <w:tcW w:w="5699" w:type="dxa"/>
            <w:shd w:val="clear" w:color="auto" w:fill="auto"/>
            <w:vAlign w:val="center"/>
          </w:tcPr>
          <w:p w14:paraId="246F4894" w14:textId="77777777" w:rsidR="00042F9C" w:rsidRDefault="0032164A" w:rsidP="0032164A">
            <w:pPr>
              <w:spacing w:before="120" w:after="120"/>
            </w:pPr>
            <w:r>
              <w:t xml:space="preserve">It is not yet clear whether KyMEA will avoid any other costs by use of the </w:t>
            </w:r>
            <w:r w:rsidR="00042F9C">
              <w:t>Paris diesels or</w:t>
            </w:r>
            <w:r>
              <w:t xml:space="preserve"> SEPA.  Any such costs are expected to be small relative to the anticipated value of capacity and energy provided by these resources.</w:t>
            </w:r>
          </w:p>
        </w:tc>
      </w:tr>
      <w:tr w:rsidR="00042F9C" w14:paraId="0AA38DAC" w14:textId="77777777" w:rsidTr="000E643A">
        <w:trPr>
          <w:cantSplit/>
        </w:trPr>
        <w:tc>
          <w:tcPr>
            <w:tcW w:w="456" w:type="dxa"/>
            <w:shd w:val="clear" w:color="auto" w:fill="auto"/>
            <w:vAlign w:val="center"/>
          </w:tcPr>
          <w:p w14:paraId="2269E1C5" w14:textId="77777777" w:rsidR="00042F9C" w:rsidRPr="00FE6EB9" w:rsidRDefault="00042F9C" w:rsidP="00042F9C">
            <w:pPr>
              <w:spacing w:before="120" w:after="120"/>
              <w:jc w:val="center"/>
              <w:rPr>
                <w:b/>
              </w:rPr>
            </w:pPr>
            <w:r w:rsidRPr="00FE6EB9">
              <w:rPr>
                <w:b/>
              </w:rPr>
              <w:t>8</w:t>
            </w:r>
          </w:p>
        </w:tc>
        <w:tc>
          <w:tcPr>
            <w:tcW w:w="2523" w:type="dxa"/>
            <w:shd w:val="clear" w:color="auto" w:fill="auto"/>
            <w:vAlign w:val="center"/>
          </w:tcPr>
          <w:p w14:paraId="530717FC" w14:textId="77777777" w:rsidR="00042F9C" w:rsidRPr="00FE6EB9" w:rsidRDefault="00042F9C" w:rsidP="00042F9C">
            <w:pPr>
              <w:spacing w:before="120" w:after="120"/>
              <w:rPr>
                <w:b/>
              </w:rPr>
            </w:pPr>
            <w:r w:rsidRPr="00FE6EB9">
              <w:rPr>
                <w:b/>
              </w:rPr>
              <w:t>Resource availability</w:t>
            </w:r>
          </w:p>
        </w:tc>
        <w:tc>
          <w:tcPr>
            <w:tcW w:w="4563" w:type="dxa"/>
            <w:shd w:val="clear" w:color="auto" w:fill="auto"/>
            <w:vAlign w:val="center"/>
          </w:tcPr>
          <w:p w14:paraId="522FFB15" w14:textId="77777777" w:rsidR="00042F9C" w:rsidRDefault="00042F9C" w:rsidP="00422605">
            <w:pPr>
              <w:spacing w:before="120" w:after="120"/>
            </w:pPr>
            <w:r>
              <w:t xml:space="preserve">Member must meet any applicable regulatory and </w:t>
            </w:r>
            <w:r w:rsidR="00F6102C">
              <w:t xml:space="preserve">Prudent Utility Practice </w:t>
            </w:r>
            <w:r>
              <w:t>standards to enable the resource to qualify as a capacity resource for resource adequacy purposes.</w:t>
            </w:r>
          </w:p>
        </w:tc>
        <w:tc>
          <w:tcPr>
            <w:tcW w:w="5699" w:type="dxa"/>
            <w:shd w:val="clear" w:color="auto" w:fill="auto"/>
            <w:vAlign w:val="center"/>
          </w:tcPr>
          <w:p w14:paraId="15C03AFC" w14:textId="77777777" w:rsidR="00042F9C" w:rsidRDefault="00042F9C" w:rsidP="00042F9C">
            <w:pPr>
              <w:spacing w:before="120" w:after="120"/>
            </w:pPr>
            <w:r>
              <w:t>Not an issue for SEPA allocations</w:t>
            </w:r>
          </w:p>
        </w:tc>
      </w:tr>
      <w:tr w:rsidR="00042F9C" w14:paraId="38D1A731" w14:textId="77777777" w:rsidTr="000E643A">
        <w:trPr>
          <w:cantSplit/>
        </w:trPr>
        <w:tc>
          <w:tcPr>
            <w:tcW w:w="456" w:type="dxa"/>
            <w:shd w:val="clear" w:color="auto" w:fill="auto"/>
            <w:vAlign w:val="center"/>
          </w:tcPr>
          <w:p w14:paraId="3F7EB4D5" w14:textId="77777777" w:rsidR="00042F9C" w:rsidRPr="00FE6EB9" w:rsidRDefault="00042F9C" w:rsidP="00042F9C">
            <w:pPr>
              <w:spacing w:before="120" w:after="120"/>
              <w:jc w:val="center"/>
              <w:rPr>
                <w:b/>
              </w:rPr>
            </w:pPr>
            <w:r w:rsidRPr="00FE6EB9">
              <w:rPr>
                <w:b/>
              </w:rPr>
              <w:t>9</w:t>
            </w:r>
          </w:p>
        </w:tc>
        <w:tc>
          <w:tcPr>
            <w:tcW w:w="2523" w:type="dxa"/>
            <w:shd w:val="clear" w:color="auto" w:fill="auto"/>
            <w:vAlign w:val="center"/>
          </w:tcPr>
          <w:p w14:paraId="7AEC35CD" w14:textId="77777777" w:rsidR="00042F9C" w:rsidRPr="00FE6EB9" w:rsidRDefault="00042F9C" w:rsidP="00042F9C">
            <w:pPr>
              <w:spacing w:before="120" w:after="120"/>
              <w:rPr>
                <w:b/>
              </w:rPr>
            </w:pPr>
            <w:r w:rsidRPr="00FE6EB9">
              <w:rPr>
                <w:b/>
              </w:rPr>
              <w:t>Resource performance testing</w:t>
            </w:r>
          </w:p>
        </w:tc>
        <w:tc>
          <w:tcPr>
            <w:tcW w:w="4563" w:type="dxa"/>
            <w:shd w:val="clear" w:color="auto" w:fill="auto"/>
            <w:vAlign w:val="center"/>
          </w:tcPr>
          <w:p w14:paraId="52D9054A" w14:textId="77777777" w:rsidR="00042F9C" w:rsidRDefault="00042F9C" w:rsidP="00042F9C">
            <w:pPr>
              <w:numPr>
                <w:ilvl w:val="0"/>
                <w:numId w:val="36"/>
              </w:numPr>
              <w:spacing w:before="120" w:after="120"/>
              <w:ind w:left="326"/>
            </w:pPr>
            <w:r>
              <w:t>Member must conduct resource performance testing in accordance with Prudent Utility Practice.</w:t>
            </w:r>
          </w:p>
          <w:p w14:paraId="6AACBF9F" w14:textId="77777777" w:rsidR="00042F9C" w:rsidRDefault="00042F9C" w:rsidP="00042F9C">
            <w:pPr>
              <w:numPr>
                <w:ilvl w:val="0"/>
                <w:numId w:val="36"/>
              </w:numPr>
              <w:spacing w:before="120" w:after="120"/>
              <w:ind w:left="326"/>
            </w:pPr>
            <w:r>
              <w:t>KyMEA purchases the test energy at the Agency’s actual hourly avoided energy cost</w:t>
            </w:r>
          </w:p>
        </w:tc>
        <w:tc>
          <w:tcPr>
            <w:tcW w:w="5699" w:type="dxa"/>
            <w:shd w:val="clear" w:color="auto" w:fill="auto"/>
            <w:vAlign w:val="center"/>
          </w:tcPr>
          <w:p w14:paraId="00402B81" w14:textId="77777777" w:rsidR="00042F9C" w:rsidRDefault="00042F9C" w:rsidP="00042F9C">
            <w:pPr>
              <w:spacing w:before="120" w:after="120"/>
            </w:pPr>
            <w:r>
              <w:t>Not applicable for SEPA allocations</w:t>
            </w:r>
          </w:p>
        </w:tc>
      </w:tr>
      <w:tr w:rsidR="00042F9C" w14:paraId="337AEA10" w14:textId="77777777" w:rsidTr="000E643A">
        <w:trPr>
          <w:cantSplit/>
        </w:trPr>
        <w:tc>
          <w:tcPr>
            <w:tcW w:w="456" w:type="dxa"/>
            <w:shd w:val="clear" w:color="auto" w:fill="auto"/>
            <w:vAlign w:val="center"/>
          </w:tcPr>
          <w:p w14:paraId="5E07C689" w14:textId="77777777" w:rsidR="00042F9C" w:rsidRPr="00FE6EB9" w:rsidRDefault="00042F9C" w:rsidP="00042F9C">
            <w:pPr>
              <w:spacing w:before="120" w:after="120"/>
              <w:jc w:val="center"/>
              <w:rPr>
                <w:b/>
              </w:rPr>
            </w:pPr>
            <w:r w:rsidRPr="00FE6EB9">
              <w:rPr>
                <w:b/>
              </w:rPr>
              <w:t>10</w:t>
            </w:r>
          </w:p>
        </w:tc>
        <w:tc>
          <w:tcPr>
            <w:tcW w:w="2523" w:type="dxa"/>
            <w:shd w:val="clear" w:color="auto" w:fill="auto"/>
            <w:vAlign w:val="center"/>
          </w:tcPr>
          <w:p w14:paraId="6B5865C9" w14:textId="77777777" w:rsidR="00042F9C" w:rsidRPr="00FE6EB9" w:rsidRDefault="00042F9C" w:rsidP="00042F9C">
            <w:pPr>
              <w:spacing w:before="120" w:after="120"/>
              <w:rPr>
                <w:b/>
              </w:rPr>
            </w:pPr>
            <w:r w:rsidRPr="00FE6EB9">
              <w:rPr>
                <w:b/>
              </w:rPr>
              <w:t>Member and KyMEA coordination</w:t>
            </w:r>
          </w:p>
        </w:tc>
        <w:tc>
          <w:tcPr>
            <w:tcW w:w="4563" w:type="dxa"/>
            <w:shd w:val="clear" w:color="auto" w:fill="auto"/>
            <w:vAlign w:val="center"/>
          </w:tcPr>
          <w:p w14:paraId="3945BF10" w14:textId="77777777" w:rsidR="00042F9C" w:rsidRDefault="00042F9C" w:rsidP="00042F9C">
            <w:pPr>
              <w:numPr>
                <w:ilvl w:val="0"/>
                <w:numId w:val="36"/>
              </w:numPr>
              <w:spacing w:before="120" w:after="120"/>
              <w:ind w:left="326"/>
            </w:pPr>
            <w:r>
              <w:t>Scheduled maintenance outages to be coordinated with KyMEA</w:t>
            </w:r>
          </w:p>
          <w:p w14:paraId="43BFAA25" w14:textId="77777777" w:rsidR="00042F9C" w:rsidRDefault="00042F9C" w:rsidP="00042F9C">
            <w:pPr>
              <w:numPr>
                <w:ilvl w:val="0"/>
                <w:numId w:val="36"/>
              </w:numPr>
              <w:spacing w:before="120" w:after="120"/>
              <w:ind w:left="326"/>
            </w:pPr>
            <w:r>
              <w:t>Member to keep KyMEA informed of relevant operating conditions or limitations</w:t>
            </w:r>
          </w:p>
        </w:tc>
        <w:tc>
          <w:tcPr>
            <w:tcW w:w="5699" w:type="dxa"/>
            <w:shd w:val="clear" w:color="auto" w:fill="auto"/>
            <w:vAlign w:val="center"/>
          </w:tcPr>
          <w:p w14:paraId="2AEF2569" w14:textId="77777777" w:rsidR="00042F9C" w:rsidRDefault="00042F9C" w:rsidP="00042F9C">
            <w:pPr>
              <w:spacing w:before="120" w:after="120"/>
            </w:pPr>
            <w:r>
              <w:t>Not applicable for SEPA allocations</w:t>
            </w:r>
          </w:p>
        </w:tc>
      </w:tr>
      <w:tr w:rsidR="00042F9C" w14:paraId="707F5A27" w14:textId="77777777" w:rsidTr="000E643A">
        <w:trPr>
          <w:cantSplit/>
        </w:trPr>
        <w:tc>
          <w:tcPr>
            <w:tcW w:w="456" w:type="dxa"/>
            <w:shd w:val="clear" w:color="auto" w:fill="auto"/>
            <w:vAlign w:val="center"/>
          </w:tcPr>
          <w:p w14:paraId="0D723524" w14:textId="77777777" w:rsidR="00042F9C" w:rsidRPr="00FE6EB9" w:rsidRDefault="00042F9C" w:rsidP="00042F9C">
            <w:pPr>
              <w:spacing w:before="120" w:after="120"/>
              <w:jc w:val="center"/>
              <w:rPr>
                <w:b/>
              </w:rPr>
            </w:pPr>
            <w:r w:rsidRPr="00FE6EB9">
              <w:rPr>
                <w:b/>
              </w:rPr>
              <w:lastRenderedPageBreak/>
              <w:t>11</w:t>
            </w:r>
          </w:p>
        </w:tc>
        <w:tc>
          <w:tcPr>
            <w:tcW w:w="2523" w:type="dxa"/>
            <w:shd w:val="clear" w:color="auto" w:fill="auto"/>
            <w:vAlign w:val="center"/>
          </w:tcPr>
          <w:p w14:paraId="716D6AEF" w14:textId="77777777" w:rsidR="00042F9C" w:rsidRPr="00FE6EB9" w:rsidRDefault="00042F9C" w:rsidP="00042F9C">
            <w:pPr>
              <w:spacing w:before="120" w:after="120"/>
              <w:rPr>
                <w:b/>
              </w:rPr>
            </w:pPr>
            <w:r w:rsidRPr="00FE6EB9">
              <w:rPr>
                <w:b/>
              </w:rPr>
              <w:t>Scheduling and dispatch</w:t>
            </w:r>
          </w:p>
        </w:tc>
        <w:tc>
          <w:tcPr>
            <w:tcW w:w="4563" w:type="dxa"/>
            <w:shd w:val="clear" w:color="auto" w:fill="auto"/>
            <w:vAlign w:val="center"/>
          </w:tcPr>
          <w:p w14:paraId="0DAC5042" w14:textId="77777777" w:rsidR="00042F9C" w:rsidRDefault="00042F9C" w:rsidP="00042F9C">
            <w:pPr>
              <w:spacing w:before="120" w:after="120"/>
            </w:pPr>
            <w:r>
              <w:t>KyMEA will provide scheduling and dispatch services for the resource and will honor all physical, contractual, and regulatory limits on resource operation</w:t>
            </w:r>
          </w:p>
        </w:tc>
        <w:tc>
          <w:tcPr>
            <w:tcW w:w="5699" w:type="dxa"/>
            <w:shd w:val="clear" w:color="auto" w:fill="auto"/>
            <w:vAlign w:val="center"/>
          </w:tcPr>
          <w:p w14:paraId="268FAA27" w14:textId="77777777" w:rsidR="00042F9C" w:rsidRDefault="00042F9C" w:rsidP="00042F9C">
            <w:pPr>
              <w:spacing w:before="120" w:after="120"/>
            </w:pPr>
          </w:p>
        </w:tc>
      </w:tr>
      <w:tr w:rsidR="00042F9C" w14:paraId="6963F856" w14:textId="77777777" w:rsidTr="000E643A">
        <w:trPr>
          <w:cantSplit/>
        </w:trPr>
        <w:tc>
          <w:tcPr>
            <w:tcW w:w="456" w:type="dxa"/>
            <w:shd w:val="clear" w:color="auto" w:fill="auto"/>
            <w:vAlign w:val="center"/>
          </w:tcPr>
          <w:p w14:paraId="60B28F04" w14:textId="77777777" w:rsidR="00042F9C" w:rsidRPr="00FE6EB9" w:rsidRDefault="00042F9C" w:rsidP="00042F9C">
            <w:pPr>
              <w:spacing w:before="120" w:after="120"/>
              <w:jc w:val="center"/>
              <w:rPr>
                <w:b/>
              </w:rPr>
            </w:pPr>
            <w:r w:rsidRPr="00FE6EB9">
              <w:rPr>
                <w:b/>
              </w:rPr>
              <w:t>12</w:t>
            </w:r>
          </w:p>
        </w:tc>
        <w:tc>
          <w:tcPr>
            <w:tcW w:w="2523" w:type="dxa"/>
            <w:shd w:val="clear" w:color="auto" w:fill="auto"/>
            <w:vAlign w:val="center"/>
          </w:tcPr>
          <w:p w14:paraId="3D25683E" w14:textId="77777777" w:rsidR="00042F9C" w:rsidRPr="00FE6EB9" w:rsidRDefault="00042F9C" w:rsidP="00042F9C">
            <w:pPr>
              <w:spacing w:before="120" w:after="120"/>
              <w:rPr>
                <w:b/>
              </w:rPr>
            </w:pPr>
            <w:r w:rsidRPr="00FE6EB9">
              <w:rPr>
                <w:b/>
              </w:rPr>
              <w:t>Metering and communications</w:t>
            </w:r>
          </w:p>
        </w:tc>
        <w:tc>
          <w:tcPr>
            <w:tcW w:w="4563" w:type="dxa"/>
            <w:shd w:val="clear" w:color="auto" w:fill="auto"/>
            <w:vAlign w:val="center"/>
          </w:tcPr>
          <w:p w14:paraId="5F1CD98E" w14:textId="77777777" w:rsidR="00042F9C" w:rsidRDefault="00042F9C" w:rsidP="00042F9C">
            <w:pPr>
              <w:spacing w:before="120" w:after="120"/>
            </w:pPr>
            <w:r>
              <w:t>KyMEA will furnish, at the Member’s expense, any additional metering and communications equipment needed to implement this agreement</w:t>
            </w:r>
          </w:p>
        </w:tc>
        <w:tc>
          <w:tcPr>
            <w:tcW w:w="5699" w:type="dxa"/>
            <w:shd w:val="clear" w:color="auto" w:fill="auto"/>
            <w:vAlign w:val="center"/>
          </w:tcPr>
          <w:p w14:paraId="70D2FDEA" w14:textId="77777777" w:rsidR="00042F9C" w:rsidRDefault="00042F9C" w:rsidP="00042F9C">
            <w:pPr>
              <w:spacing w:before="120" w:after="120"/>
            </w:pPr>
            <w:r>
              <w:t>Not applicable for SEPA allocations</w:t>
            </w:r>
          </w:p>
        </w:tc>
      </w:tr>
      <w:tr w:rsidR="00042F9C" w14:paraId="1CA36714" w14:textId="77777777" w:rsidTr="000E643A">
        <w:trPr>
          <w:cantSplit/>
        </w:trPr>
        <w:tc>
          <w:tcPr>
            <w:tcW w:w="456" w:type="dxa"/>
            <w:tcBorders>
              <w:bottom w:val="single" w:sz="4" w:space="0" w:color="auto"/>
            </w:tcBorders>
            <w:shd w:val="clear" w:color="auto" w:fill="auto"/>
            <w:vAlign w:val="center"/>
          </w:tcPr>
          <w:p w14:paraId="3B3ADEAC" w14:textId="77777777" w:rsidR="00042F9C" w:rsidRPr="00FE6EB9" w:rsidRDefault="00042F9C" w:rsidP="00042F9C">
            <w:pPr>
              <w:spacing w:before="120" w:after="120"/>
              <w:jc w:val="center"/>
              <w:rPr>
                <w:b/>
              </w:rPr>
            </w:pPr>
            <w:r w:rsidRPr="00FE6EB9">
              <w:rPr>
                <w:b/>
              </w:rPr>
              <w:t>13</w:t>
            </w:r>
          </w:p>
        </w:tc>
        <w:tc>
          <w:tcPr>
            <w:tcW w:w="2523" w:type="dxa"/>
            <w:shd w:val="clear" w:color="auto" w:fill="auto"/>
            <w:vAlign w:val="center"/>
          </w:tcPr>
          <w:p w14:paraId="5C7D47BF" w14:textId="77777777" w:rsidR="00042F9C" w:rsidRPr="00FE6EB9" w:rsidRDefault="00042F9C" w:rsidP="00042F9C">
            <w:pPr>
              <w:spacing w:before="120" w:after="120"/>
              <w:rPr>
                <w:b/>
              </w:rPr>
            </w:pPr>
            <w:r w:rsidRPr="00FE6EB9">
              <w:rPr>
                <w:b/>
              </w:rPr>
              <w:t>Transmission</w:t>
            </w:r>
          </w:p>
        </w:tc>
        <w:tc>
          <w:tcPr>
            <w:tcW w:w="4563" w:type="dxa"/>
            <w:shd w:val="clear" w:color="auto" w:fill="auto"/>
            <w:vAlign w:val="center"/>
          </w:tcPr>
          <w:p w14:paraId="4D364D5E" w14:textId="77777777" w:rsidR="00042F9C" w:rsidRDefault="00042F9C" w:rsidP="00042F9C">
            <w:pPr>
              <w:spacing w:before="120" w:after="120"/>
            </w:pPr>
            <w:r>
              <w:t>KyMEA will arrange for the transmission and ancillary services needed to implement this agreement.</w:t>
            </w:r>
          </w:p>
        </w:tc>
        <w:tc>
          <w:tcPr>
            <w:tcW w:w="5699" w:type="dxa"/>
            <w:shd w:val="clear" w:color="auto" w:fill="auto"/>
            <w:vAlign w:val="center"/>
          </w:tcPr>
          <w:p w14:paraId="3742E6F7" w14:textId="77777777" w:rsidR="00042F9C" w:rsidRDefault="00042F9C" w:rsidP="00042F9C">
            <w:pPr>
              <w:spacing w:before="120" w:after="120"/>
            </w:pPr>
          </w:p>
        </w:tc>
      </w:tr>
      <w:tr w:rsidR="00042F9C" w14:paraId="61F506D3" w14:textId="77777777" w:rsidTr="000E643A">
        <w:trPr>
          <w:cantSplit/>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43B61978" w14:textId="77777777" w:rsidR="00042F9C" w:rsidRPr="00FE6EB9" w:rsidRDefault="00042F9C" w:rsidP="00042F9C">
            <w:pPr>
              <w:spacing w:before="120" w:after="120"/>
              <w:jc w:val="center"/>
              <w:rPr>
                <w:b/>
              </w:rPr>
            </w:pPr>
            <w:r w:rsidRPr="00FE6EB9">
              <w:rPr>
                <w:b/>
              </w:rPr>
              <w:t>14</w:t>
            </w:r>
          </w:p>
        </w:tc>
        <w:tc>
          <w:tcPr>
            <w:tcW w:w="2523" w:type="dxa"/>
            <w:tcBorders>
              <w:left w:val="single" w:sz="4" w:space="0" w:color="auto"/>
            </w:tcBorders>
            <w:shd w:val="clear" w:color="auto" w:fill="auto"/>
            <w:vAlign w:val="center"/>
          </w:tcPr>
          <w:p w14:paraId="3BFBFB11" w14:textId="77777777" w:rsidR="00042F9C" w:rsidRPr="00FE6EB9" w:rsidRDefault="00042F9C" w:rsidP="00042F9C">
            <w:pPr>
              <w:spacing w:before="120" w:after="120"/>
              <w:rPr>
                <w:b/>
              </w:rPr>
            </w:pPr>
            <w:r w:rsidRPr="00FE6EB9">
              <w:rPr>
                <w:b/>
              </w:rPr>
              <w:t>Miscellaneous</w:t>
            </w:r>
          </w:p>
        </w:tc>
        <w:tc>
          <w:tcPr>
            <w:tcW w:w="4563" w:type="dxa"/>
            <w:shd w:val="clear" w:color="auto" w:fill="auto"/>
            <w:vAlign w:val="center"/>
          </w:tcPr>
          <w:p w14:paraId="4CDB9949" w14:textId="77777777" w:rsidR="00042F9C" w:rsidRDefault="00042F9C" w:rsidP="00042F9C">
            <w:pPr>
              <w:numPr>
                <w:ilvl w:val="0"/>
                <w:numId w:val="34"/>
              </w:numPr>
              <w:spacing w:before="120" w:after="120"/>
            </w:pPr>
            <w:r>
              <w:t>Indemnification and limitation on damages</w:t>
            </w:r>
          </w:p>
          <w:p w14:paraId="1F9464C1" w14:textId="77777777" w:rsidR="00042F9C" w:rsidRDefault="00042F9C" w:rsidP="00042F9C">
            <w:pPr>
              <w:numPr>
                <w:ilvl w:val="0"/>
                <w:numId w:val="34"/>
              </w:numPr>
              <w:spacing w:before="120" w:after="120"/>
            </w:pPr>
            <w:r>
              <w:t>Dispute resolution procedures?</w:t>
            </w:r>
          </w:p>
          <w:p w14:paraId="1AEA14C9" w14:textId="77777777" w:rsidR="00042F9C" w:rsidRDefault="00042F9C" w:rsidP="00042F9C">
            <w:pPr>
              <w:numPr>
                <w:ilvl w:val="0"/>
                <w:numId w:val="34"/>
              </w:numPr>
              <w:spacing w:before="120" w:after="120"/>
            </w:pPr>
            <w:r>
              <w:t>Uncontrollable forces</w:t>
            </w:r>
          </w:p>
          <w:p w14:paraId="212C203D" w14:textId="77777777" w:rsidR="00042F9C" w:rsidRDefault="00042F9C" w:rsidP="00042F9C">
            <w:pPr>
              <w:numPr>
                <w:ilvl w:val="0"/>
                <w:numId w:val="34"/>
              </w:numPr>
              <w:spacing w:before="120" w:after="120"/>
            </w:pPr>
            <w:r>
              <w:t>Assignment of agreement</w:t>
            </w:r>
          </w:p>
          <w:p w14:paraId="34DD86FF" w14:textId="77777777" w:rsidR="00042F9C" w:rsidRDefault="00042F9C" w:rsidP="00042F9C">
            <w:pPr>
              <w:numPr>
                <w:ilvl w:val="0"/>
                <w:numId w:val="34"/>
              </w:numPr>
              <w:spacing w:before="120" w:after="120"/>
            </w:pPr>
            <w:r>
              <w:t>Representations as to validity and legality of agreement</w:t>
            </w:r>
          </w:p>
          <w:p w14:paraId="3190BF60" w14:textId="77777777" w:rsidR="00042F9C" w:rsidRDefault="00042F9C" w:rsidP="00042F9C">
            <w:pPr>
              <w:numPr>
                <w:ilvl w:val="0"/>
                <w:numId w:val="34"/>
              </w:numPr>
              <w:spacing w:before="120" w:after="120"/>
            </w:pPr>
            <w:r>
              <w:t>Waiver</w:t>
            </w:r>
          </w:p>
          <w:p w14:paraId="190A9E71" w14:textId="77777777" w:rsidR="00042F9C" w:rsidRDefault="00042F9C" w:rsidP="00042F9C">
            <w:pPr>
              <w:numPr>
                <w:ilvl w:val="0"/>
                <w:numId w:val="34"/>
              </w:numPr>
              <w:spacing w:before="120" w:after="120"/>
            </w:pPr>
            <w:r>
              <w:t>Severability</w:t>
            </w:r>
          </w:p>
          <w:p w14:paraId="476D235A" w14:textId="77777777" w:rsidR="00042F9C" w:rsidRDefault="00042F9C" w:rsidP="00042F9C">
            <w:pPr>
              <w:numPr>
                <w:ilvl w:val="0"/>
                <w:numId w:val="34"/>
              </w:numPr>
              <w:spacing w:before="120" w:after="120"/>
            </w:pPr>
            <w:r>
              <w:t>Applicable law (Kentucky)</w:t>
            </w:r>
          </w:p>
          <w:p w14:paraId="40F2066B" w14:textId="77777777" w:rsidR="00042F9C" w:rsidRDefault="00042F9C" w:rsidP="00042F9C">
            <w:pPr>
              <w:spacing w:before="120" w:after="120"/>
              <w:ind w:left="360"/>
            </w:pPr>
          </w:p>
        </w:tc>
        <w:tc>
          <w:tcPr>
            <w:tcW w:w="5699" w:type="dxa"/>
            <w:shd w:val="clear" w:color="auto" w:fill="auto"/>
            <w:vAlign w:val="center"/>
          </w:tcPr>
          <w:p w14:paraId="1FECFEBB" w14:textId="77777777" w:rsidR="00042F9C" w:rsidRDefault="00042F9C" w:rsidP="00042F9C">
            <w:pPr>
              <w:spacing w:before="120" w:after="120"/>
            </w:pPr>
          </w:p>
        </w:tc>
      </w:tr>
    </w:tbl>
    <w:p w14:paraId="1013C404" w14:textId="77777777" w:rsidR="00871CCF" w:rsidRPr="00D609ED" w:rsidRDefault="00871CCF" w:rsidP="00606A07">
      <w:pPr>
        <w:spacing w:after="240"/>
      </w:pPr>
    </w:p>
    <w:sectPr w:rsidR="00871CCF" w:rsidRPr="00D609ED" w:rsidSect="00DE6FEB">
      <w:headerReference w:type="default" r:id="rId11"/>
      <w:footerReference w:type="default" r:id="rId12"/>
      <w:headerReference w:type="first" r:id="rId13"/>
      <w:pgSz w:w="15840" w:h="12240" w:orient="landscape" w:code="1"/>
      <w:pgMar w:top="1152"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32AEF" w14:textId="77777777" w:rsidR="008D5711" w:rsidRDefault="008D5711" w:rsidP="002B6267">
      <w:r>
        <w:separator/>
      </w:r>
    </w:p>
  </w:endnote>
  <w:endnote w:type="continuationSeparator" w:id="0">
    <w:p w14:paraId="2D35DE0C" w14:textId="77777777" w:rsidR="008D5711" w:rsidRDefault="008D5711" w:rsidP="002B6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A32A5" w14:textId="77777777" w:rsidR="00DE6FEB" w:rsidRDefault="00DE6FEB" w:rsidP="00DE6FEB">
    <w:pPr>
      <w:pStyle w:val="Footer"/>
      <w:jc w:val="center"/>
    </w:pPr>
    <w:r>
      <w:t xml:space="preserve">- </w:t>
    </w:r>
    <w:r>
      <w:fldChar w:fldCharType="begin"/>
    </w:r>
    <w:r>
      <w:instrText xml:space="preserve"> PAGE   \* MERGEFORMAT </w:instrText>
    </w:r>
    <w:r>
      <w:fldChar w:fldCharType="separate"/>
    </w:r>
    <w:r w:rsidR="00D449DE">
      <w:rPr>
        <w:noProof/>
      </w:rPr>
      <w:t>3</w:t>
    </w:r>
    <w:r>
      <w:rPr>
        <w:noProof/>
      </w:rPr>
      <w:fldChar w:fldCharType="end"/>
    </w:r>
    <w:r>
      <w:rPr>
        <w:noProof/>
      </w:rPr>
      <w:t xml:space="preserve"> -</w:t>
    </w:r>
  </w:p>
  <w:p w14:paraId="2E05E319" w14:textId="77777777" w:rsidR="00DE6FEB" w:rsidRDefault="00DE6F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A6769" w14:textId="77777777" w:rsidR="008D5711" w:rsidRDefault="008D5711" w:rsidP="002B6267">
      <w:r>
        <w:separator/>
      </w:r>
    </w:p>
  </w:footnote>
  <w:footnote w:type="continuationSeparator" w:id="0">
    <w:p w14:paraId="41A87603" w14:textId="77777777" w:rsidR="008D5711" w:rsidRDefault="008D5711" w:rsidP="002B6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8AB8D" w14:textId="77777777" w:rsidR="00235FAC" w:rsidRDefault="00235FAC" w:rsidP="00235FAC">
    <w:pPr>
      <w:pStyle w:val="Header"/>
      <w:jc w:val="center"/>
      <w:rPr>
        <w:b/>
        <w:sz w:val="28"/>
        <w:szCs w:val="28"/>
      </w:rPr>
    </w:pPr>
    <w:r w:rsidRPr="000531CA">
      <w:rPr>
        <w:b/>
        <w:sz w:val="28"/>
        <w:szCs w:val="28"/>
      </w:rPr>
      <w:t>Concepts for KyMEA Contract</w:t>
    </w:r>
    <w:r>
      <w:rPr>
        <w:b/>
        <w:sz w:val="28"/>
        <w:szCs w:val="28"/>
      </w:rPr>
      <w:t>s</w:t>
    </w:r>
    <w:r w:rsidRPr="000531CA">
      <w:rPr>
        <w:b/>
        <w:sz w:val="28"/>
        <w:szCs w:val="28"/>
      </w:rPr>
      <w:t xml:space="preserve"> </w:t>
    </w:r>
    <w:r>
      <w:rPr>
        <w:b/>
        <w:sz w:val="28"/>
        <w:szCs w:val="28"/>
      </w:rPr>
      <w:t>for Member-Owned Resources</w:t>
    </w:r>
  </w:p>
  <w:p w14:paraId="67A9F558" w14:textId="77777777" w:rsidR="00235FAC" w:rsidRDefault="00235F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81454" w14:textId="77777777" w:rsidR="00235FAC" w:rsidRDefault="00235FAC" w:rsidP="00235FAC">
    <w:pPr>
      <w:pStyle w:val="Header"/>
      <w:jc w:val="center"/>
      <w:rPr>
        <w:b/>
        <w:sz w:val="28"/>
        <w:szCs w:val="28"/>
      </w:rPr>
    </w:pPr>
    <w:r w:rsidRPr="000531CA">
      <w:rPr>
        <w:b/>
        <w:sz w:val="28"/>
        <w:szCs w:val="28"/>
      </w:rPr>
      <w:t>Concepts for KyMEA Contract</w:t>
    </w:r>
    <w:r>
      <w:rPr>
        <w:b/>
        <w:sz w:val="28"/>
        <w:szCs w:val="28"/>
      </w:rPr>
      <w:t>s</w:t>
    </w:r>
    <w:r w:rsidRPr="000531CA">
      <w:rPr>
        <w:b/>
        <w:sz w:val="28"/>
        <w:szCs w:val="28"/>
      </w:rPr>
      <w:t xml:space="preserve"> </w:t>
    </w:r>
    <w:r>
      <w:rPr>
        <w:b/>
        <w:sz w:val="28"/>
        <w:szCs w:val="28"/>
      </w:rPr>
      <w:t>for Member-Owned Resources</w:t>
    </w:r>
  </w:p>
  <w:p w14:paraId="5D209F60" w14:textId="77777777" w:rsidR="00235FAC" w:rsidRDefault="00235F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C816AA0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3A26EA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EB35EB"/>
    <w:multiLevelType w:val="multilevel"/>
    <w:tmpl w:val="669E2FC0"/>
    <w:styleLink w:val="ListNumber25"/>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3" w15:restartNumberingAfterBreak="0">
    <w:nsid w:val="08AE1B1C"/>
    <w:multiLevelType w:val="multilevel"/>
    <w:tmpl w:val="C7827B6C"/>
    <w:styleLink w:val="Legal11512"/>
    <w:lvl w:ilvl="0">
      <w:start w:val="1"/>
      <w:numFmt w:val="decimal"/>
      <w:lvlText w:val="%1."/>
      <w:lvlJc w:val="left"/>
      <w:pPr>
        <w:ind w:left="720" w:hanging="720"/>
      </w:pPr>
      <w:rPr>
        <w:rFonts w:hint="default"/>
      </w:rPr>
    </w:lvl>
    <w:lvl w:ilvl="1">
      <w:start w:val="1"/>
      <w:numFmt w:val="decimal"/>
      <w:lvlText w:val="%1.%2."/>
      <w:lvlJc w:val="left"/>
      <w:pPr>
        <w:tabs>
          <w:tab w:val="num" w:pos="7200"/>
        </w:tabs>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 w15:restartNumberingAfterBreak="0">
    <w:nsid w:val="18CB65F6"/>
    <w:multiLevelType w:val="multilevel"/>
    <w:tmpl w:val="14C6661A"/>
    <w:styleLink w:val="ListNumbers"/>
    <w:lvl w:ilvl="0">
      <w:start w:val="1"/>
      <w:numFmt w:val="upperRoman"/>
      <w:pStyle w:val="ListNumber"/>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righ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decimal"/>
      <w:lvlText w:val="%9."/>
      <w:lvlJc w:val="right"/>
      <w:pPr>
        <w:ind w:left="6480" w:hanging="720"/>
      </w:pPr>
      <w:rPr>
        <w:rFonts w:hint="default"/>
      </w:rPr>
    </w:lvl>
  </w:abstractNum>
  <w:abstractNum w:abstractNumId="5" w15:restartNumberingAfterBreak="0">
    <w:nsid w:val="19417771"/>
    <w:multiLevelType w:val="hybridMultilevel"/>
    <w:tmpl w:val="7D8CD70E"/>
    <w:lvl w:ilvl="0" w:tplc="8678466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E782A"/>
    <w:multiLevelType w:val="multilevel"/>
    <w:tmpl w:val="EEBAE4B4"/>
    <w:lvl w:ilvl="0">
      <w:start w:val="1"/>
      <w:numFmt w:val="decimal"/>
      <w:lvlText w:val="%1."/>
      <w:lvlJc w:val="left"/>
      <w:pPr>
        <w:ind w:left="720" w:hanging="720"/>
      </w:pPr>
      <w:rPr>
        <w:rFonts w:hint="default"/>
      </w:rPr>
    </w:lvl>
    <w:lvl w:ilvl="1">
      <w:start w:val="1"/>
      <w:numFmt w:val="decimal"/>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decimal"/>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7" w15:restartNumberingAfterBreak="0">
    <w:nsid w:val="2DD04CA7"/>
    <w:multiLevelType w:val="hybridMultilevel"/>
    <w:tmpl w:val="B7ACD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A7655"/>
    <w:multiLevelType w:val="multilevel"/>
    <w:tmpl w:val="85FA51DA"/>
    <w:styleLink w:val="ListBullets"/>
    <w:lvl w:ilvl="0">
      <w:start w:val="1"/>
      <w:numFmt w:val="bullet"/>
      <w:lvlText w:val=""/>
      <w:lvlJc w:val="left"/>
      <w:pPr>
        <w:ind w:left="720" w:hanging="720"/>
      </w:pPr>
      <w:rPr>
        <w:rFonts w:ascii="Symbol" w:hAnsi="Symbol" w:hint="default"/>
        <w:b/>
        <w:i w:val="0"/>
        <w:color w:val="auto"/>
      </w:rPr>
    </w:lvl>
    <w:lvl w:ilvl="1">
      <w:start w:val="1"/>
      <w:numFmt w:val="bullet"/>
      <w:lvlText w:val=""/>
      <w:lvlJc w:val="left"/>
      <w:pPr>
        <w:ind w:left="1440" w:hanging="720"/>
      </w:pPr>
      <w:rPr>
        <w:rFonts w:ascii="Symbol" w:hAnsi="Symbol" w:hint="default"/>
        <w:b/>
        <w:i w:val="0"/>
        <w:color w:val="auto"/>
      </w:rPr>
    </w:lvl>
    <w:lvl w:ilvl="2">
      <w:start w:val="1"/>
      <w:numFmt w:val="bullet"/>
      <w:lvlText w:val=""/>
      <w:lvlJc w:val="left"/>
      <w:pPr>
        <w:ind w:left="2160" w:hanging="720"/>
      </w:pPr>
      <w:rPr>
        <w:rFonts w:ascii="Symbol" w:hAnsi="Symbol" w:hint="default"/>
        <w:b/>
        <w:i w:val="0"/>
        <w:color w:val="auto"/>
      </w:rPr>
    </w:lvl>
    <w:lvl w:ilvl="3">
      <w:start w:val="1"/>
      <w:numFmt w:val="bullet"/>
      <w:lvlText w:val=""/>
      <w:lvlJc w:val="left"/>
      <w:pPr>
        <w:ind w:left="2880" w:hanging="720"/>
      </w:pPr>
      <w:rPr>
        <w:rFonts w:ascii="Symbol" w:hAnsi="Symbol" w:hint="default"/>
      </w:rPr>
    </w:lvl>
    <w:lvl w:ilvl="4">
      <w:start w:val="1"/>
      <w:numFmt w:val="bullet"/>
      <w:lvlText w:val=""/>
      <w:lvlJc w:val="left"/>
      <w:pPr>
        <w:ind w:left="3600" w:hanging="720"/>
      </w:pPr>
      <w:rPr>
        <w:rFonts w:ascii="Symbol" w:hAnsi="Symbol" w:hint="default"/>
      </w:rPr>
    </w:lvl>
    <w:lvl w:ilvl="5">
      <w:start w:val="1"/>
      <w:numFmt w:val="bullet"/>
      <w:lvlText w:val=""/>
      <w:lvlJc w:val="left"/>
      <w:pPr>
        <w:ind w:left="4320" w:hanging="720"/>
      </w:pPr>
      <w:rPr>
        <w:rFonts w:ascii="Symbol" w:hAnsi="Symbol" w:hint="default"/>
      </w:rPr>
    </w:lvl>
    <w:lvl w:ilvl="6">
      <w:start w:val="1"/>
      <w:numFmt w:val="bullet"/>
      <w:lvlText w:val=""/>
      <w:lvlJc w:val="left"/>
      <w:pPr>
        <w:ind w:left="5040" w:hanging="720"/>
      </w:pPr>
      <w:rPr>
        <w:rFonts w:ascii="Symbol" w:hAnsi="Symbol" w:hint="default"/>
        <w:color w:val="auto"/>
      </w:rPr>
    </w:lvl>
    <w:lvl w:ilvl="7">
      <w:start w:val="1"/>
      <w:numFmt w:val="bullet"/>
      <w:lvlText w:val=""/>
      <w:lvlJc w:val="left"/>
      <w:pPr>
        <w:ind w:left="5760" w:hanging="720"/>
      </w:pPr>
      <w:rPr>
        <w:rFonts w:ascii="Symbol" w:hAnsi="Symbol" w:hint="default"/>
      </w:rPr>
    </w:lvl>
    <w:lvl w:ilvl="8">
      <w:start w:val="1"/>
      <w:numFmt w:val="bullet"/>
      <w:lvlText w:val=""/>
      <w:lvlJc w:val="left"/>
      <w:pPr>
        <w:ind w:left="6480" w:hanging="720"/>
      </w:pPr>
      <w:rPr>
        <w:rFonts w:ascii="Wingdings" w:hAnsi="Wingdings" w:hint="default"/>
      </w:rPr>
    </w:lvl>
  </w:abstractNum>
  <w:abstractNum w:abstractNumId="9" w15:restartNumberingAfterBreak="0">
    <w:nsid w:val="3D5D6548"/>
    <w:multiLevelType w:val="multilevel"/>
    <w:tmpl w:val="669E2FC0"/>
    <w:styleLink w:val="ListNumberPlain"/>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10" w15:restartNumberingAfterBreak="0">
    <w:nsid w:val="40D85E9B"/>
    <w:multiLevelType w:val="multilevel"/>
    <w:tmpl w:val="994A332C"/>
    <w:styleLink w:val="ListNumbers0"/>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5015BCF"/>
    <w:multiLevelType w:val="multilevel"/>
    <w:tmpl w:val="1C647BAC"/>
    <w:styleLink w:val="Headings"/>
    <w:lvl w:ilvl="0">
      <w:start w:val="1"/>
      <w:numFmt w:val="upperRoman"/>
      <w:pStyle w:val="Heading1"/>
      <w:lvlText w:val="%1."/>
      <w:lvlJc w:val="left"/>
      <w:pPr>
        <w:ind w:left="720" w:hanging="720"/>
      </w:pPr>
      <w:rPr>
        <w:rFonts w:hint="default"/>
        <w:b/>
        <w:i w:val="0"/>
      </w:rPr>
    </w:lvl>
    <w:lvl w:ilvl="1">
      <w:start w:val="1"/>
      <w:numFmt w:val="upperLetter"/>
      <w:pStyle w:val="Heading2"/>
      <w:lvlText w:val="%2)"/>
      <w:lvlJc w:val="left"/>
      <w:pPr>
        <w:ind w:left="1440" w:hanging="720"/>
      </w:pPr>
      <w:rPr>
        <w:rFonts w:hint="default"/>
        <w:b/>
        <w:i/>
      </w:rPr>
    </w:lvl>
    <w:lvl w:ilvl="2">
      <w:start w:val="1"/>
      <w:numFmt w:val="decimal"/>
      <w:pStyle w:val="Heading3"/>
      <w:lvlText w:val="%3."/>
      <w:lvlJc w:val="left"/>
      <w:pPr>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decimal"/>
      <w:pStyle w:val="Heading5"/>
      <w:lvlText w:val="(%5)"/>
      <w:lvlJc w:val="left"/>
      <w:pPr>
        <w:ind w:left="3600" w:hanging="720"/>
      </w:pPr>
      <w:rPr>
        <w:rFonts w:hint="default"/>
      </w:rPr>
    </w:lvl>
    <w:lvl w:ilvl="5">
      <w:start w:val="1"/>
      <w:numFmt w:val="lowerLetter"/>
      <w:pStyle w:val="Heading6"/>
      <w:lvlText w:val="(%6)"/>
      <w:lvlJc w:val="left"/>
      <w:pPr>
        <w:ind w:left="4320" w:hanging="720"/>
      </w:pPr>
      <w:rPr>
        <w:rFonts w:hint="default"/>
      </w:rPr>
    </w:lvl>
    <w:lvl w:ilvl="6">
      <w:start w:val="1"/>
      <w:numFmt w:val="lowerRoman"/>
      <w:pStyle w:val="Heading7"/>
      <w:lvlText w:val="(%7)"/>
      <w:lvlJc w:val="left"/>
      <w:pPr>
        <w:ind w:left="5040" w:hanging="720"/>
      </w:pPr>
      <w:rPr>
        <w:rFonts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abstractNum w:abstractNumId="12" w15:restartNumberingAfterBreak="0">
    <w:nsid w:val="635F71F9"/>
    <w:multiLevelType w:val="hybridMultilevel"/>
    <w:tmpl w:val="7088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9A5921"/>
    <w:multiLevelType w:val="multilevel"/>
    <w:tmpl w:val="BD1A3900"/>
    <w:styleLink w:val="ListBullets0"/>
    <w:lvl w:ilvl="0">
      <w:start w:val="1"/>
      <w:numFmt w:val="bullet"/>
      <w:pStyle w:val="ListBullet"/>
      <w:lvlText w:val=""/>
      <w:lvlJc w:val="left"/>
      <w:pPr>
        <w:ind w:left="720" w:hanging="720"/>
      </w:pPr>
      <w:rPr>
        <w:rFonts w:ascii="Symbol" w:hAnsi="Symbol" w:hint="default"/>
      </w:rPr>
    </w:lvl>
    <w:lvl w:ilvl="1">
      <w:start w:val="1"/>
      <w:numFmt w:val="bullet"/>
      <w:lvlText w:val=""/>
      <w:lvlJc w:val="left"/>
      <w:pPr>
        <w:tabs>
          <w:tab w:val="num" w:pos="1080"/>
        </w:tabs>
        <w:ind w:left="1440" w:hanging="720"/>
      </w:pPr>
      <w:rPr>
        <w:rFonts w:ascii="Symbol" w:hAnsi="Symbol" w:hint="default"/>
      </w:rPr>
    </w:lvl>
    <w:lvl w:ilvl="2">
      <w:start w:val="1"/>
      <w:numFmt w:val="bullet"/>
      <w:lvlText w:val=""/>
      <w:lvlJc w:val="left"/>
      <w:pPr>
        <w:tabs>
          <w:tab w:val="num" w:pos="1800"/>
        </w:tabs>
        <w:ind w:left="2160" w:hanging="720"/>
      </w:pPr>
      <w:rPr>
        <w:rFonts w:ascii="Symbol" w:hAnsi="Symbol" w:hint="default"/>
      </w:rPr>
    </w:lvl>
    <w:lvl w:ilvl="3">
      <w:start w:val="1"/>
      <w:numFmt w:val="bullet"/>
      <w:lvlText w:val=""/>
      <w:lvlJc w:val="left"/>
      <w:pPr>
        <w:tabs>
          <w:tab w:val="num" w:pos="2520"/>
        </w:tabs>
        <w:ind w:left="2880" w:hanging="720"/>
      </w:pPr>
      <w:rPr>
        <w:rFonts w:ascii="Symbol" w:hAnsi="Symbol" w:hint="default"/>
      </w:rPr>
    </w:lvl>
    <w:lvl w:ilvl="4">
      <w:start w:val="1"/>
      <w:numFmt w:val="bullet"/>
      <w:lvlText w:val=""/>
      <w:lvlJc w:val="left"/>
      <w:pPr>
        <w:tabs>
          <w:tab w:val="num" w:pos="3240"/>
        </w:tabs>
        <w:ind w:left="3600" w:hanging="720"/>
      </w:pPr>
      <w:rPr>
        <w:rFonts w:ascii="Symbol" w:hAnsi="Symbol" w:hint="default"/>
      </w:rPr>
    </w:lvl>
    <w:lvl w:ilvl="5">
      <w:start w:val="1"/>
      <w:numFmt w:val="bullet"/>
      <w:lvlText w:val=""/>
      <w:lvlJc w:val="left"/>
      <w:pPr>
        <w:tabs>
          <w:tab w:val="num" w:pos="3960"/>
        </w:tabs>
        <w:ind w:left="4320" w:hanging="720"/>
      </w:pPr>
      <w:rPr>
        <w:rFonts w:ascii="Symbol" w:hAnsi="Symbol" w:hint="default"/>
      </w:rPr>
    </w:lvl>
    <w:lvl w:ilvl="6">
      <w:start w:val="1"/>
      <w:numFmt w:val="bullet"/>
      <w:lvlText w:val=""/>
      <w:lvlJc w:val="left"/>
      <w:pPr>
        <w:tabs>
          <w:tab w:val="num" w:pos="4680"/>
        </w:tabs>
        <w:ind w:left="5040" w:hanging="720"/>
      </w:pPr>
      <w:rPr>
        <w:rFonts w:ascii="Symbol" w:hAnsi="Symbol" w:hint="default"/>
      </w:rPr>
    </w:lvl>
    <w:lvl w:ilvl="7">
      <w:start w:val="1"/>
      <w:numFmt w:val="bullet"/>
      <w:lvlText w:val=""/>
      <w:lvlJc w:val="left"/>
      <w:pPr>
        <w:tabs>
          <w:tab w:val="num" w:pos="5400"/>
        </w:tabs>
        <w:ind w:left="5760" w:hanging="720"/>
      </w:pPr>
      <w:rPr>
        <w:rFonts w:ascii="Symbol" w:hAnsi="Symbol" w:hint="default"/>
      </w:rPr>
    </w:lvl>
    <w:lvl w:ilvl="8">
      <w:start w:val="1"/>
      <w:numFmt w:val="bullet"/>
      <w:lvlText w:val=""/>
      <w:lvlJc w:val="left"/>
      <w:pPr>
        <w:tabs>
          <w:tab w:val="num" w:pos="6120"/>
        </w:tabs>
        <w:ind w:left="6480" w:hanging="720"/>
      </w:pPr>
      <w:rPr>
        <w:rFonts w:ascii="Symbol" w:hAnsi="Symbol" w:hint="default"/>
      </w:rPr>
    </w:lvl>
  </w:abstractNum>
  <w:abstractNum w:abstractNumId="14" w15:restartNumberingAfterBreak="0">
    <w:nsid w:val="6FBD70BA"/>
    <w:multiLevelType w:val="multilevel"/>
    <w:tmpl w:val="7E588550"/>
    <w:styleLink w:val="ListArticle"/>
    <w:lvl w:ilvl="0">
      <w:start w:val="1"/>
      <w:numFmt w:val="upperRoman"/>
      <w:lvlText w:val="Article %1."/>
      <w:lvlJc w:val="left"/>
      <w:pPr>
        <w:tabs>
          <w:tab w:val="num" w:pos="288"/>
        </w:tabs>
        <w:ind w:left="0" w:firstLine="0"/>
      </w:pPr>
      <w:rPr>
        <w:rFonts w:hint="default"/>
      </w:rPr>
    </w:lvl>
    <w:lvl w:ilvl="1">
      <w:start w:val="1"/>
      <w:numFmt w:val="decimalZero"/>
      <w:isLgl/>
      <w:lvlText w:val="Section %1.%2"/>
      <w:lvlJc w:val="left"/>
      <w:pPr>
        <w:ind w:left="0" w:firstLine="360"/>
      </w:pPr>
      <w:rPr>
        <w:rFonts w:hint="default"/>
      </w:rPr>
    </w:lvl>
    <w:lvl w:ilvl="2">
      <w:start w:val="1"/>
      <w:numFmt w:val="lowerLetter"/>
      <w:lvlText w:val="(%3)"/>
      <w:lvlJc w:val="left"/>
      <w:pPr>
        <w:tabs>
          <w:tab w:val="num" w:pos="720"/>
        </w:tabs>
        <w:ind w:left="0" w:firstLine="720"/>
      </w:pPr>
      <w:rPr>
        <w:rFonts w:hint="default"/>
      </w:rPr>
    </w:lvl>
    <w:lvl w:ilvl="3">
      <w:start w:val="1"/>
      <w:numFmt w:val="lowerRoman"/>
      <w:lvlText w:val="(%4)"/>
      <w:lvlJc w:val="right"/>
      <w:pPr>
        <w:ind w:left="0" w:firstLine="1440"/>
      </w:pPr>
      <w:rPr>
        <w:rFonts w:hint="default"/>
      </w:rPr>
    </w:lvl>
    <w:lvl w:ilvl="4">
      <w:start w:val="1"/>
      <w:numFmt w:val="decimal"/>
      <w:lvlText w:val="%5)"/>
      <w:lvlJc w:val="left"/>
      <w:pPr>
        <w:ind w:left="0" w:firstLine="2160"/>
      </w:pPr>
      <w:rPr>
        <w:rFonts w:hint="default"/>
      </w:rPr>
    </w:lvl>
    <w:lvl w:ilvl="5">
      <w:start w:val="1"/>
      <w:numFmt w:val="lowerLetter"/>
      <w:lvlText w:val="%6)"/>
      <w:lvlJc w:val="left"/>
      <w:pPr>
        <w:ind w:left="360" w:firstLine="0"/>
      </w:pPr>
      <w:rPr>
        <w:rFonts w:hint="default"/>
      </w:rPr>
    </w:lvl>
    <w:lvl w:ilvl="6">
      <w:start w:val="1"/>
      <w:numFmt w:val="lowerRoman"/>
      <w:lvlText w:val="%7)"/>
      <w:lvlJc w:val="right"/>
      <w:pPr>
        <w:ind w:left="432" w:firstLine="0"/>
      </w:pPr>
      <w:rPr>
        <w:rFonts w:hint="default"/>
      </w:rPr>
    </w:lvl>
    <w:lvl w:ilvl="7">
      <w:start w:val="1"/>
      <w:numFmt w:val="lowerLetter"/>
      <w:lvlText w:val="%8."/>
      <w:lvlJc w:val="left"/>
      <w:pPr>
        <w:ind w:left="504" w:firstLine="0"/>
      </w:pPr>
      <w:rPr>
        <w:rFonts w:hint="default"/>
      </w:rPr>
    </w:lvl>
    <w:lvl w:ilvl="8">
      <w:start w:val="1"/>
      <w:numFmt w:val="lowerRoman"/>
      <w:lvlText w:val="%9."/>
      <w:lvlJc w:val="right"/>
      <w:pPr>
        <w:ind w:left="576" w:firstLine="0"/>
      </w:pPr>
      <w:rPr>
        <w:rFonts w:hint="default"/>
      </w:rPr>
    </w:lvl>
  </w:abstractNum>
  <w:abstractNum w:abstractNumId="15" w15:restartNumberingAfterBreak="0">
    <w:nsid w:val="708E3BFA"/>
    <w:multiLevelType w:val="multilevel"/>
    <w:tmpl w:val="14C6661A"/>
    <w:numStyleLink w:val="ListNumbers"/>
  </w:abstractNum>
  <w:abstractNum w:abstractNumId="16" w15:restartNumberingAfterBreak="0">
    <w:nsid w:val="769E58C1"/>
    <w:multiLevelType w:val="hybridMultilevel"/>
    <w:tmpl w:val="460A4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AE86CBE"/>
    <w:multiLevelType w:val="multilevel"/>
    <w:tmpl w:val="1C647BAC"/>
    <w:numStyleLink w:val="Headings"/>
  </w:abstractNum>
  <w:abstractNum w:abstractNumId="18" w15:restartNumberingAfterBreak="0">
    <w:nsid w:val="7F3D15E7"/>
    <w:multiLevelType w:val="multilevel"/>
    <w:tmpl w:val="1C647BAC"/>
    <w:numStyleLink w:val="Headings"/>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1"/>
  </w:num>
  <w:num w:numId="11">
    <w:abstractNumId w:val="3"/>
  </w:num>
  <w:num w:numId="12">
    <w:abstractNumId w:val="14"/>
  </w:num>
  <w:num w:numId="13">
    <w:abstractNumId w:val="1"/>
  </w:num>
  <w:num w:numId="14">
    <w:abstractNumId w:val="1"/>
  </w:num>
  <w:num w:numId="15">
    <w:abstractNumId w:val="8"/>
  </w:num>
  <w:num w:numId="16">
    <w:abstractNumId w:val="0"/>
  </w:num>
  <w:num w:numId="17">
    <w:abstractNumId w:val="0"/>
  </w:num>
  <w:num w:numId="18">
    <w:abstractNumId w:val="9"/>
  </w:num>
  <w:num w:numId="19">
    <w:abstractNumId w:val="2"/>
  </w:num>
  <w:num w:numId="20">
    <w:abstractNumId w:val="6"/>
  </w:num>
  <w:num w:numId="21">
    <w:abstractNumId w:val="17"/>
  </w:num>
  <w:num w:numId="22">
    <w:abstractNumId w:val="13"/>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4"/>
  </w:num>
  <w:num w:numId="26">
    <w:abstractNumId w:val="4"/>
  </w:num>
  <w:num w:numId="27">
    <w:abstractNumId w:val="4"/>
  </w:num>
  <w:num w:numId="28">
    <w:abstractNumId w:val="10"/>
  </w:num>
  <w:num w:numId="29">
    <w:abstractNumId w:val="4"/>
  </w:num>
  <w:num w:numId="30">
    <w:abstractNumId w:val="15"/>
  </w:num>
  <w:num w:numId="31">
    <w:abstractNumId w:val="15"/>
  </w:num>
  <w:num w:numId="32">
    <w:abstractNumId w:val="15"/>
  </w:num>
  <w:num w:numId="33">
    <w:abstractNumId w:val="18"/>
  </w:num>
  <w:num w:numId="34">
    <w:abstractNumId w:val="16"/>
  </w:num>
  <w:num w:numId="35">
    <w:abstractNumId w:val="12"/>
  </w:num>
  <w:num w:numId="36">
    <w:abstractNumId w:val="7"/>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7C6"/>
    <w:rsid w:val="00007DDB"/>
    <w:rsid w:val="000224D5"/>
    <w:rsid w:val="000237CD"/>
    <w:rsid w:val="00031836"/>
    <w:rsid w:val="000377F8"/>
    <w:rsid w:val="00042F9C"/>
    <w:rsid w:val="00052009"/>
    <w:rsid w:val="000531CA"/>
    <w:rsid w:val="000547EC"/>
    <w:rsid w:val="00054F07"/>
    <w:rsid w:val="000561E0"/>
    <w:rsid w:val="0006525E"/>
    <w:rsid w:val="0006598E"/>
    <w:rsid w:val="00074366"/>
    <w:rsid w:val="00090101"/>
    <w:rsid w:val="000B2325"/>
    <w:rsid w:val="000E643A"/>
    <w:rsid w:val="00101019"/>
    <w:rsid w:val="00103F5F"/>
    <w:rsid w:val="00115324"/>
    <w:rsid w:val="00132846"/>
    <w:rsid w:val="00142A9F"/>
    <w:rsid w:val="00157F29"/>
    <w:rsid w:val="001631F0"/>
    <w:rsid w:val="001A309C"/>
    <w:rsid w:val="001A4550"/>
    <w:rsid w:val="001D3126"/>
    <w:rsid w:val="001D3682"/>
    <w:rsid w:val="00217468"/>
    <w:rsid w:val="00222380"/>
    <w:rsid w:val="00235FAC"/>
    <w:rsid w:val="002441AB"/>
    <w:rsid w:val="00245DB4"/>
    <w:rsid w:val="00251896"/>
    <w:rsid w:val="002547E4"/>
    <w:rsid w:val="00256A2A"/>
    <w:rsid w:val="00292A75"/>
    <w:rsid w:val="00292C0F"/>
    <w:rsid w:val="002A6346"/>
    <w:rsid w:val="002B6267"/>
    <w:rsid w:val="002C5EA6"/>
    <w:rsid w:val="002D0B95"/>
    <w:rsid w:val="002D0C58"/>
    <w:rsid w:val="00300925"/>
    <w:rsid w:val="00305BD3"/>
    <w:rsid w:val="0032164A"/>
    <w:rsid w:val="00331886"/>
    <w:rsid w:val="00342D3F"/>
    <w:rsid w:val="0034390D"/>
    <w:rsid w:val="003A0CD9"/>
    <w:rsid w:val="003B0F93"/>
    <w:rsid w:val="003B5B92"/>
    <w:rsid w:val="003C2FD5"/>
    <w:rsid w:val="003C5A9A"/>
    <w:rsid w:val="003F06B6"/>
    <w:rsid w:val="003F1DBE"/>
    <w:rsid w:val="00400004"/>
    <w:rsid w:val="004041E3"/>
    <w:rsid w:val="004136F5"/>
    <w:rsid w:val="00413FD0"/>
    <w:rsid w:val="00416A57"/>
    <w:rsid w:val="00422605"/>
    <w:rsid w:val="00434BE9"/>
    <w:rsid w:val="00452DC4"/>
    <w:rsid w:val="004555CC"/>
    <w:rsid w:val="00462D5B"/>
    <w:rsid w:val="00465CCD"/>
    <w:rsid w:val="00470C43"/>
    <w:rsid w:val="00476BB5"/>
    <w:rsid w:val="004A4640"/>
    <w:rsid w:val="004B3D64"/>
    <w:rsid w:val="004C5526"/>
    <w:rsid w:val="00504978"/>
    <w:rsid w:val="00514F00"/>
    <w:rsid w:val="00521D98"/>
    <w:rsid w:val="00535624"/>
    <w:rsid w:val="005454D6"/>
    <w:rsid w:val="00574747"/>
    <w:rsid w:val="00577A46"/>
    <w:rsid w:val="005A24FD"/>
    <w:rsid w:val="005A7056"/>
    <w:rsid w:val="005C64DD"/>
    <w:rsid w:val="005D11A6"/>
    <w:rsid w:val="005D2EF9"/>
    <w:rsid w:val="005F02D5"/>
    <w:rsid w:val="005F633C"/>
    <w:rsid w:val="00606578"/>
    <w:rsid w:val="00606A07"/>
    <w:rsid w:val="00614B38"/>
    <w:rsid w:val="00653B49"/>
    <w:rsid w:val="00653D6C"/>
    <w:rsid w:val="00676969"/>
    <w:rsid w:val="0068192A"/>
    <w:rsid w:val="006867F9"/>
    <w:rsid w:val="00686C0C"/>
    <w:rsid w:val="00697F89"/>
    <w:rsid w:val="006A20C4"/>
    <w:rsid w:val="006B73FB"/>
    <w:rsid w:val="00707A76"/>
    <w:rsid w:val="00710572"/>
    <w:rsid w:val="00745DB3"/>
    <w:rsid w:val="007523A6"/>
    <w:rsid w:val="00756508"/>
    <w:rsid w:val="007870E2"/>
    <w:rsid w:val="00797E73"/>
    <w:rsid w:val="007D1A96"/>
    <w:rsid w:val="007E392E"/>
    <w:rsid w:val="007F290C"/>
    <w:rsid w:val="0080444C"/>
    <w:rsid w:val="008318A1"/>
    <w:rsid w:val="00871CCF"/>
    <w:rsid w:val="0088642C"/>
    <w:rsid w:val="0088792E"/>
    <w:rsid w:val="008C19B4"/>
    <w:rsid w:val="008D5711"/>
    <w:rsid w:val="00906E77"/>
    <w:rsid w:val="00910472"/>
    <w:rsid w:val="00933D58"/>
    <w:rsid w:val="00952A21"/>
    <w:rsid w:val="009648FD"/>
    <w:rsid w:val="00966E27"/>
    <w:rsid w:val="00971E7E"/>
    <w:rsid w:val="009C3B29"/>
    <w:rsid w:val="009C4AAF"/>
    <w:rsid w:val="009C639F"/>
    <w:rsid w:val="009E634A"/>
    <w:rsid w:val="009F1D8A"/>
    <w:rsid w:val="00A12AD0"/>
    <w:rsid w:val="00A251CF"/>
    <w:rsid w:val="00A34141"/>
    <w:rsid w:val="00A437C6"/>
    <w:rsid w:val="00A5041A"/>
    <w:rsid w:val="00A53709"/>
    <w:rsid w:val="00A7046D"/>
    <w:rsid w:val="00AA18A2"/>
    <w:rsid w:val="00AB7AF1"/>
    <w:rsid w:val="00AC4345"/>
    <w:rsid w:val="00B13970"/>
    <w:rsid w:val="00B25C33"/>
    <w:rsid w:val="00B3190D"/>
    <w:rsid w:val="00B32B43"/>
    <w:rsid w:val="00B3706C"/>
    <w:rsid w:val="00B436CE"/>
    <w:rsid w:val="00B442B8"/>
    <w:rsid w:val="00B603C5"/>
    <w:rsid w:val="00B827C6"/>
    <w:rsid w:val="00B910C4"/>
    <w:rsid w:val="00B9516A"/>
    <w:rsid w:val="00B95DB2"/>
    <w:rsid w:val="00BB2D23"/>
    <w:rsid w:val="00BE4234"/>
    <w:rsid w:val="00BF4E40"/>
    <w:rsid w:val="00C13D81"/>
    <w:rsid w:val="00C141C4"/>
    <w:rsid w:val="00C21363"/>
    <w:rsid w:val="00C21F06"/>
    <w:rsid w:val="00C24DE8"/>
    <w:rsid w:val="00C34768"/>
    <w:rsid w:val="00C763E3"/>
    <w:rsid w:val="00CA217E"/>
    <w:rsid w:val="00CB2B09"/>
    <w:rsid w:val="00CB479B"/>
    <w:rsid w:val="00CD2D30"/>
    <w:rsid w:val="00CF7776"/>
    <w:rsid w:val="00D07065"/>
    <w:rsid w:val="00D4119F"/>
    <w:rsid w:val="00D449DE"/>
    <w:rsid w:val="00D609ED"/>
    <w:rsid w:val="00D62C5B"/>
    <w:rsid w:val="00D74FDF"/>
    <w:rsid w:val="00D819E9"/>
    <w:rsid w:val="00D950FB"/>
    <w:rsid w:val="00DB7074"/>
    <w:rsid w:val="00DC03F2"/>
    <w:rsid w:val="00DC7C30"/>
    <w:rsid w:val="00DD0DB1"/>
    <w:rsid w:val="00DD2ED6"/>
    <w:rsid w:val="00DE6FEB"/>
    <w:rsid w:val="00E0218E"/>
    <w:rsid w:val="00E268ED"/>
    <w:rsid w:val="00E33D10"/>
    <w:rsid w:val="00E40D3C"/>
    <w:rsid w:val="00E43857"/>
    <w:rsid w:val="00E54C29"/>
    <w:rsid w:val="00E54DDA"/>
    <w:rsid w:val="00E7008E"/>
    <w:rsid w:val="00EA4A18"/>
    <w:rsid w:val="00EA7A2A"/>
    <w:rsid w:val="00EB297E"/>
    <w:rsid w:val="00EB62C9"/>
    <w:rsid w:val="00EC00F2"/>
    <w:rsid w:val="00EC52CC"/>
    <w:rsid w:val="00ED6DB8"/>
    <w:rsid w:val="00EE40B8"/>
    <w:rsid w:val="00F10F40"/>
    <w:rsid w:val="00F20940"/>
    <w:rsid w:val="00F23C36"/>
    <w:rsid w:val="00F24B17"/>
    <w:rsid w:val="00F25E7A"/>
    <w:rsid w:val="00F552F4"/>
    <w:rsid w:val="00F6102C"/>
    <w:rsid w:val="00F821ED"/>
    <w:rsid w:val="00F84AF9"/>
    <w:rsid w:val="00F85539"/>
    <w:rsid w:val="00F9078B"/>
    <w:rsid w:val="00FA6266"/>
    <w:rsid w:val="00FB3647"/>
    <w:rsid w:val="00FC32FF"/>
    <w:rsid w:val="00FC4381"/>
    <w:rsid w:val="00FD4A8D"/>
    <w:rsid w:val="00FD4CA4"/>
    <w:rsid w:val="00FE341C"/>
    <w:rsid w:val="00FE6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8C9AAC"/>
  <w15:docId w15:val="{427283C4-2045-439A-B599-08185D56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266"/>
    <w:rPr>
      <w:rFonts w:ascii="Times New Roman" w:hAnsi="Times New Roman"/>
      <w:sz w:val="24"/>
      <w:szCs w:val="24"/>
    </w:rPr>
  </w:style>
  <w:style w:type="paragraph" w:styleId="Heading1">
    <w:name w:val="heading 1"/>
    <w:next w:val="BodyText"/>
    <w:link w:val="Heading1Char"/>
    <w:qFormat/>
    <w:rsid w:val="005F02D5"/>
    <w:pPr>
      <w:keepNext/>
      <w:numPr>
        <w:numId w:val="33"/>
      </w:numPr>
      <w:spacing w:after="240"/>
      <w:outlineLvl w:val="0"/>
    </w:pPr>
    <w:rPr>
      <w:rFonts w:ascii="Times New Roman" w:hAnsi="Times New Roman" w:cs="Arial"/>
      <w:b/>
      <w:bCs/>
      <w:caps/>
      <w:kern w:val="32"/>
      <w:sz w:val="24"/>
      <w:szCs w:val="32"/>
    </w:rPr>
  </w:style>
  <w:style w:type="paragraph" w:styleId="Heading2">
    <w:name w:val="heading 2"/>
    <w:basedOn w:val="Heading1"/>
    <w:next w:val="BodyTextFirstIndent"/>
    <w:link w:val="Heading2Char"/>
    <w:qFormat/>
    <w:rsid w:val="00FA6266"/>
    <w:pPr>
      <w:numPr>
        <w:ilvl w:val="1"/>
      </w:numPr>
      <w:outlineLvl w:val="1"/>
    </w:pPr>
    <w:rPr>
      <w:bCs w:val="0"/>
      <w:i/>
      <w:iCs/>
      <w:caps w:val="0"/>
      <w:szCs w:val="28"/>
    </w:rPr>
  </w:style>
  <w:style w:type="paragraph" w:styleId="Heading3">
    <w:name w:val="heading 3"/>
    <w:basedOn w:val="Heading2"/>
    <w:next w:val="BodyTextFirstIndent"/>
    <w:link w:val="Heading3Char"/>
    <w:qFormat/>
    <w:rsid w:val="00FA6266"/>
    <w:pPr>
      <w:numPr>
        <w:ilvl w:val="2"/>
      </w:numPr>
      <w:outlineLvl w:val="2"/>
    </w:pPr>
    <w:rPr>
      <w:b w:val="0"/>
      <w:bCs/>
      <w:i w:val="0"/>
      <w:szCs w:val="26"/>
    </w:rPr>
  </w:style>
  <w:style w:type="paragraph" w:styleId="Heading4">
    <w:name w:val="heading 4"/>
    <w:basedOn w:val="Heading3"/>
    <w:next w:val="BodyTextFirstIndent"/>
    <w:link w:val="Heading4Char"/>
    <w:qFormat/>
    <w:rsid w:val="00FA6266"/>
    <w:pPr>
      <w:numPr>
        <w:ilvl w:val="3"/>
      </w:numPr>
      <w:outlineLvl w:val="3"/>
    </w:pPr>
    <w:rPr>
      <w:rFonts w:cs="Times New Roman"/>
      <w:bCs w:val="0"/>
      <w:szCs w:val="28"/>
    </w:rPr>
  </w:style>
  <w:style w:type="paragraph" w:styleId="Heading5">
    <w:name w:val="heading 5"/>
    <w:basedOn w:val="Heading4"/>
    <w:next w:val="Normal"/>
    <w:link w:val="Heading5Char"/>
    <w:qFormat/>
    <w:rsid w:val="00FA6266"/>
    <w:pPr>
      <w:numPr>
        <w:ilvl w:val="4"/>
      </w:numPr>
      <w:outlineLvl w:val="4"/>
    </w:pPr>
    <w:rPr>
      <w:bCs/>
      <w:iCs w:val="0"/>
      <w:szCs w:val="26"/>
    </w:rPr>
  </w:style>
  <w:style w:type="paragraph" w:styleId="Heading6">
    <w:name w:val="heading 6"/>
    <w:basedOn w:val="Heading5"/>
    <w:next w:val="Normal"/>
    <w:link w:val="Heading6Char"/>
    <w:unhideWhenUsed/>
    <w:qFormat/>
    <w:rsid w:val="00FA6266"/>
    <w:pPr>
      <w:numPr>
        <w:ilvl w:val="5"/>
      </w:numPr>
      <w:outlineLvl w:val="5"/>
    </w:pPr>
    <w:rPr>
      <w:bCs w:val="0"/>
      <w:sz w:val="22"/>
      <w:szCs w:val="22"/>
    </w:rPr>
  </w:style>
  <w:style w:type="paragraph" w:styleId="Heading7">
    <w:name w:val="heading 7"/>
    <w:basedOn w:val="Heading6"/>
    <w:next w:val="Normal"/>
    <w:link w:val="Heading7Char"/>
    <w:unhideWhenUsed/>
    <w:qFormat/>
    <w:rsid w:val="00FA6266"/>
    <w:pPr>
      <w:numPr>
        <w:ilvl w:val="6"/>
      </w:numPr>
      <w:outlineLvl w:val="6"/>
    </w:pPr>
    <w:rPr>
      <w:rFonts w:ascii="Calibri" w:hAnsi="Calibri"/>
    </w:rPr>
  </w:style>
  <w:style w:type="paragraph" w:styleId="Heading8">
    <w:name w:val="heading 8"/>
    <w:basedOn w:val="Heading7"/>
    <w:next w:val="Normal"/>
    <w:link w:val="Heading8Char"/>
    <w:unhideWhenUsed/>
    <w:qFormat/>
    <w:rsid w:val="00FA6266"/>
    <w:pPr>
      <w:numPr>
        <w:ilvl w:val="7"/>
      </w:numPr>
      <w:outlineLvl w:val="7"/>
    </w:pPr>
    <w:rPr>
      <w:i/>
      <w:iCs/>
    </w:rPr>
  </w:style>
  <w:style w:type="paragraph" w:styleId="Heading9">
    <w:name w:val="heading 9"/>
    <w:basedOn w:val="Normal"/>
    <w:next w:val="Normal"/>
    <w:link w:val="Heading9Char"/>
    <w:uiPriority w:val="9"/>
    <w:semiHidden/>
    <w:unhideWhenUsed/>
    <w:rsid w:val="005F02D5"/>
    <w:pPr>
      <w:keepNext/>
      <w:keepLines/>
      <w:numPr>
        <w:ilvl w:val="8"/>
        <w:numId w:val="33"/>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FA6266"/>
    <w:pPr>
      <w:spacing w:after="120" w:line="360" w:lineRule="auto"/>
      <w:ind w:firstLine="720"/>
    </w:pPr>
  </w:style>
  <w:style w:type="character" w:customStyle="1" w:styleId="BodyTextChar">
    <w:name w:val="Body Text Char"/>
    <w:link w:val="BodyText"/>
    <w:rsid w:val="00FA6266"/>
    <w:rPr>
      <w:rFonts w:ascii="Times New Roman" w:eastAsia="Times New Roman" w:hAnsi="Times New Roman" w:cs="Times New Roman"/>
      <w:sz w:val="24"/>
      <w:szCs w:val="24"/>
    </w:rPr>
  </w:style>
  <w:style w:type="paragraph" w:customStyle="1" w:styleId="BlockQuote">
    <w:name w:val="BlockQuote"/>
    <w:basedOn w:val="BodyText"/>
    <w:next w:val="Normal"/>
    <w:link w:val="BlockQuoteChar"/>
    <w:qFormat/>
    <w:rsid w:val="00FA6266"/>
    <w:pPr>
      <w:spacing w:after="240" w:line="240" w:lineRule="auto"/>
      <w:ind w:left="1440" w:right="1440" w:firstLine="0"/>
    </w:pPr>
  </w:style>
  <w:style w:type="character" w:customStyle="1" w:styleId="BlockQuoteChar">
    <w:name w:val="BlockQuote Char"/>
    <w:link w:val="BlockQuote"/>
    <w:rsid w:val="00FA6266"/>
    <w:rPr>
      <w:rFonts w:ascii="Times New Roman" w:eastAsia="Times New Roman" w:hAnsi="Times New Roman" w:cs="Times New Roman"/>
      <w:sz w:val="24"/>
      <w:szCs w:val="24"/>
    </w:rPr>
  </w:style>
  <w:style w:type="paragraph" w:customStyle="1" w:styleId="BodyText-Notindented">
    <w:name w:val="Body Text - Not indented"/>
    <w:basedOn w:val="Normal"/>
    <w:qFormat/>
    <w:rsid w:val="00FA6266"/>
    <w:pPr>
      <w:suppressAutoHyphens/>
      <w:spacing w:after="120" w:line="360" w:lineRule="auto"/>
      <w:jc w:val="both"/>
    </w:pPr>
    <w:rPr>
      <w:szCs w:val="20"/>
    </w:rPr>
  </w:style>
  <w:style w:type="paragraph" w:customStyle="1" w:styleId="BodyTextContinued">
    <w:name w:val="Body Text Continued"/>
    <w:basedOn w:val="BodyText"/>
    <w:next w:val="BodyText"/>
    <w:qFormat/>
    <w:rsid w:val="00FA6266"/>
    <w:pPr>
      <w:ind w:firstLine="0"/>
    </w:pPr>
  </w:style>
  <w:style w:type="paragraph" w:styleId="BodyTextFirstIndent">
    <w:name w:val="Body Text First Indent"/>
    <w:basedOn w:val="BodyText"/>
    <w:link w:val="BodyTextFirstIndentChar"/>
    <w:qFormat/>
    <w:rsid w:val="00FA6266"/>
    <w:pPr>
      <w:suppressAutoHyphens/>
      <w:spacing w:after="0"/>
    </w:pPr>
  </w:style>
  <w:style w:type="character" w:customStyle="1" w:styleId="BodyTextFirstIndentChar">
    <w:name w:val="Body Text First Indent Char"/>
    <w:link w:val="BodyTextFirstIndent"/>
    <w:rsid w:val="00FA6266"/>
    <w:rPr>
      <w:rFonts w:ascii="Times New Roman" w:eastAsia="Times New Roman" w:hAnsi="Times New Roman" w:cs="Times New Roman"/>
      <w:sz w:val="24"/>
      <w:szCs w:val="24"/>
    </w:rPr>
  </w:style>
  <w:style w:type="paragraph" w:styleId="BodyTextIndent">
    <w:name w:val="Body Text Indent"/>
    <w:basedOn w:val="Normal"/>
    <w:link w:val="BodyTextIndentChar"/>
    <w:qFormat/>
    <w:rsid w:val="00FA6266"/>
    <w:pPr>
      <w:spacing w:after="120"/>
      <w:ind w:left="360"/>
    </w:pPr>
  </w:style>
  <w:style w:type="character" w:customStyle="1" w:styleId="BodyTextIndentChar">
    <w:name w:val="Body Text Indent Char"/>
    <w:link w:val="BodyTextIndent"/>
    <w:rsid w:val="00FA6266"/>
    <w:rPr>
      <w:rFonts w:ascii="Times New Roman" w:eastAsia="Times New Roman" w:hAnsi="Times New Roman" w:cs="Times New Roman"/>
      <w:sz w:val="24"/>
      <w:szCs w:val="24"/>
    </w:rPr>
  </w:style>
  <w:style w:type="paragraph" w:styleId="Caption">
    <w:name w:val="caption"/>
    <w:basedOn w:val="Normal"/>
    <w:next w:val="Normal"/>
    <w:semiHidden/>
    <w:unhideWhenUsed/>
    <w:qFormat/>
    <w:rsid w:val="00FA6266"/>
    <w:rPr>
      <w:b/>
      <w:bCs/>
      <w:sz w:val="20"/>
      <w:szCs w:val="20"/>
    </w:rPr>
  </w:style>
  <w:style w:type="paragraph" w:customStyle="1" w:styleId="doubleindent">
    <w:name w:val="double indent"/>
    <w:basedOn w:val="BodyTextFirstIndent"/>
    <w:qFormat/>
    <w:rsid w:val="00FA6266"/>
    <w:pPr>
      <w:spacing w:line="240" w:lineRule="auto"/>
      <w:ind w:left="1440" w:right="1440" w:firstLine="0"/>
    </w:pPr>
    <w:rPr>
      <w:szCs w:val="28"/>
    </w:rPr>
  </w:style>
  <w:style w:type="character" w:styleId="FootnoteReference">
    <w:name w:val="footnote reference"/>
    <w:qFormat/>
    <w:rsid w:val="00FA6266"/>
    <w:rPr>
      <w:vertAlign w:val="superscript"/>
    </w:rPr>
  </w:style>
  <w:style w:type="paragraph" w:styleId="FootnoteText">
    <w:name w:val="footnote text"/>
    <w:basedOn w:val="Normal"/>
    <w:link w:val="FootnoteTextChar"/>
    <w:qFormat/>
    <w:rsid w:val="00FA6266"/>
    <w:rPr>
      <w:sz w:val="20"/>
      <w:szCs w:val="20"/>
    </w:rPr>
  </w:style>
  <w:style w:type="character" w:customStyle="1" w:styleId="FootnoteTextChar">
    <w:name w:val="Footnote Text Char"/>
    <w:link w:val="FootnoteText"/>
    <w:rsid w:val="00FA6266"/>
    <w:rPr>
      <w:rFonts w:ascii="Times New Roman" w:eastAsia="Times New Roman" w:hAnsi="Times New Roman" w:cs="Times New Roman"/>
      <w:sz w:val="20"/>
      <w:szCs w:val="20"/>
    </w:rPr>
  </w:style>
  <w:style w:type="paragraph" w:customStyle="1" w:styleId="Heading0">
    <w:name w:val="Heading 0"/>
    <w:basedOn w:val="Normal"/>
    <w:next w:val="BodyText"/>
    <w:qFormat/>
    <w:rsid w:val="00FA6266"/>
    <w:pPr>
      <w:keepNext/>
      <w:suppressAutoHyphens/>
      <w:spacing w:after="240"/>
      <w:jc w:val="center"/>
    </w:pPr>
    <w:rPr>
      <w:b/>
      <w:caps/>
      <w:szCs w:val="20"/>
    </w:rPr>
  </w:style>
  <w:style w:type="character" w:customStyle="1" w:styleId="Heading1Char">
    <w:name w:val="Heading 1 Char"/>
    <w:link w:val="Heading1"/>
    <w:rsid w:val="005F02D5"/>
    <w:rPr>
      <w:rFonts w:ascii="Times New Roman" w:eastAsia="Times New Roman" w:hAnsi="Times New Roman" w:cs="Arial"/>
      <w:b/>
      <w:bCs/>
      <w:caps/>
      <w:kern w:val="32"/>
      <w:sz w:val="24"/>
      <w:szCs w:val="32"/>
    </w:rPr>
  </w:style>
  <w:style w:type="character" w:customStyle="1" w:styleId="Heading2Char">
    <w:name w:val="Heading 2 Char"/>
    <w:link w:val="Heading2"/>
    <w:rsid w:val="00FA6266"/>
    <w:rPr>
      <w:rFonts w:ascii="Times New Roman" w:eastAsia="Times New Roman" w:hAnsi="Times New Roman" w:cs="Arial"/>
      <w:b/>
      <w:i/>
      <w:iCs/>
      <w:kern w:val="32"/>
      <w:sz w:val="24"/>
      <w:szCs w:val="28"/>
    </w:rPr>
  </w:style>
  <w:style w:type="character" w:customStyle="1" w:styleId="Heading3Char">
    <w:name w:val="Heading 3 Char"/>
    <w:link w:val="Heading3"/>
    <w:rsid w:val="00FA6266"/>
    <w:rPr>
      <w:rFonts w:ascii="Times New Roman" w:eastAsia="Times New Roman" w:hAnsi="Times New Roman" w:cs="Arial"/>
      <w:bCs/>
      <w:iCs/>
      <w:kern w:val="32"/>
      <w:sz w:val="24"/>
      <w:szCs w:val="26"/>
    </w:rPr>
  </w:style>
  <w:style w:type="character" w:customStyle="1" w:styleId="Heading4Char">
    <w:name w:val="Heading 4 Char"/>
    <w:link w:val="Heading4"/>
    <w:rsid w:val="00FA6266"/>
    <w:rPr>
      <w:rFonts w:ascii="Times New Roman" w:eastAsia="Times New Roman" w:hAnsi="Times New Roman" w:cs="Times New Roman"/>
      <w:iCs/>
      <w:kern w:val="32"/>
      <w:sz w:val="24"/>
      <w:szCs w:val="28"/>
    </w:rPr>
  </w:style>
  <w:style w:type="character" w:customStyle="1" w:styleId="Heading5Char">
    <w:name w:val="Heading 5 Char"/>
    <w:link w:val="Heading5"/>
    <w:rsid w:val="00FA6266"/>
    <w:rPr>
      <w:rFonts w:ascii="Times New Roman" w:eastAsia="Times New Roman" w:hAnsi="Times New Roman" w:cs="Times New Roman"/>
      <w:bCs/>
      <w:kern w:val="32"/>
      <w:sz w:val="24"/>
      <w:szCs w:val="26"/>
    </w:rPr>
  </w:style>
  <w:style w:type="character" w:customStyle="1" w:styleId="Heading6Char">
    <w:name w:val="Heading 6 Char"/>
    <w:link w:val="Heading6"/>
    <w:rsid w:val="00FA6266"/>
    <w:rPr>
      <w:rFonts w:ascii="Times New Roman" w:eastAsia="Times New Roman" w:hAnsi="Times New Roman"/>
      <w:kern w:val="32"/>
    </w:rPr>
  </w:style>
  <w:style w:type="character" w:customStyle="1" w:styleId="Heading7Char">
    <w:name w:val="Heading 7 Char"/>
    <w:link w:val="Heading7"/>
    <w:rsid w:val="00FA6266"/>
    <w:rPr>
      <w:rFonts w:eastAsia="Times New Roman"/>
      <w:kern w:val="32"/>
    </w:rPr>
  </w:style>
  <w:style w:type="character" w:customStyle="1" w:styleId="Heading8Char">
    <w:name w:val="Heading 8 Char"/>
    <w:link w:val="Heading8"/>
    <w:rsid w:val="00FA6266"/>
    <w:rPr>
      <w:rFonts w:eastAsia="Times New Roman"/>
      <w:i/>
      <w:iCs/>
      <w:kern w:val="32"/>
    </w:rPr>
  </w:style>
  <w:style w:type="character" w:customStyle="1" w:styleId="Heading9Char">
    <w:name w:val="Heading 9 Char"/>
    <w:link w:val="Heading9"/>
    <w:uiPriority w:val="9"/>
    <w:semiHidden/>
    <w:rsid w:val="005F02D5"/>
    <w:rPr>
      <w:rFonts w:ascii="Cambria" w:eastAsia="Times New Roman" w:hAnsi="Cambria" w:cs="Times New Roman"/>
      <w:i/>
      <w:iCs/>
      <w:color w:val="404040"/>
      <w:sz w:val="20"/>
      <w:szCs w:val="20"/>
    </w:rPr>
  </w:style>
  <w:style w:type="numbering" w:customStyle="1" w:styleId="Headings">
    <w:name w:val="Headings"/>
    <w:uiPriority w:val="99"/>
    <w:rsid w:val="005F02D5"/>
    <w:pPr>
      <w:numPr>
        <w:numId w:val="10"/>
      </w:numPr>
    </w:pPr>
  </w:style>
  <w:style w:type="numbering" w:customStyle="1" w:styleId="Legal11512">
    <w:name w:val="Legal 1.1 .5 12"/>
    <w:uiPriority w:val="99"/>
    <w:rsid w:val="00FA6266"/>
    <w:pPr>
      <w:numPr>
        <w:numId w:val="11"/>
      </w:numPr>
    </w:pPr>
  </w:style>
  <w:style w:type="numbering" w:customStyle="1" w:styleId="ListArticle">
    <w:name w:val="List Article"/>
    <w:uiPriority w:val="99"/>
    <w:rsid w:val="00FA6266"/>
    <w:pPr>
      <w:numPr>
        <w:numId w:val="12"/>
      </w:numPr>
    </w:pPr>
  </w:style>
  <w:style w:type="paragraph" w:styleId="ListBullet">
    <w:name w:val="List Bullet"/>
    <w:basedOn w:val="Normal"/>
    <w:qFormat/>
    <w:rsid w:val="003A0CD9"/>
    <w:pPr>
      <w:numPr>
        <w:numId w:val="22"/>
      </w:numPr>
      <w:spacing w:after="240"/>
    </w:pPr>
  </w:style>
  <w:style w:type="numbering" w:customStyle="1" w:styleId="ListBullets">
    <w:name w:val="List Bullets"/>
    <w:uiPriority w:val="99"/>
    <w:rsid w:val="00FA6266"/>
    <w:pPr>
      <w:numPr>
        <w:numId w:val="15"/>
      </w:numPr>
    </w:pPr>
  </w:style>
  <w:style w:type="paragraph" w:styleId="ListNumber">
    <w:name w:val="List Number"/>
    <w:basedOn w:val="Normal"/>
    <w:qFormat/>
    <w:rsid w:val="00B3190D"/>
    <w:pPr>
      <w:numPr>
        <w:numId w:val="32"/>
      </w:numPr>
      <w:spacing w:after="120"/>
    </w:pPr>
  </w:style>
  <w:style w:type="numbering" w:customStyle="1" w:styleId="ListNumberPlain">
    <w:name w:val="List Number Plain"/>
    <w:uiPriority w:val="99"/>
    <w:rsid w:val="00FA6266"/>
    <w:pPr>
      <w:numPr>
        <w:numId w:val="18"/>
      </w:numPr>
    </w:pPr>
  </w:style>
  <w:style w:type="paragraph" w:customStyle="1" w:styleId="ListNumberSection1">
    <w:name w:val="List Number Section 1"/>
    <w:basedOn w:val="Normal"/>
    <w:rsid w:val="00FA6266"/>
    <w:pPr>
      <w:spacing w:line="480" w:lineRule="auto"/>
      <w:outlineLvl w:val="0"/>
    </w:pPr>
    <w:rPr>
      <w:rFonts w:ascii="Palatino Linotype" w:hAnsi="Palatino Linotype"/>
      <w:b/>
    </w:rPr>
  </w:style>
  <w:style w:type="paragraph" w:customStyle="1" w:styleId="ListNumberSection3">
    <w:name w:val="List Number Section 3"/>
    <w:basedOn w:val="Normal"/>
    <w:rsid w:val="00FA6266"/>
    <w:pPr>
      <w:spacing w:line="480" w:lineRule="auto"/>
      <w:outlineLvl w:val="2"/>
    </w:pPr>
    <w:rPr>
      <w:rFonts w:ascii="Palatino Linotype" w:hAnsi="Palatino Linotype"/>
    </w:rPr>
  </w:style>
  <w:style w:type="numbering" w:customStyle="1" w:styleId="ListNumber25">
    <w:name w:val="List Number.25"/>
    <w:uiPriority w:val="99"/>
    <w:rsid w:val="00FA6266"/>
    <w:pPr>
      <w:numPr>
        <w:numId w:val="19"/>
      </w:numPr>
    </w:pPr>
  </w:style>
  <w:style w:type="numbering" w:customStyle="1" w:styleId="ListNumbers0">
    <w:name w:val="List Numbers"/>
    <w:uiPriority w:val="99"/>
    <w:rsid w:val="007870E2"/>
    <w:pPr>
      <w:numPr>
        <w:numId w:val="28"/>
      </w:numPr>
    </w:pPr>
  </w:style>
  <w:style w:type="paragraph" w:styleId="ListParagraph">
    <w:name w:val="List Paragraph"/>
    <w:basedOn w:val="Normal"/>
    <w:uiPriority w:val="34"/>
    <w:qFormat/>
    <w:rsid w:val="00FA6266"/>
    <w:pPr>
      <w:spacing w:after="240"/>
      <w:ind w:left="720"/>
    </w:pPr>
  </w:style>
  <w:style w:type="paragraph" w:styleId="TOCHeading">
    <w:name w:val="TOC Heading"/>
    <w:basedOn w:val="Heading1"/>
    <w:next w:val="Normal"/>
    <w:uiPriority w:val="39"/>
    <w:semiHidden/>
    <w:unhideWhenUsed/>
    <w:qFormat/>
    <w:rsid w:val="00FA6266"/>
    <w:pPr>
      <w:numPr>
        <w:numId w:val="0"/>
      </w:numPr>
      <w:spacing w:before="240" w:after="60"/>
      <w:outlineLvl w:val="9"/>
    </w:pPr>
    <w:rPr>
      <w:rFonts w:ascii="Cambria" w:hAnsi="Cambria" w:cs="Times New Roman"/>
      <w:caps w:val="0"/>
      <w:sz w:val="32"/>
    </w:rPr>
  </w:style>
  <w:style w:type="numbering" w:customStyle="1" w:styleId="ListBullets0">
    <w:name w:val="ListBullets"/>
    <w:uiPriority w:val="99"/>
    <w:rsid w:val="00054F07"/>
    <w:pPr>
      <w:numPr>
        <w:numId w:val="22"/>
      </w:numPr>
    </w:pPr>
  </w:style>
  <w:style w:type="numbering" w:customStyle="1" w:styleId="ListNumbers">
    <w:name w:val="ListNumbers"/>
    <w:uiPriority w:val="99"/>
    <w:rsid w:val="00B3190D"/>
    <w:pPr>
      <w:numPr>
        <w:numId w:val="24"/>
      </w:numPr>
    </w:pPr>
  </w:style>
  <w:style w:type="table" w:styleId="TableGrid">
    <w:name w:val="Table Grid"/>
    <w:basedOn w:val="TableNormal"/>
    <w:uiPriority w:val="59"/>
    <w:rsid w:val="00A43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D81"/>
    <w:rPr>
      <w:rFonts w:ascii="Tahoma" w:hAnsi="Tahoma" w:cs="Tahoma"/>
      <w:sz w:val="16"/>
      <w:szCs w:val="16"/>
    </w:rPr>
  </w:style>
  <w:style w:type="character" w:customStyle="1" w:styleId="BalloonTextChar">
    <w:name w:val="Balloon Text Char"/>
    <w:link w:val="BalloonText"/>
    <w:uiPriority w:val="99"/>
    <w:semiHidden/>
    <w:rsid w:val="00C13D81"/>
    <w:rPr>
      <w:rFonts w:ascii="Tahoma" w:hAnsi="Tahoma" w:cs="Tahoma"/>
      <w:sz w:val="16"/>
      <w:szCs w:val="16"/>
    </w:rPr>
  </w:style>
  <w:style w:type="character" w:styleId="CommentReference">
    <w:name w:val="annotation reference"/>
    <w:uiPriority w:val="99"/>
    <w:semiHidden/>
    <w:unhideWhenUsed/>
    <w:rsid w:val="00CF7776"/>
    <w:rPr>
      <w:sz w:val="16"/>
      <w:szCs w:val="16"/>
    </w:rPr>
  </w:style>
  <w:style w:type="paragraph" w:styleId="CommentText">
    <w:name w:val="annotation text"/>
    <w:basedOn w:val="Normal"/>
    <w:link w:val="CommentTextChar"/>
    <w:uiPriority w:val="99"/>
    <w:semiHidden/>
    <w:unhideWhenUsed/>
    <w:rsid w:val="00CF7776"/>
    <w:rPr>
      <w:sz w:val="20"/>
      <w:szCs w:val="20"/>
    </w:rPr>
  </w:style>
  <w:style w:type="character" w:customStyle="1" w:styleId="CommentTextChar">
    <w:name w:val="Comment Text Char"/>
    <w:link w:val="CommentText"/>
    <w:uiPriority w:val="99"/>
    <w:semiHidden/>
    <w:rsid w:val="00CF777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F7776"/>
    <w:rPr>
      <w:b/>
      <w:bCs/>
    </w:rPr>
  </w:style>
  <w:style w:type="character" w:customStyle="1" w:styleId="CommentSubjectChar">
    <w:name w:val="Comment Subject Char"/>
    <w:link w:val="CommentSubject"/>
    <w:uiPriority w:val="99"/>
    <w:semiHidden/>
    <w:rsid w:val="00CF7776"/>
    <w:rPr>
      <w:rFonts w:ascii="Times New Roman" w:hAnsi="Times New Roman"/>
      <w:b/>
      <w:bCs/>
    </w:rPr>
  </w:style>
  <w:style w:type="paragraph" w:styleId="Header">
    <w:name w:val="header"/>
    <w:basedOn w:val="Normal"/>
    <w:link w:val="HeaderChar"/>
    <w:uiPriority w:val="99"/>
    <w:unhideWhenUsed/>
    <w:rsid w:val="002B6267"/>
    <w:pPr>
      <w:tabs>
        <w:tab w:val="center" w:pos="4680"/>
        <w:tab w:val="right" w:pos="9360"/>
      </w:tabs>
    </w:pPr>
  </w:style>
  <w:style w:type="character" w:customStyle="1" w:styleId="HeaderChar">
    <w:name w:val="Header Char"/>
    <w:link w:val="Header"/>
    <w:uiPriority w:val="99"/>
    <w:rsid w:val="002B6267"/>
    <w:rPr>
      <w:rFonts w:ascii="Times New Roman" w:hAnsi="Times New Roman"/>
      <w:sz w:val="24"/>
      <w:szCs w:val="24"/>
    </w:rPr>
  </w:style>
  <w:style w:type="paragraph" w:styleId="Footer">
    <w:name w:val="footer"/>
    <w:basedOn w:val="Normal"/>
    <w:link w:val="FooterChar"/>
    <w:uiPriority w:val="99"/>
    <w:unhideWhenUsed/>
    <w:rsid w:val="002B6267"/>
    <w:pPr>
      <w:tabs>
        <w:tab w:val="center" w:pos="4680"/>
        <w:tab w:val="right" w:pos="9360"/>
      </w:tabs>
    </w:pPr>
  </w:style>
  <w:style w:type="character" w:customStyle="1" w:styleId="FooterChar">
    <w:name w:val="Footer Char"/>
    <w:link w:val="Footer"/>
    <w:uiPriority w:val="99"/>
    <w:rsid w:val="002B626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3FCB5981B6164AA47525A2C48DA5E1" ma:contentTypeVersion="3" ma:contentTypeDescription="Create a new document." ma:contentTypeScope="" ma:versionID="d3a9bca75a0d2c40cd31f26b5b1e3fc0">
  <xsd:schema xmlns:xsd="http://www.w3.org/2001/XMLSchema" xmlns:xs="http://www.w3.org/2001/XMLSchema" xmlns:p="http://schemas.microsoft.com/office/2006/metadata/properties" xmlns:ns2="444fad00-ec21-46cc-a133-d70aaec15ab6" targetNamespace="http://schemas.microsoft.com/office/2006/metadata/properties" ma:root="true" ma:fieldsID="fec6de422b749e71b480103e35d837a4" ns2:_="">
    <xsd:import namespace="444fad00-ec21-46cc-a133-d70aaec15ab6"/>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fad00-ec21-46cc-a133-d70aaec15a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C004D-EDD4-4EA1-A43A-E0E31CCCF6A0}">
  <ds:schemaRefs>
    <ds:schemaRef ds:uri="http://schemas.microsoft.com/sharepoint/v3/contenttype/forms"/>
  </ds:schemaRefs>
</ds:datastoreItem>
</file>

<file path=customXml/itemProps2.xml><?xml version="1.0" encoding="utf-8"?>
<ds:datastoreItem xmlns:ds="http://schemas.openxmlformats.org/officeDocument/2006/customXml" ds:itemID="{DD732130-9903-4079-A708-45D0D640E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4fad00-ec21-46cc-a133-d70aaec15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532FE7-DCE8-4F46-AB4E-926031F472C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44fad00-ec21-46cc-a133-d70aaec15ab6"/>
    <ds:schemaRef ds:uri="http://www.w3.org/XML/1998/namespace"/>
    <ds:schemaRef ds:uri="http://purl.org/dc/dcmitype/"/>
  </ds:schemaRefs>
</ds:datastoreItem>
</file>

<file path=customXml/itemProps4.xml><?xml version="1.0" encoding="utf-8"?>
<ds:datastoreItem xmlns:ds="http://schemas.openxmlformats.org/officeDocument/2006/customXml" ds:itemID="{20D4570A-8CF8-4B56-A183-E2D8ACD48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 Trauger</dc:creator>
  <cp:keywords/>
  <dc:description/>
  <cp:lastModifiedBy>John Painter</cp:lastModifiedBy>
  <cp:revision>2</cp:revision>
  <cp:lastPrinted>2015-12-08T20:15:00Z</cp:lastPrinted>
  <dcterms:created xsi:type="dcterms:W3CDTF">2016-09-17T19:04:00Z</dcterms:created>
  <dcterms:modified xsi:type="dcterms:W3CDTF">2016-09-17T19:04:00Z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0x010100B23FCB5981B6164AA47525A2C48DA5E1</vt:lpwstr>
  </property>
</Properties>
</file>