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AD5FE" w14:textId="200158AC" w:rsidR="008D305B" w:rsidRPr="00C74B34" w:rsidRDefault="000E2C08" w:rsidP="006B2D8F">
      <w:pPr>
        <w:pStyle w:val="Heading1"/>
        <w:tabs>
          <w:tab w:val="left" w:pos="1890"/>
        </w:tabs>
        <w:spacing w:before="240" w:after="0"/>
        <w:rPr>
          <w:rFonts w:asciiTheme="majorHAnsi" w:hAnsiTheme="majorHAnsi" w:cs="Arial"/>
          <w:b w:val="0"/>
          <w:sz w:val="28"/>
          <w:szCs w:val="28"/>
        </w:rPr>
      </w:pPr>
      <w:r w:rsidRPr="00C74B34">
        <w:rPr>
          <w:rFonts w:asciiTheme="majorHAnsi" w:hAnsiTheme="majorHAnsi" w:cs="Arial"/>
          <w:sz w:val="28"/>
          <w:szCs w:val="28"/>
        </w:rPr>
        <w:t xml:space="preserve">Task Order </w:t>
      </w:r>
      <w:r w:rsidR="00F31163">
        <w:rPr>
          <w:rFonts w:asciiTheme="majorHAnsi" w:hAnsiTheme="majorHAnsi" w:cs="Arial"/>
          <w:sz w:val="28"/>
          <w:szCs w:val="28"/>
        </w:rPr>
        <w:t>2</w:t>
      </w:r>
      <w:r w:rsidR="00217931" w:rsidRPr="00C74B34">
        <w:rPr>
          <w:rFonts w:asciiTheme="majorHAnsi" w:hAnsiTheme="majorHAnsi" w:cs="Arial"/>
          <w:sz w:val="28"/>
          <w:szCs w:val="28"/>
        </w:rPr>
        <w:t>:</w:t>
      </w:r>
      <w:r w:rsidR="006B2D8F">
        <w:rPr>
          <w:rFonts w:asciiTheme="majorHAnsi" w:hAnsiTheme="majorHAnsi" w:cs="Arial"/>
          <w:sz w:val="28"/>
          <w:szCs w:val="28"/>
        </w:rPr>
        <w:tab/>
      </w:r>
      <w:r w:rsidR="00F31163">
        <w:rPr>
          <w:rFonts w:asciiTheme="majorHAnsi" w:hAnsiTheme="majorHAnsi" w:cs="Arial"/>
          <w:sz w:val="28"/>
          <w:szCs w:val="28"/>
        </w:rPr>
        <w:t>Renewables Options Survey</w:t>
      </w:r>
    </w:p>
    <w:p w14:paraId="39F03D67" w14:textId="77777777" w:rsidR="0050670A" w:rsidRPr="00C74B34" w:rsidRDefault="0050670A" w:rsidP="00C74B34">
      <w:pPr>
        <w:pStyle w:val="Heading1"/>
        <w:spacing w:before="240" w:after="0"/>
        <w:rPr>
          <w:rFonts w:asciiTheme="majorHAnsi" w:hAnsiTheme="majorHAnsi"/>
        </w:rPr>
      </w:pPr>
      <w:r w:rsidRPr="00C74B34">
        <w:rPr>
          <w:rFonts w:asciiTheme="majorHAnsi" w:hAnsiTheme="majorHAnsi"/>
        </w:rPr>
        <w:t>general</w:t>
      </w:r>
    </w:p>
    <w:p w14:paraId="507060DF" w14:textId="7CFCA718" w:rsidR="008C1DE0" w:rsidRPr="007E2ED3" w:rsidRDefault="00E14F9F" w:rsidP="004D4E87">
      <w:pPr>
        <w:pStyle w:val="BodyText"/>
        <w:rPr>
          <w:rFonts w:asciiTheme="majorHAnsi" w:hAnsiTheme="majorHAnsi" w:cs="Arial"/>
          <w:sz w:val="22"/>
          <w:szCs w:val="24"/>
        </w:rPr>
      </w:pPr>
      <w:r w:rsidRPr="007E2ED3">
        <w:rPr>
          <w:rFonts w:asciiTheme="majorHAnsi" w:hAnsiTheme="majorHAnsi" w:cs="Arial"/>
          <w:sz w:val="22"/>
          <w:szCs w:val="24"/>
        </w:rPr>
        <w:t xml:space="preserve">The </w:t>
      </w:r>
      <w:r w:rsidR="00C74B34" w:rsidRPr="007E2ED3">
        <w:rPr>
          <w:rFonts w:asciiTheme="majorHAnsi" w:hAnsiTheme="majorHAnsi" w:cs="Arial"/>
          <w:sz w:val="22"/>
          <w:szCs w:val="24"/>
        </w:rPr>
        <w:t>Scope of S</w:t>
      </w:r>
      <w:r w:rsidR="002D19F1" w:rsidRPr="007E2ED3">
        <w:rPr>
          <w:rFonts w:asciiTheme="majorHAnsi" w:hAnsiTheme="majorHAnsi" w:cs="Arial"/>
          <w:sz w:val="22"/>
          <w:szCs w:val="24"/>
        </w:rPr>
        <w:t xml:space="preserve">ervices conducted </w:t>
      </w:r>
      <w:r w:rsidR="0050670A" w:rsidRPr="007E2ED3">
        <w:rPr>
          <w:rFonts w:asciiTheme="majorHAnsi" w:hAnsiTheme="majorHAnsi" w:cs="Arial"/>
          <w:sz w:val="22"/>
          <w:szCs w:val="24"/>
        </w:rPr>
        <w:t>under this</w:t>
      </w:r>
      <w:r w:rsidR="008D305B" w:rsidRPr="007E2ED3">
        <w:rPr>
          <w:rFonts w:asciiTheme="majorHAnsi" w:hAnsiTheme="majorHAnsi" w:cs="Arial"/>
          <w:sz w:val="22"/>
          <w:szCs w:val="24"/>
        </w:rPr>
        <w:t xml:space="preserve"> </w:t>
      </w:r>
      <w:r w:rsidR="009727C5">
        <w:rPr>
          <w:rFonts w:asciiTheme="majorHAnsi" w:hAnsiTheme="majorHAnsi" w:cs="Arial"/>
          <w:b/>
          <w:sz w:val="22"/>
          <w:szCs w:val="24"/>
        </w:rPr>
        <w:t xml:space="preserve">Task Order </w:t>
      </w:r>
      <w:r w:rsidR="0019399B">
        <w:rPr>
          <w:rFonts w:asciiTheme="majorHAnsi" w:hAnsiTheme="majorHAnsi" w:cs="Arial"/>
          <w:b/>
          <w:sz w:val="22"/>
          <w:szCs w:val="24"/>
        </w:rPr>
        <w:t xml:space="preserve">2 </w:t>
      </w:r>
      <w:r w:rsidR="0050670A" w:rsidRPr="007E2ED3">
        <w:rPr>
          <w:rFonts w:asciiTheme="majorHAnsi" w:hAnsiTheme="majorHAnsi" w:cs="Arial"/>
          <w:sz w:val="22"/>
          <w:szCs w:val="24"/>
        </w:rPr>
        <w:t>will be</w:t>
      </w:r>
      <w:r w:rsidR="000E2C08" w:rsidRPr="007E2ED3">
        <w:rPr>
          <w:rFonts w:asciiTheme="majorHAnsi" w:hAnsiTheme="majorHAnsi" w:cs="Arial"/>
          <w:sz w:val="22"/>
          <w:szCs w:val="24"/>
        </w:rPr>
        <w:t xml:space="preserve"> </w:t>
      </w:r>
      <w:r w:rsidR="009727C5">
        <w:rPr>
          <w:rFonts w:asciiTheme="majorHAnsi" w:hAnsiTheme="majorHAnsi" w:cs="Arial"/>
          <w:sz w:val="22"/>
          <w:szCs w:val="24"/>
        </w:rPr>
        <w:t>established</w:t>
      </w:r>
      <w:r w:rsidR="002D19F1" w:rsidRPr="007E2ED3">
        <w:rPr>
          <w:rFonts w:asciiTheme="majorHAnsi" w:hAnsiTheme="majorHAnsi" w:cs="Arial"/>
          <w:sz w:val="22"/>
          <w:szCs w:val="24"/>
        </w:rPr>
        <w:t xml:space="preserve"> by mutual agreement </w:t>
      </w:r>
      <w:r w:rsidR="008C1DE0" w:rsidRPr="007E2ED3">
        <w:rPr>
          <w:rFonts w:asciiTheme="majorHAnsi" w:hAnsiTheme="majorHAnsi" w:cs="Arial"/>
          <w:sz w:val="22"/>
          <w:szCs w:val="24"/>
        </w:rPr>
        <w:t>between</w:t>
      </w:r>
      <w:r w:rsidR="002D19F1" w:rsidRPr="007E2ED3">
        <w:rPr>
          <w:rFonts w:asciiTheme="majorHAnsi" w:hAnsiTheme="majorHAnsi" w:cs="Arial"/>
          <w:sz w:val="22"/>
          <w:szCs w:val="24"/>
        </w:rPr>
        <w:t xml:space="preserve"> </w:t>
      </w:r>
      <w:r w:rsidR="00F31163">
        <w:rPr>
          <w:rFonts w:asciiTheme="majorHAnsi" w:hAnsiTheme="majorHAnsi" w:cs="Arial"/>
          <w:sz w:val="22"/>
          <w:szCs w:val="24"/>
        </w:rPr>
        <w:t>Kentucky Municipal Energy Agency</w:t>
      </w:r>
      <w:r w:rsidR="00673C0B">
        <w:rPr>
          <w:rFonts w:asciiTheme="majorHAnsi" w:hAnsiTheme="majorHAnsi" w:cs="Arial"/>
          <w:sz w:val="22"/>
          <w:szCs w:val="24"/>
        </w:rPr>
        <w:t xml:space="preserve"> </w:t>
      </w:r>
      <w:r w:rsidR="00043B8A" w:rsidRPr="00187857">
        <w:rPr>
          <w:rFonts w:asciiTheme="majorHAnsi" w:hAnsiTheme="majorHAnsi" w:cs="Arial"/>
          <w:sz w:val="22"/>
          <w:szCs w:val="24"/>
        </w:rPr>
        <w:t>(“Client”</w:t>
      </w:r>
      <w:r w:rsidR="00673C0B">
        <w:rPr>
          <w:rFonts w:asciiTheme="majorHAnsi" w:hAnsiTheme="majorHAnsi" w:cs="Arial"/>
          <w:sz w:val="22"/>
          <w:szCs w:val="24"/>
        </w:rPr>
        <w:t xml:space="preserve"> or “</w:t>
      </w:r>
      <w:r w:rsidR="00F31163">
        <w:rPr>
          <w:rFonts w:asciiTheme="majorHAnsi" w:hAnsiTheme="majorHAnsi" w:cs="Arial"/>
          <w:sz w:val="22"/>
          <w:szCs w:val="24"/>
        </w:rPr>
        <w:t>KyMEA”</w:t>
      </w:r>
      <w:r w:rsidR="00043B8A" w:rsidRPr="00187857">
        <w:rPr>
          <w:rFonts w:asciiTheme="majorHAnsi" w:hAnsiTheme="majorHAnsi" w:cs="Arial"/>
          <w:sz w:val="22"/>
          <w:szCs w:val="24"/>
        </w:rPr>
        <w:t xml:space="preserve">) and nFront Consulting LLC (“Consultant” or “nFront Consulting”), collectively </w:t>
      </w:r>
      <w:r w:rsidR="002D19F1" w:rsidRPr="007E2ED3">
        <w:rPr>
          <w:rFonts w:asciiTheme="majorHAnsi" w:hAnsiTheme="majorHAnsi" w:cs="Arial"/>
          <w:sz w:val="22"/>
          <w:szCs w:val="24"/>
        </w:rPr>
        <w:t>the Parties</w:t>
      </w:r>
      <w:r w:rsidR="00043B8A" w:rsidRPr="007E2ED3">
        <w:rPr>
          <w:rFonts w:asciiTheme="majorHAnsi" w:hAnsiTheme="majorHAnsi" w:cs="Arial"/>
          <w:sz w:val="22"/>
          <w:szCs w:val="24"/>
        </w:rPr>
        <w:t>,</w:t>
      </w:r>
      <w:r w:rsidR="002D19F1" w:rsidRPr="007E2ED3">
        <w:rPr>
          <w:rFonts w:asciiTheme="majorHAnsi" w:hAnsiTheme="majorHAnsi" w:cs="Arial"/>
          <w:sz w:val="22"/>
          <w:szCs w:val="24"/>
        </w:rPr>
        <w:t xml:space="preserve"> and will be conducted </w:t>
      </w:r>
      <w:r w:rsidRPr="007E2ED3">
        <w:rPr>
          <w:rFonts w:asciiTheme="majorHAnsi" w:hAnsiTheme="majorHAnsi" w:cs="Arial"/>
          <w:sz w:val="22"/>
          <w:szCs w:val="24"/>
        </w:rPr>
        <w:t xml:space="preserve">under the provisions of the </w:t>
      </w:r>
      <w:r w:rsidR="00BA5A03" w:rsidRPr="007E2ED3">
        <w:rPr>
          <w:rFonts w:asciiTheme="majorHAnsi" w:hAnsiTheme="majorHAnsi" w:cs="Arial"/>
          <w:sz w:val="22"/>
          <w:szCs w:val="24"/>
        </w:rPr>
        <w:t xml:space="preserve">above referenced </w:t>
      </w:r>
      <w:r w:rsidR="002513DE" w:rsidRPr="007E2ED3">
        <w:rPr>
          <w:rFonts w:asciiTheme="majorHAnsi" w:hAnsiTheme="majorHAnsi" w:cs="Arial"/>
          <w:sz w:val="22"/>
          <w:szCs w:val="24"/>
        </w:rPr>
        <w:t>Professional Services</w:t>
      </w:r>
      <w:r w:rsidR="00EB06EA" w:rsidRPr="007E2ED3">
        <w:rPr>
          <w:rFonts w:asciiTheme="majorHAnsi" w:hAnsiTheme="majorHAnsi" w:cs="Arial"/>
          <w:sz w:val="22"/>
          <w:szCs w:val="24"/>
        </w:rPr>
        <w:t xml:space="preserve"> </w:t>
      </w:r>
      <w:r w:rsidRPr="007E2ED3">
        <w:rPr>
          <w:rFonts w:asciiTheme="majorHAnsi" w:hAnsiTheme="majorHAnsi" w:cs="Arial"/>
          <w:sz w:val="22"/>
          <w:szCs w:val="24"/>
        </w:rPr>
        <w:t xml:space="preserve">Agreement </w:t>
      </w:r>
      <w:r w:rsidR="00EB06EA" w:rsidRPr="007E2ED3">
        <w:rPr>
          <w:rFonts w:asciiTheme="majorHAnsi" w:hAnsiTheme="majorHAnsi" w:cs="Arial"/>
          <w:sz w:val="22"/>
          <w:szCs w:val="24"/>
        </w:rPr>
        <w:t>(“Agreement”)</w:t>
      </w:r>
      <w:r w:rsidR="005D1720" w:rsidRPr="007E2ED3">
        <w:rPr>
          <w:rFonts w:asciiTheme="majorHAnsi" w:hAnsiTheme="majorHAnsi" w:cs="Arial"/>
          <w:sz w:val="22"/>
          <w:szCs w:val="24"/>
        </w:rPr>
        <w:t>.</w:t>
      </w:r>
    </w:p>
    <w:p w14:paraId="02413DA8" w14:textId="733FBEE2" w:rsidR="005D1720" w:rsidRPr="007E2ED3" w:rsidRDefault="005D1720" w:rsidP="004D4E87">
      <w:pPr>
        <w:pStyle w:val="BodyText"/>
        <w:rPr>
          <w:rFonts w:asciiTheme="majorHAnsi" w:hAnsiTheme="majorHAnsi" w:cs="Arial"/>
          <w:sz w:val="22"/>
          <w:szCs w:val="24"/>
        </w:rPr>
      </w:pPr>
      <w:r w:rsidRPr="007E2ED3">
        <w:rPr>
          <w:rFonts w:asciiTheme="majorHAnsi" w:hAnsiTheme="majorHAnsi" w:cs="Arial"/>
          <w:sz w:val="22"/>
          <w:szCs w:val="24"/>
        </w:rPr>
        <w:t xml:space="preserve">The intended purpose of this Task Order is </w:t>
      </w:r>
      <w:r w:rsidR="007E2ED3">
        <w:rPr>
          <w:rFonts w:asciiTheme="majorHAnsi" w:hAnsiTheme="majorHAnsi" w:cs="Arial"/>
          <w:sz w:val="22"/>
          <w:szCs w:val="24"/>
        </w:rPr>
        <w:t xml:space="preserve">for the Consultant </w:t>
      </w:r>
      <w:r w:rsidRPr="007E2ED3">
        <w:rPr>
          <w:rFonts w:asciiTheme="majorHAnsi" w:hAnsiTheme="majorHAnsi" w:cs="Arial"/>
          <w:sz w:val="22"/>
          <w:szCs w:val="24"/>
        </w:rPr>
        <w:t xml:space="preserve">to provide </w:t>
      </w:r>
      <w:r w:rsidR="007E2ED3">
        <w:rPr>
          <w:rFonts w:asciiTheme="majorHAnsi" w:hAnsiTheme="majorHAnsi" w:cs="Arial"/>
          <w:sz w:val="22"/>
          <w:szCs w:val="24"/>
        </w:rPr>
        <w:t xml:space="preserve">consulting services to the Client </w:t>
      </w:r>
      <w:r w:rsidRPr="007E2ED3">
        <w:rPr>
          <w:rFonts w:asciiTheme="majorHAnsi" w:hAnsiTheme="majorHAnsi" w:cs="Arial"/>
          <w:sz w:val="22"/>
          <w:szCs w:val="24"/>
        </w:rPr>
        <w:t>to assist with the Cli</w:t>
      </w:r>
      <w:r w:rsidR="009727C5">
        <w:rPr>
          <w:rFonts w:asciiTheme="majorHAnsi" w:hAnsiTheme="majorHAnsi" w:cs="Arial"/>
          <w:sz w:val="22"/>
          <w:szCs w:val="24"/>
        </w:rPr>
        <w:t xml:space="preserve">ent’s decision-making process. </w:t>
      </w:r>
      <w:r w:rsidRPr="007E2ED3">
        <w:rPr>
          <w:rFonts w:asciiTheme="majorHAnsi" w:hAnsiTheme="majorHAnsi" w:cs="Arial"/>
          <w:sz w:val="22"/>
          <w:szCs w:val="24"/>
        </w:rPr>
        <w:t xml:space="preserve">Work </w:t>
      </w:r>
      <w:r w:rsidR="007E2ED3">
        <w:rPr>
          <w:rFonts w:asciiTheme="majorHAnsi" w:hAnsiTheme="majorHAnsi" w:cs="Arial"/>
          <w:sz w:val="22"/>
          <w:szCs w:val="24"/>
        </w:rPr>
        <w:t>P</w:t>
      </w:r>
      <w:r w:rsidRPr="007E2ED3">
        <w:rPr>
          <w:rFonts w:asciiTheme="majorHAnsi" w:hAnsiTheme="majorHAnsi" w:cs="Arial"/>
          <w:sz w:val="22"/>
          <w:szCs w:val="24"/>
        </w:rPr>
        <w:t>roducts provided under this Task Order are intended for use solely by the Client</w:t>
      </w:r>
      <w:r w:rsidR="009727C5">
        <w:rPr>
          <w:rFonts w:asciiTheme="majorHAnsi" w:hAnsiTheme="majorHAnsi" w:cs="Arial"/>
          <w:sz w:val="22"/>
          <w:szCs w:val="24"/>
        </w:rPr>
        <w:t xml:space="preserve"> for the purposes stated herein</w:t>
      </w:r>
      <w:r w:rsidRPr="007E2ED3">
        <w:rPr>
          <w:rFonts w:asciiTheme="majorHAnsi" w:hAnsiTheme="majorHAnsi" w:cs="Arial"/>
          <w:sz w:val="22"/>
          <w:szCs w:val="24"/>
        </w:rPr>
        <w:t>.</w:t>
      </w:r>
      <w:r w:rsidR="00ED6430" w:rsidRPr="007E2ED3">
        <w:rPr>
          <w:rFonts w:asciiTheme="majorHAnsi" w:hAnsiTheme="majorHAnsi" w:cs="Arial"/>
          <w:sz w:val="22"/>
          <w:szCs w:val="24"/>
        </w:rPr>
        <w:t xml:space="preserve"> </w:t>
      </w:r>
      <w:r w:rsidR="00043B8A" w:rsidRPr="007E2ED3">
        <w:rPr>
          <w:rFonts w:asciiTheme="majorHAnsi" w:hAnsiTheme="majorHAnsi" w:cs="Arial"/>
          <w:sz w:val="22"/>
          <w:szCs w:val="24"/>
        </w:rPr>
        <w:t xml:space="preserve"> </w:t>
      </w:r>
      <w:r w:rsidR="00BA5A03" w:rsidRPr="007E2ED3">
        <w:rPr>
          <w:rFonts w:asciiTheme="majorHAnsi" w:hAnsiTheme="majorHAnsi" w:cs="Arial"/>
          <w:sz w:val="22"/>
          <w:szCs w:val="24"/>
        </w:rPr>
        <w:t>Capitalized terms not defined herein shall have the meanings ascribed to them in that Agreement.</w:t>
      </w:r>
    </w:p>
    <w:p w14:paraId="1BE70610" w14:textId="57011D86" w:rsidR="009727C5" w:rsidRDefault="009A2B30" w:rsidP="004D4E87">
      <w:pPr>
        <w:pStyle w:val="Heading1"/>
        <w:spacing w:before="240" w:after="0"/>
        <w:rPr>
          <w:rFonts w:asciiTheme="majorHAnsi" w:hAnsiTheme="majorHAnsi" w:cs="Arial"/>
          <w:szCs w:val="24"/>
        </w:rPr>
      </w:pPr>
      <w:r w:rsidRPr="008C1DE0">
        <w:rPr>
          <w:rFonts w:asciiTheme="majorHAnsi" w:hAnsiTheme="majorHAnsi" w:cs="Arial"/>
          <w:szCs w:val="24"/>
        </w:rPr>
        <w:t>Scope of</w:t>
      </w:r>
      <w:r w:rsidR="003D2F9D">
        <w:rPr>
          <w:rFonts w:asciiTheme="majorHAnsi" w:hAnsiTheme="majorHAnsi" w:cs="Arial"/>
          <w:szCs w:val="24"/>
        </w:rPr>
        <w:t xml:space="preserve"> services</w:t>
      </w:r>
    </w:p>
    <w:p w14:paraId="5A06A79A" w14:textId="77777777" w:rsidR="00F31163" w:rsidRPr="00F31163" w:rsidRDefault="00F31163" w:rsidP="004D4E87">
      <w:pPr>
        <w:spacing w:before="120" w:line="240" w:lineRule="auto"/>
        <w:jc w:val="both"/>
      </w:pPr>
      <w:r w:rsidRPr="00F31163">
        <w:t xml:space="preserve">Pursuant to the KyMEA Board Resolution dated March 21, 2016 (the “Resolution”) relating to the potential for KyMEA or the KyMEA Members to engage in the development, construction, procurement, and/or execution of a power purchase agreement (“PPA”) associated with renewable resource alternatives (“Renewable Resources”), the Consultant will provide planning services to the Client associated with a survey of potential renewable resources that  could be implemented by the KyMEA Members on or before May 2019 (the Options Survey). </w:t>
      </w:r>
    </w:p>
    <w:p w14:paraId="4C58A0E0" w14:textId="77777777" w:rsidR="00F31163" w:rsidRPr="00F31163" w:rsidRDefault="00F31163" w:rsidP="004D4E87">
      <w:pPr>
        <w:spacing w:before="120" w:line="240" w:lineRule="auto"/>
        <w:jc w:val="both"/>
      </w:pPr>
      <w:r w:rsidRPr="00F31163">
        <w:t>The Resolution resolves that during the early portion of fiscal year 2016/2017, KyMEA will commence an effort to identify and evaluate alternatives for implementing Renewable Resources as early as May 2019.  The goals of the Options Survey will be to (i) identify renewable resource options that can be practically implemented by KyMEA or the KyMEA Members as soon as 2019; (ii) develop ge</w:t>
      </w:r>
      <w:r w:rsidRPr="00F31163">
        <w:lastRenderedPageBreak/>
        <w:t xml:space="preserve">neric, planning level estimates of the development and annual costs of such options and the practical implementation considerations related thereto; (iii) develop projections of avoided power supply costs and the net premium (or discount) incurred by the Members to implement Renewable Resources; (iv) describe the roles and responsibilities of KyMEA and the KyMEA Members in implementing the Renewable Resources identified; and (v) as an optional task, survey stakeholders within the communities of the KyMEA Members to gauge interest in Renewable Resources, including the willingness to bear potentially higher costs of Renewable Resources as compared to conventional power supply options. </w:t>
      </w:r>
    </w:p>
    <w:p w14:paraId="7F209AB8" w14:textId="77777777" w:rsidR="00F31163" w:rsidRPr="00F31163" w:rsidRDefault="00F31163" w:rsidP="004D4E87">
      <w:pPr>
        <w:spacing w:before="120" w:line="240" w:lineRule="auto"/>
        <w:jc w:val="both"/>
      </w:pPr>
      <w:r w:rsidRPr="00F31163">
        <w:t>The tasks that follow delineate the activities to be undertaken by the Consultant to accomplish the goals of the Options Survey.</w:t>
      </w:r>
    </w:p>
    <w:p w14:paraId="20DC93E2" w14:textId="77777777" w:rsidR="00F31163" w:rsidRPr="00F31163" w:rsidRDefault="00F31163" w:rsidP="00802934">
      <w:pPr>
        <w:keepNext/>
        <w:spacing w:before="120" w:line="240" w:lineRule="auto"/>
        <w:jc w:val="both"/>
        <w:rPr>
          <w:b/>
        </w:rPr>
      </w:pPr>
      <w:r w:rsidRPr="00F31163">
        <w:rPr>
          <w:b/>
        </w:rPr>
        <w:t>Task 1 – Renewables Market Characterization</w:t>
      </w:r>
    </w:p>
    <w:p w14:paraId="49221580" w14:textId="77777777" w:rsidR="00F31163" w:rsidRPr="00F31163" w:rsidRDefault="00F31163" w:rsidP="00802934">
      <w:pPr>
        <w:spacing w:before="120" w:line="240" w:lineRule="auto"/>
        <w:jc w:val="both"/>
      </w:pPr>
      <w:r w:rsidRPr="00F31163">
        <w:t xml:space="preserve">Consultant will characterize the current state of the renewables market in the context of deployment options for KyMEA and/or the KyMEA Members.  While Renewable Resources can broadly include various solar options, wind, hydroelectric, biomass, and certain other emerging resource technologies, given construction timeline constraints and resource availability limitations, the focus of this scope will be limited to solar photovoltaic (“PV”), wind and known hydroelectric projects. </w:t>
      </w:r>
    </w:p>
    <w:p w14:paraId="3B9FA585" w14:textId="50FF5E20" w:rsidR="00F31163" w:rsidRPr="00F31163" w:rsidRDefault="00F31163" w:rsidP="004D4E87">
      <w:pPr>
        <w:spacing w:before="120" w:line="240" w:lineRule="auto"/>
        <w:jc w:val="both"/>
      </w:pPr>
      <w:r w:rsidRPr="00F31163">
        <w:t xml:space="preserve">Preliminarily, the market characterization will focus on the following types of potential Renewable Resource options.  For each of the following options, consideration will be given to </w:t>
      </w:r>
      <w:r w:rsidR="004051C2">
        <w:t>both self-build and PPA options.</w:t>
      </w:r>
    </w:p>
    <w:p w14:paraId="769DA6DF" w14:textId="5426FB4C" w:rsidR="00F31163" w:rsidRPr="00F31163" w:rsidRDefault="00F31163" w:rsidP="004D4E87">
      <w:pPr>
        <w:pStyle w:val="ListParagraph"/>
        <w:numPr>
          <w:ilvl w:val="0"/>
          <w:numId w:val="8"/>
        </w:numPr>
        <w:spacing w:before="120" w:line="240" w:lineRule="auto"/>
        <w:ind w:left="720" w:hanging="360"/>
        <w:contextualSpacing w:val="0"/>
        <w:jc w:val="both"/>
      </w:pPr>
      <w:r w:rsidRPr="00F31163">
        <w:t xml:space="preserve">A  single Renewable Resource that is procured or owned and operated by KyMEA on behalf of all of the Members, with costs allocated to all Members through the All Requirements tariff; </w:t>
      </w:r>
    </w:p>
    <w:p w14:paraId="1917A4C3" w14:textId="1CA75072" w:rsidR="00F31163" w:rsidRPr="00F31163" w:rsidRDefault="00F31163" w:rsidP="00802934">
      <w:pPr>
        <w:pStyle w:val="ListParagraph"/>
        <w:numPr>
          <w:ilvl w:val="0"/>
          <w:numId w:val="8"/>
        </w:numPr>
        <w:spacing w:before="0" w:line="240" w:lineRule="auto"/>
        <w:ind w:left="720" w:hanging="360"/>
        <w:contextualSpacing w:val="0"/>
        <w:jc w:val="both"/>
      </w:pPr>
      <w:r w:rsidRPr="00F31163">
        <w:t xml:space="preserve">A  single Renewable Resource that is procured or owned and operated by KyMEA on behalf of one or more of the Members, with costs allocated to </w:t>
      </w:r>
      <w:r w:rsidR="00AB4FC1">
        <w:t xml:space="preserve">(a) </w:t>
      </w:r>
      <w:r w:rsidRPr="00F31163">
        <w:t>Members based on resource quantities subscribed to by each Member</w:t>
      </w:r>
      <w:r w:rsidR="00AB4FC1">
        <w:t xml:space="preserve"> or (b) </w:t>
      </w:r>
      <w:r w:rsidR="00AB4FC1" w:rsidRPr="00F31163">
        <w:t>all Members through the All Requirements tariff</w:t>
      </w:r>
      <w:r w:rsidRPr="00F31163">
        <w:t xml:space="preserve">;  </w:t>
      </w:r>
    </w:p>
    <w:p w14:paraId="3B18881C" w14:textId="6BD629EA" w:rsidR="00F31163" w:rsidRPr="00F31163" w:rsidRDefault="00F31163" w:rsidP="00802934">
      <w:pPr>
        <w:pStyle w:val="ListParagraph"/>
        <w:numPr>
          <w:ilvl w:val="0"/>
          <w:numId w:val="8"/>
        </w:numPr>
        <w:spacing w:before="0" w:line="240" w:lineRule="auto"/>
        <w:ind w:left="720" w:hanging="360"/>
        <w:contextualSpacing w:val="0"/>
        <w:jc w:val="both"/>
      </w:pPr>
      <w:r w:rsidRPr="00F31163">
        <w:lastRenderedPageBreak/>
        <w:t xml:space="preserve">Multiple Renewable Resources installed in the Member service areas that are procured or owned and operated by KyMEA on behalf of </w:t>
      </w:r>
      <w:r w:rsidR="00AB4FC1">
        <w:t>certain</w:t>
      </w:r>
      <w:r w:rsidR="00AB4FC1" w:rsidRPr="00F31163">
        <w:t xml:space="preserve"> </w:t>
      </w:r>
      <w:r w:rsidRPr="00F31163">
        <w:t>Members, with costs allocated to Members based on resource quantities subscribed to by each Member; and</w:t>
      </w:r>
    </w:p>
    <w:p w14:paraId="70D71E19" w14:textId="4C4A9E7D" w:rsidR="00F31163" w:rsidRPr="00F31163" w:rsidRDefault="00F31163" w:rsidP="004D4E87">
      <w:pPr>
        <w:spacing w:before="120" w:line="240" w:lineRule="auto"/>
        <w:jc w:val="both"/>
      </w:pPr>
      <w:r w:rsidRPr="00F31163">
        <w:t xml:space="preserve">For each option, the Consultant will develop a summary of the pertinent market considerations, risks, advantages, disadvantages, and other details to characterize the options given the current strategic direction of KyMEA and Member interests.  Financing requirements, approaches to cost recovery, economies of scale, and the terms of Member commitments will be </w:t>
      </w:r>
      <w:r w:rsidR="00616DC7">
        <w:t>addressed</w:t>
      </w:r>
      <w:r w:rsidRPr="00F31163">
        <w:t>.  Roles, responsibilities, and accountabilities of KyMEA as compared to the Members and Member communities will be outlined, and a review of a proposed participation model that avoids cross-subsidization of the cost of the Renewable Resources by other KyMEA Members will be discussed.</w:t>
      </w:r>
    </w:p>
    <w:p w14:paraId="07AA9A46" w14:textId="77777777" w:rsidR="00F31163" w:rsidRPr="00F31163" w:rsidRDefault="00F31163" w:rsidP="004D4E87">
      <w:pPr>
        <w:spacing w:before="120" w:line="240" w:lineRule="auto"/>
        <w:jc w:val="both"/>
      </w:pPr>
      <w:r w:rsidRPr="00F31163">
        <w:t>For each option, the Consultant will develop generic, planning level capital, operating and financing cost assumptions and/or estimated power purchase agreement pricing.  Consultant will rely on externally available sources of information to develop such estimates, including analyses conducted by the EIA and other government and industry organizations, databases to which the Consultant subscribes, research on regionally representative projects, and other sources that may be provided by the Client.  For purposes of developing estimated pricing for PPA options, the Consultant will evaluate reasonable cost recovery and profit of a PPA offeror, including benefits associated with investment tax credits (if applicable).  As practical, costs for renewable resource integration will be computed.</w:t>
      </w:r>
    </w:p>
    <w:p w14:paraId="36ED2634" w14:textId="07031FBE" w:rsidR="00F31163" w:rsidRPr="00F31163" w:rsidRDefault="00F31163" w:rsidP="004D4E87">
      <w:pPr>
        <w:spacing w:before="120" w:line="240" w:lineRule="auto"/>
        <w:jc w:val="both"/>
      </w:pPr>
      <w:r w:rsidRPr="00F31163">
        <w:t xml:space="preserve">Projected costs for the Renewable Resources will be contrasted with projected power supply and/or market prices representative of the power supply portfolio under development for KyMEA, and the value of costs that are projected to be </w:t>
      </w:r>
      <w:r w:rsidRPr="00F31163">
        <w:lastRenderedPageBreak/>
        <w:t xml:space="preserve">avoided by KyMEA and the Members from the installation of the Renewable Resources will be </w:t>
      </w:r>
      <w:r w:rsidR="00616DC7">
        <w:t>projected</w:t>
      </w:r>
      <w:r w:rsidRPr="00F31163">
        <w:t xml:space="preserve">.  Avoided power supply costs could include:  marginal energy costs, generating or market capacity costs, transmission costs, distribution costs (as applicable), system losses and planning reserves, and environmental and regulatory compliance. </w:t>
      </w:r>
    </w:p>
    <w:p w14:paraId="42DF6A43" w14:textId="1DE56BAE" w:rsidR="00F31163" w:rsidRPr="00F31163" w:rsidRDefault="00F31163" w:rsidP="004D4E87">
      <w:pPr>
        <w:spacing w:before="120" w:line="240" w:lineRule="auto"/>
        <w:jc w:val="both"/>
      </w:pPr>
      <w:r w:rsidRPr="00F31163">
        <w:t xml:space="preserve">The Consultant will develop a high-level </w:t>
      </w:r>
      <w:r w:rsidR="00616DC7">
        <w:t>1</w:t>
      </w:r>
      <w:r w:rsidR="00616DC7" w:rsidRPr="00F31163">
        <w:t>0</w:t>
      </w:r>
      <w:r w:rsidRPr="00F31163">
        <w:t>-year financial comparison of the Renewable Resource options.  Costs of the Renewable Resources will be compared to avoided power supply costs to compute the net present value premium (or discount) that participants would</w:t>
      </w:r>
      <w:r>
        <w:t xml:space="preserve"> expect to</w:t>
      </w:r>
      <w:r w:rsidRPr="00F31163">
        <w:t xml:space="preserve"> pay (receive) relative to reliance on conventional resources or the market to serve the load that would be served by each option.  </w:t>
      </w:r>
    </w:p>
    <w:p w14:paraId="159E2A58" w14:textId="028A61E4" w:rsidR="00F31163" w:rsidRPr="00F31163" w:rsidRDefault="00F31163" w:rsidP="004D4E87">
      <w:pPr>
        <w:spacing w:before="120" w:line="240" w:lineRule="auto"/>
        <w:jc w:val="both"/>
      </w:pPr>
      <w:r>
        <w:t>At the conclusion of the Task, t</w:t>
      </w:r>
      <w:r w:rsidRPr="00F31163">
        <w:t xml:space="preserve">he Consultant will prepare a PowerPoint presentation of its findings and will present these findings to the Client at a meeting of the Board of Directors of the KyMEA All Requirements Project. </w:t>
      </w:r>
    </w:p>
    <w:p w14:paraId="6FCB25AB" w14:textId="509EF4E7" w:rsidR="00F31163" w:rsidRPr="00F31163" w:rsidRDefault="00F31163" w:rsidP="00802934">
      <w:pPr>
        <w:keepNext/>
        <w:spacing w:before="120" w:line="240" w:lineRule="auto"/>
        <w:jc w:val="both"/>
        <w:rPr>
          <w:b/>
        </w:rPr>
      </w:pPr>
      <w:r w:rsidRPr="00F31163">
        <w:rPr>
          <w:b/>
        </w:rPr>
        <w:t>Task 2 (Optional) –</w:t>
      </w:r>
      <w:r w:rsidR="004051C2">
        <w:rPr>
          <w:b/>
        </w:rPr>
        <w:t xml:space="preserve"> </w:t>
      </w:r>
      <w:r w:rsidRPr="00F31163">
        <w:rPr>
          <w:b/>
        </w:rPr>
        <w:t>Member Community Engagement</w:t>
      </w:r>
    </w:p>
    <w:p w14:paraId="2D6A8E4E" w14:textId="670B5FD3" w:rsidR="00616DC7" w:rsidRDefault="00F31163" w:rsidP="00802934">
      <w:pPr>
        <w:spacing w:before="120" w:line="240" w:lineRule="auto"/>
        <w:jc w:val="both"/>
      </w:pPr>
      <w:r w:rsidRPr="00F31163">
        <w:t xml:space="preserve">At the Client’s option, the Consultant will </w:t>
      </w:r>
      <w:r w:rsidR="00616DC7">
        <w:t>an agreed upon number of meetings with representatives, community leaders, and interested parties from the</w:t>
      </w:r>
      <w:r w:rsidRPr="00F31163">
        <w:t xml:space="preserve"> KyMEA Member </w:t>
      </w:r>
      <w:r>
        <w:t>organization</w:t>
      </w:r>
      <w:r w:rsidR="00616DC7">
        <w:t>s</w:t>
      </w:r>
      <w:r>
        <w:t xml:space="preserve"> </w:t>
      </w:r>
      <w:r w:rsidRPr="00F31163">
        <w:t>to determine the interest and willingness of the Member communities to participate in the Renewable Resource options.  Depending upon Client’s objectives, the results from Task 1 may be shared with those interviewed in order to solicit feedback regarding the results and findings</w:t>
      </w:r>
      <w:r w:rsidR="00E6460E">
        <w:t>.</w:t>
      </w:r>
    </w:p>
    <w:p w14:paraId="08E057DA" w14:textId="49D8C002" w:rsidR="00F707AF" w:rsidRDefault="00F31163" w:rsidP="00802934">
      <w:pPr>
        <w:spacing w:before="120" w:line="240" w:lineRule="auto"/>
        <w:jc w:val="both"/>
      </w:pPr>
      <w:r w:rsidRPr="00F31163">
        <w:t xml:space="preserve">Consultant will develop a guiding set of questions for the interviews in partnership with Client, with some allowance for open discussion and reaction to the Task 1 results.  Depending on the Client’s objectives and the targeted participants for the interviews, the interviews may be conducted individually or as a group </w:t>
      </w:r>
      <w:r w:rsidR="004051C2">
        <w:t xml:space="preserve">workshop </w:t>
      </w:r>
      <w:r w:rsidRPr="00F31163">
        <w:t xml:space="preserve">and could be conducted telephonically or in person.  A concise summary of the interviews would be provided to Client, with a synopsis of </w:t>
      </w:r>
      <w:r w:rsidR="00616DC7">
        <w:t xml:space="preserve">any </w:t>
      </w:r>
      <w:r w:rsidRPr="00F31163">
        <w:t>common themes from the interviews</w:t>
      </w:r>
      <w:r w:rsidR="003D2F9D" w:rsidRPr="00F31163">
        <w:t>.</w:t>
      </w:r>
    </w:p>
    <w:p w14:paraId="4F74A479" w14:textId="74E0E5AD" w:rsidR="00E6460E" w:rsidRDefault="00E6460E" w:rsidP="00E6460E">
      <w:pPr>
        <w:spacing w:before="120" w:line="240" w:lineRule="auto"/>
        <w:jc w:val="both"/>
      </w:pPr>
      <w:r>
        <w:t>Alternatively, or in addition, an on-line survey of electric customers could be developed</w:t>
      </w:r>
      <w:r>
        <w:t xml:space="preserve"> and implemented </w:t>
      </w:r>
      <w:r>
        <w:t xml:space="preserve">to ascertain </w:t>
      </w:r>
      <w:r>
        <w:t xml:space="preserve">customer </w:t>
      </w:r>
      <w:r>
        <w:t>interest in a particular renewables option.</w:t>
      </w:r>
    </w:p>
    <w:p w14:paraId="3B000A1C" w14:textId="77777777" w:rsidR="00C74B34" w:rsidRPr="008C1DE0" w:rsidRDefault="00ED6430" w:rsidP="008C1DE0">
      <w:pPr>
        <w:pStyle w:val="Heading1"/>
        <w:spacing w:before="240" w:after="0"/>
        <w:rPr>
          <w:rFonts w:asciiTheme="majorHAnsi" w:hAnsiTheme="majorHAnsi" w:cs="Arial"/>
          <w:szCs w:val="24"/>
        </w:rPr>
      </w:pPr>
      <w:r w:rsidRPr="008C1DE0">
        <w:rPr>
          <w:rFonts w:asciiTheme="majorHAnsi" w:hAnsiTheme="majorHAnsi" w:cs="Arial"/>
          <w:szCs w:val="24"/>
        </w:rPr>
        <w:t xml:space="preserve">ADDITIONAL SERVICES </w:t>
      </w:r>
    </w:p>
    <w:p w14:paraId="0B90A94B" w14:textId="77777777" w:rsidR="0050670A" w:rsidRPr="007E2ED3" w:rsidRDefault="0050670A" w:rsidP="004D4E87">
      <w:pPr>
        <w:spacing w:before="120" w:line="240" w:lineRule="auto"/>
        <w:jc w:val="both"/>
        <w:rPr>
          <w:rFonts w:asciiTheme="majorHAnsi" w:hAnsiTheme="majorHAnsi" w:cs="Arial"/>
          <w:szCs w:val="24"/>
        </w:rPr>
      </w:pPr>
      <w:r w:rsidRPr="007E2ED3">
        <w:rPr>
          <w:rFonts w:asciiTheme="majorHAnsi" w:hAnsiTheme="majorHAnsi" w:cs="Arial"/>
          <w:szCs w:val="24"/>
        </w:rPr>
        <w:t>At t</w:t>
      </w:r>
      <w:r w:rsidR="00D2648F" w:rsidRPr="007E2ED3">
        <w:rPr>
          <w:rFonts w:asciiTheme="majorHAnsi" w:hAnsiTheme="majorHAnsi" w:cs="Arial"/>
          <w:szCs w:val="24"/>
        </w:rPr>
        <w:t>he written request of</w:t>
      </w:r>
      <w:r w:rsidR="005E756E" w:rsidRPr="007E2ED3">
        <w:rPr>
          <w:rFonts w:asciiTheme="majorHAnsi" w:hAnsiTheme="majorHAnsi" w:cs="Arial"/>
          <w:szCs w:val="24"/>
        </w:rPr>
        <w:t xml:space="preserve"> the Client</w:t>
      </w:r>
      <w:r w:rsidRPr="007E2ED3">
        <w:rPr>
          <w:rFonts w:asciiTheme="majorHAnsi" w:hAnsiTheme="majorHAnsi" w:cs="Arial"/>
          <w:szCs w:val="24"/>
        </w:rPr>
        <w:t>, and to the extent not</w:t>
      </w:r>
      <w:r w:rsidR="004F1F50" w:rsidRPr="007E2ED3">
        <w:rPr>
          <w:rFonts w:asciiTheme="majorHAnsi" w:hAnsiTheme="majorHAnsi" w:cs="Arial"/>
          <w:szCs w:val="24"/>
        </w:rPr>
        <w:t xml:space="preserve"> provided for i</w:t>
      </w:r>
      <w:r w:rsidR="002513DE" w:rsidRPr="007E2ED3">
        <w:rPr>
          <w:rFonts w:asciiTheme="majorHAnsi" w:hAnsiTheme="majorHAnsi" w:cs="Arial"/>
          <w:szCs w:val="24"/>
        </w:rPr>
        <w:t xml:space="preserve">n this Task Order, </w:t>
      </w:r>
      <w:r w:rsidR="00F707AF" w:rsidRPr="007E2ED3">
        <w:rPr>
          <w:rFonts w:asciiTheme="majorHAnsi" w:hAnsiTheme="majorHAnsi" w:cs="Arial"/>
          <w:szCs w:val="24"/>
        </w:rPr>
        <w:t xml:space="preserve">the </w:t>
      </w:r>
      <w:r w:rsidR="002513DE" w:rsidRPr="007E2ED3">
        <w:rPr>
          <w:rFonts w:asciiTheme="majorHAnsi" w:hAnsiTheme="majorHAnsi" w:cs="Arial"/>
          <w:szCs w:val="24"/>
        </w:rPr>
        <w:t>Consultant</w:t>
      </w:r>
      <w:r w:rsidRPr="007E2ED3">
        <w:rPr>
          <w:rFonts w:asciiTheme="majorHAnsi" w:hAnsiTheme="majorHAnsi" w:cs="Arial"/>
          <w:szCs w:val="24"/>
        </w:rPr>
        <w:t xml:space="preserve"> will perform additional work consistent </w:t>
      </w:r>
      <w:r w:rsidR="00D2648F" w:rsidRPr="007E2ED3">
        <w:rPr>
          <w:rFonts w:asciiTheme="majorHAnsi" w:hAnsiTheme="majorHAnsi" w:cs="Arial"/>
          <w:szCs w:val="24"/>
        </w:rPr>
        <w:t>with the provisions outlined in</w:t>
      </w:r>
      <w:r w:rsidR="004F1F50" w:rsidRPr="007E2ED3">
        <w:rPr>
          <w:rFonts w:asciiTheme="majorHAnsi" w:hAnsiTheme="majorHAnsi" w:cs="Arial"/>
          <w:szCs w:val="24"/>
        </w:rPr>
        <w:t xml:space="preserve"> </w:t>
      </w:r>
      <w:r w:rsidR="002513DE" w:rsidRPr="007E2ED3">
        <w:rPr>
          <w:rFonts w:asciiTheme="majorHAnsi" w:hAnsiTheme="majorHAnsi" w:cs="Arial"/>
          <w:szCs w:val="24"/>
        </w:rPr>
        <w:t xml:space="preserve">the Professional Services </w:t>
      </w:r>
      <w:r w:rsidRPr="007E2ED3">
        <w:rPr>
          <w:rFonts w:asciiTheme="majorHAnsi" w:hAnsiTheme="majorHAnsi" w:cs="Arial"/>
          <w:szCs w:val="24"/>
        </w:rPr>
        <w:t>Agreement.</w:t>
      </w:r>
      <w:r w:rsidR="00CB4F7A" w:rsidRPr="007E2ED3">
        <w:rPr>
          <w:rFonts w:asciiTheme="majorHAnsi" w:hAnsiTheme="majorHAnsi" w:cs="Arial"/>
          <w:szCs w:val="24"/>
        </w:rPr>
        <w:t xml:space="preserve">  Changes or modifications to the </w:t>
      </w:r>
      <w:r w:rsidR="00D161A4" w:rsidRPr="007E2ED3">
        <w:rPr>
          <w:rFonts w:asciiTheme="majorHAnsi" w:hAnsiTheme="majorHAnsi" w:cs="Arial"/>
          <w:szCs w:val="24"/>
        </w:rPr>
        <w:t xml:space="preserve">Scope of Services </w:t>
      </w:r>
      <w:r w:rsidR="00CB4F7A" w:rsidRPr="007E2ED3">
        <w:rPr>
          <w:rFonts w:asciiTheme="majorHAnsi" w:hAnsiTheme="majorHAnsi" w:cs="Arial"/>
          <w:szCs w:val="24"/>
        </w:rPr>
        <w:t>included in this Task Order will be authorized by mutual agreement between the Parties including those affirmed by email correspondence between authorized representatives of the Parties.</w:t>
      </w:r>
    </w:p>
    <w:p w14:paraId="47BB62E9" w14:textId="77777777" w:rsidR="0050670A" w:rsidRPr="00C74B34" w:rsidRDefault="009A2B30" w:rsidP="00C74B34">
      <w:pPr>
        <w:pStyle w:val="Heading1"/>
        <w:spacing w:before="240" w:after="0"/>
        <w:rPr>
          <w:rFonts w:asciiTheme="majorHAnsi" w:hAnsiTheme="majorHAnsi" w:cs="Arial"/>
          <w:szCs w:val="24"/>
        </w:rPr>
      </w:pPr>
      <w:r w:rsidRPr="00C74B34">
        <w:rPr>
          <w:rFonts w:asciiTheme="majorHAnsi" w:hAnsiTheme="majorHAnsi" w:cs="Arial"/>
          <w:szCs w:val="24"/>
        </w:rPr>
        <w:t>Schedule</w:t>
      </w:r>
      <w:r w:rsidR="00A66C71" w:rsidRPr="00C74B34">
        <w:rPr>
          <w:rFonts w:asciiTheme="majorHAnsi" w:hAnsiTheme="majorHAnsi" w:cs="Arial"/>
          <w:szCs w:val="24"/>
        </w:rPr>
        <w:t xml:space="preserve"> for Completion</w:t>
      </w:r>
    </w:p>
    <w:p w14:paraId="7ACE551D" w14:textId="77777777" w:rsidR="0050670A" w:rsidRPr="00206610" w:rsidRDefault="00A66C71" w:rsidP="00C86157">
      <w:pPr>
        <w:tabs>
          <w:tab w:val="left" w:pos="-720"/>
        </w:tabs>
        <w:suppressAutoHyphens/>
        <w:spacing w:before="120" w:line="240" w:lineRule="auto"/>
        <w:jc w:val="both"/>
        <w:rPr>
          <w:rFonts w:asciiTheme="majorHAnsi" w:hAnsiTheme="majorHAnsi" w:cs="Arial"/>
          <w:spacing w:val="-2"/>
          <w:szCs w:val="24"/>
        </w:rPr>
      </w:pPr>
      <w:r w:rsidRPr="00206610">
        <w:rPr>
          <w:rFonts w:asciiTheme="majorHAnsi" w:hAnsiTheme="majorHAnsi" w:cs="Arial"/>
          <w:spacing w:val="-2"/>
          <w:szCs w:val="24"/>
        </w:rPr>
        <w:t xml:space="preserve">The </w:t>
      </w:r>
      <w:r w:rsidR="005E756E" w:rsidRPr="00206610">
        <w:rPr>
          <w:rFonts w:asciiTheme="majorHAnsi" w:hAnsiTheme="majorHAnsi" w:cs="Arial"/>
          <w:spacing w:val="-2"/>
          <w:szCs w:val="24"/>
        </w:rPr>
        <w:t>Parties will mutually agree upon the Schedule for Completion of each activity included in this Task Order</w:t>
      </w:r>
      <w:r w:rsidR="0050670A" w:rsidRPr="00206610">
        <w:rPr>
          <w:rFonts w:asciiTheme="majorHAnsi" w:hAnsiTheme="majorHAnsi" w:cs="Arial"/>
          <w:spacing w:val="-2"/>
          <w:szCs w:val="24"/>
        </w:rPr>
        <w:t>.</w:t>
      </w:r>
    </w:p>
    <w:p w14:paraId="58A43CE2" w14:textId="320F8E39" w:rsidR="0050670A" w:rsidRPr="00206610" w:rsidRDefault="003D2F9D" w:rsidP="00C74B34">
      <w:pPr>
        <w:pStyle w:val="Heading1"/>
        <w:spacing w:before="240" w:after="0"/>
        <w:rPr>
          <w:rFonts w:asciiTheme="majorHAnsi" w:hAnsiTheme="majorHAnsi"/>
        </w:rPr>
      </w:pPr>
      <w:r w:rsidRPr="00206610">
        <w:rPr>
          <w:rFonts w:asciiTheme="majorHAnsi" w:hAnsiTheme="majorHAnsi" w:cs="Arial"/>
          <w:szCs w:val="24"/>
        </w:rPr>
        <w:t>Compensation</w:t>
      </w:r>
    </w:p>
    <w:p w14:paraId="2FC093FA" w14:textId="77777777" w:rsidR="0050670A" w:rsidRPr="00206610" w:rsidRDefault="0050670A" w:rsidP="00802934">
      <w:pPr>
        <w:pStyle w:val="BodyText"/>
        <w:keepNext/>
        <w:rPr>
          <w:rFonts w:asciiTheme="majorHAnsi" w:hAnsiTheme="majorHAnsi" w:cs="Arial"/>
          <w:b/>
          <w:sz w:val="24"/>
          <w:szCs w:val="24"/>
        </w:rPr>
      </w:pPr>
      <w:r w:rsidRPr="00206610">
        <w:rPr>
          <w:rFonts w:asciiTheme="majorHAnsi" w:hAnsiTheme="majorHAnsi" w:cs="Arial"/>
          <w:b/>
          <w:sz w:val="24"/>
          <w:szCs w:val="24"/>
        </w:rPr>
        <w:t>Fee for Services</w:t>
      </w:r>
    </w:p>
    <w:p w14:paraId="6CB868CA" w14:textId="527E6F6E" w:rsidR="00F31163" w:rsidRPr="00206610" w:rsidRDefault="00F31163" w:rsidP="00F31163">
      <w:pPr>
        <w:pStyle w:val="BodyText"/>
        <w:rPr>
          <w:rFonts w:asciiTheme="majorHAnsi" w:hAnsiTheme="majorHAnsi" w:cs="Arial"/>
          <w:sz w:val="22"/>
          <w:szCs w:val="24"/>
        </w:rPr>
      </w:pPr>
      <w:r w:rsidRPr="00206610">
        <w:rPr>
          <w:rFonts w:asciiTheme="majorHAnsi" w:hAnsiTheme="majorHAnsi" w:cs="Arial"/>
          <w:sz w:val="22"/>
          <w:szCs w:val="24"/>
        </w:rPr>
        <w:t>Services under this Task Order are to be provided on a time and materials basis.  Compensation for services performed will be billed based on actual time worked at an hourly rate of $245 per hour for executive consultants of nFront Consulting.  Time of other nFront Consulting personnel shall be charged at the Consultant’s standard billing rates in effect at the time the services are rendered.</w:t>
      </w:r>
    </w:p>
    <w:p w14:paraId="6300ECD1" w14:textId="371CC400" w:rsidR="004D4E87" w:rsidRPr="00206610" w:rsidRDefault="004D4E87" w:rsidP="004D4E87">
      <w:pPr>
        <w:pStyle w:val="BodyText"/>
        <w:rPr>
          <w:rFonts w:asciiTheme="majorHAnsi" w:hAnsiTheme="majorHAnsi" w:cs="Arial"/>
          <w:sz w:val="22"/>
          <w:szCs w:val="24"/>
        </w:rPr>
      </w:pPr>
      <w:r w:rsidRPr="00206610">
        <w:rPr>
          <w:rFonts w:asciiTheme="majorHAnsi" w:hAnsiTheme="majorHAnsi" w:cs="Arial"/>
          <w:sz w:val="22"/>
          <w:szCs w:val="24"/>
        </w:rPr>
        <w:t xml:space="preserve">Fees for services provided and expenses under this Task Order </w:t>
      </w:r>
      <w:r w:rsidR="00C86157" w:rsidRPr="00206610">
        <w:rPr>
          <w:rFonts w:asciiTheme="majorHAnsi" w:hAnsiTheme="majorHAnsi" w:cs="Arial"/>
          <w:sz w:val="22"/>
          <w:szCs w:val="24"/>
        </w:rPr>
        <w:t xml:space="preserve">for the services described as Task 1 in the Scope of Services </w:t>
      </w:r>
      <w:r w:rsidRPr="00206610">
        <w:rPr>
          <w:rFonts w:asciiTheme="majorHAnsi" w:hAnsiTheme="majorHAnsi" w:cs="Arial"/>
          <w:sz w:val="22"/>
          <w:szCs w:val="24"/>
        </w:rPr>
        <w:t>will not exceed an estimated budget of $25,000, unless and until such time as written authorization to increase funding is received from the Client.</w:t>
      </w:r>
    </w:p>
    <w:p w14:paraId="34CE50D9" w14:textId="0066F92A" w:rsidR="004D4E87" w:rsidRPr="00F31163" w:rsidRDefault="004D4E87" w:rsidP="004D4E87">
      <w:pPr>
        <w:pStyle w:val="BodyText"/>
        <w:rPr>
          <w:rFonts w:asciiTheme="majorHAnsi" w:hAnsiTheme="majorHAnsi" w:cs="Arial"/>
          <w:sz w:val="22"/>
          <w:szCs w:val="24"/>
        </w:rPr>
      </w:pPr>
      <w:r w:rsidRPr="00206610">
        <w:rPr>
          <w:rFonts w:asciiTheme="majorHAnsi" w:hAnsiTheme="majorHAnsi" w:cs="Arial"/>
          <w:sz w:val="22"/>
          <w:szCs w:val="24"/>
        </w:rPr>
        <w:lastRenderedPageBreak/>
        <w:t xml:space="preserve">Fees for services provided and expenses under this Task Order for the optional </w:t>
      </w:r>
      <w:r w:rsidR="00C86157" w:rsidRPr="00206610">
        <w:rPr>
          <w:rFonts w:asciiTheme="majorHAnsi" w:hAnsiTheme="majorHAnsi" w:cs="Arial"/>
          <w:sz w:val="22"/>
          <w:szCs w:val="24"/>
        </w:rPr>
        <w:t>services</w:t>
      </w:r>
      <w:r w:rsidR="00C86157">
        <w:rPr>
          <w:rFonts w:asciiTheme="majorHAnsi" w:hAnsiTheme="majorHAnsi" w:cs="Arial"/>
          <w:sz w:val="22"/>
          <w:szCs w:val="24"/>
        </w:rPr>
        <w:t xml:space="preserve"> described as </w:t>
      </w:r>
      <w:r>
        <w:rPr>
          <w:rFonts w:asciiTheme="majorHAnsi" w:hAnsiTheme="majorHAnsi" w:cs="Arial"/>
          <w:sz w:val="22"/>
          <w:szCs w:val="24"/>
        </w:rPr>
        <w:t>Task</w:t>
      </w:r>
      <w:r w:rsidR="00C86157">
        <w:rPr>
          <w:rFonts w:asciiTheme="majorHAnsi" w:hAnsiTheme="majorHAnsi" w:cs="Arial"/>
          <w:sz w:val="22"/>
          <w:szCs w:val="24"/>
        </w:rPr>
        <w:t> </w:t>
      </w:r>
      <w:r>
        <w:rPr>
          <w:rFonts w:asciiTheme="majorHAnsi" w:hAnsiTheme="majorHAnsi" w:cs="Arial"/>
          <w:sz w:val="22"/>
          <w:szCs w:val="24"/>
        </w:rPr>
        <w:t xml:space="preserve">2 </w:t>
      </w:r>
      <w:r w:rsidR="00C86157">
        <w:rPr>
          <w:rFonts w:asciiTheme="majorHAnsi" w:hAnsiTheme="majorHAnsi" w:cs="Arial"/>
          <w:sz w:val="22"/>
          <w:szCs w:val="24"/>
        </w:rPr>
        <w:t xml:space="preserve">in the Scope of Services </w:t>
      </w:r>
      <w:r>
        <w:rPr>
          <w:rFonts w:asciiTheme="majorHAnsi" w:hAnsiTheme="majorHAnsi" w:cs="Arial"/>
          <w:sz w:val="22"/>
          <w:szCs w:val="24"/>
        </w:rPr>
        <w:t xml:space="preserve">will be determined by mutual agreement of the Parties.  The budget for the optional Task 2 services will depend on the to-be-determined objectives of the Client with respect to </w:t>
      </w:r>
      <w:r w:rsidR="00802934">
        <w:rPr>
          <w:rFonts w:asciiTheme="majorHAnsi" w:hAnsiTheme="majorHAnsi" w:cs="Arial"/>
          <w:sz w:val="22"/>
          <w:szCs w:val="24"/>
        </w:rPr>
        <w:t xml:space="preserve">quantity and </w:t>
      </w:r>
      <w:r w:rsidR="00E6460E">
        <w:rPr>
          <w:rFonts w:asciiTheme="majorHAnsi" w:hAnsiTheme="majorHAnsi" w:cs="Arial"/>
          <w:sz w:val="22"/>
          <w:szCs w:val="24"/>
        </w:rPr>
        <w:t xml:space="preserve">the number and </w:t>
      </w:r>
      <w:r w:rsidR="00802934">
        <w:rPr>
          <w:rFonts w:asciiTheme="majorHAnsi" w:hAnsiTheme="majorHAnsi" w:cs="Arial"/>
          <w:sz w:val="22"/>
          <w:szCs w:val="24"/>
        </w:rPr>
        <w:t xml:space="preserve">location of </w:t>
      </w:r>
      <w:r>
        <w:rPr>
          <w:rFonts w:asciiTheme="majorHAnsi" w:hAnsiTheme="majorHAnsi" w:cs="Arial"/>
          <w:sz w:val="22"/>
          <w:szCs w:val="24"/>
        </w:rPr>
        <w:t>interviews conducted of the Member community representatives and leaders</w:t>
      </w:r>
      <w:r w:rsidR="00E6460E">
        <w:rPr>
          <w:rFonts w:asciiTheme="majorHAnsi" w:hAnsiTheme="majorHAnsi" w:cs="Arial"/>
          <w:sz w:val="22"/>
          <w:szCs w:val="24"/>
        </w:rPr>
        <w:t xml:space="preserve">, and/or decisions </w:t>
      </w:r>
      <w:bookmarkStart w:id="0" w:name="_GoBack"/>
      <w:bookmarkEnd w:id="0"/>
      <w:r w:rsidR="00E6460E">
        <w:rPr>
          <w:rFonts w:asciiTheme="majorHAnsi" w:hAnsiTheme="majorHAnsi" w:cs="Arial"/>
          <w:sz w:val="22"/>
          <w:szCs w:val="24"/>
        </w:rPr>
        <w:t>regarding the on-line survey</w:t>
      </w:r>
      <w:r>
        <w:rPr>
          <w:rFonts w:asciiTheme="majorHAnsi" w:hAnsiTheme="majorHAnsi" w:cs="Arial"/>
          <w:sz w:val="22"/>
          <w:szCs w:val="24"/>
        </w:rPr>
        <w:t>.</w:t>
      </w:r>
      <w:r w:rsidR="00802934">
        <w:rPr>
          <w:rFonts w:asciiTheme="majorHAnsi" w:hAnsiTheme="majorHAnsi" w:cs="Arial"/>
          <w:sz w:val="22"/>
          <w:szCs w:val="24"/>
        </w:rPr>
        <w:t xml:space="preserve">  </w:t>
      </w:r>
    </w:p>
    <w:p w14:paraId="797222B2" w14:textId="77777777" w:rsidR="009A2B30" w:rsidRPr="00C74B34" w:rsidRDefault="006C5F2F" w:rsidP="003D2F9D">
      <w:pPr>
        <w:pStyle w:val="BodyText"/>
        <w:keepNext/>
        <w:spacing w:before="240"/>
        <w:rPr>
          <w:rFonts w:asciiTheme="majorHAnsi" w:hAnsiTheme="majorHAnsi" w:cs="Arial"/>
          <w:sz w:val="24"/>
          <w:szCs w:val="24"/>
        </w:rPr>
      </w:pPr>
      <w:r w:rsidRPr="00C74B34">
        <w:rPr>
          <w:rFonts w:asciiTheme="majorHAnsi" w:hAnsiTheme="majorHAnsi" w:cs="Arial"/>
          <w:b/>
          <w:sz w:val="24"/>
          <w:szCs w:val="24"/>
        </w:rPr>
        <w:t>Out of Pocket Expense</w:t>
      </w:r>
      <w:r w:rsidR="009A2B30" w:rsidRPr="00C74B34">
        <w:rPr>
          <w:rFonts w:asciiTheme="majorHAnsi" w:hAnsiTheme="majorHAnsi" w:cs="Arial"/>
          <w:sz w:val="24"/>
          <w:szCs w:val="24"/>
        </w:rPr>
        <w:t xml:space="preserve"> </w:t>
      </w:r>
    </w:p>
    <w:p w14:paraId="2AAA066B" w14:textId="77777777" w:rsidR="009A7AE5" w:rsidRDefault="009A2B30" w:rsidP="00802934">
      <w:pPr>
        <w:tabs>
          <w:tab w:val="left" w:pos="360"/>
        </w:tabs>
        <w:spacing w:before="120" w:line="240" w:lineRule="auto"/>
        <w:jc w:val="both"/>
        <w:rPr>
          <w:rStyle w:val="CommentReference"/>
          <w:rFonts w:asciiTheme="majorHAnsi" w:hAnsiTheme="majorHAnsi"/>
          <w:sz w:val="22"/>
          <w:szCs w:val="22"/>
        </w:rPr>
      </w:pPr>
      <w:r w:rsidRPr="007E2ED3">
        <w:rPr>
          <w:rFonts w:asciiTheme="majorHAnsi" w:hAnsiTheme="majorHAnsi" w:cs="Arial"/>
        </w:rPr>
        <w:t>Client shall r</w:t>
      </w:r>
      <w:r w:rsidR="005E756E" w:rsidRPr="006A355A">
        <w:rPr>
          <w:rFonts w:asciiTheme="majorHAnsi" w:hAnsiTheme="majorHAnsi" w:cs="Arial"/>
        </w:rPr>
        <w:t>eimburse</w:t>
      </w:r>
      <w:r w:rsidRPr="006A355A">
        <w:rPr>
          <w:rFonts w:asciiTheme="majorHAnsi" w:hAnsiTheme="majorHAnsi" w:cs="Arial"/>
        </w:rPr>
        <w:t xml:space="preserve"> Consultant for all out-of-pocket expenses incurred by the Consultant during the prosecution of this Task Order in an amount equal to the actual cost thereof</w:t>
      </w:r>
      <w:r w:rsidRPr="006A355A">
        <w:rPr>
          <w:rStyle w:val="CommentReference"/>
          <w:rFonts w:asciiTheme="majorHAnsi" w:hAnsiTheme="majorHAnsi"/>
          <w:sz w:val="22"/>
          <w:szCs w:val="22"/>
        </w:rPr>
        <w:t>.</w:t>
      </w:r>
    </w:p>
    <w:p w14:paraId="25B948C2" w14:textId="36C6E389" w:rsidR="00D161A4" w:rsidRPr="003E1DEC" w:rsidRDefault="00D161A4" w:rsidP="00802934">
      <w:pPr>
        <w:keepNext/>
        <w:tabs>
          <w:tab w:val="left" w:pos="360"/>
        </w:tabs>
        <w:spacing w:before="480" w:line="240" w:lineRule="auto"/>
        <w:jc w:val="both"/>
        <w:rPr>
          <w:rFonts w:asciiTheme="majorHAnsi" w:hAnsiTheme="majorHAnsi"/>
        </w:rPr>
      </w:pPr>
      <w:r w:rsidRPr="006A355A">
        <w:rPr>
          <w:rFonts w:cs="Arial"/>
        </w:rPr>
        <w:lastRenderedPageBreak/>
        <w:t xml:space="preserve">IN WITNESS </w:t>
      </w:r>
      <w:r w:rsidR="00673C0B">
        <w:rPr>
          <w:rFonts w:cs="Arial"/>
        </w:rPr>
        <w:t>WHERE</w:t>
      </w:r>
      <w:r w:rsidR="00381D02" w:rsidRPr="006A355A">
        <w:rPr>
          <w:rFonts w:cs="Arial"/>
        </w:rPr>
        <w:t>OF</w:t>
      </w:r>
      <w:r w:rsidRPr="006A355A">
        <w:rPr>
          <w:rFonts w:cs="Arial"/>
        </w:rPr>
        <w:t xml:space="preserve">, the </w:t>
      </w:r>
      <w:r w:rsidR="00381D02" w:rsidRPr="006A355A">
        <w:rPr>
          <w:rFonts w:cs="Arial"/>
        </w:rPr>
        <w:t>P</w:t>
      </w:r>
      <w:r w:rsidRPr="006A355A">
        <w:rPr>
          <w:rFonts w:cs="Arial"/>
        </w:rPr>
        <w:t>arties hereto have executed this Agreement by their duly authorized representatives as of the day and year indicated above.</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788"/>
      </w:tblGrid>
      <w:tr w:rsidR="00D161A4" w14:paraId="45CAE9DB" w14:textId="77777777" w:rsidTr="007E2ED3">
        <w:tc>
          <w:tcPr>
            <w:tcW w:w="5058" w:type="dxa"/>
          </w:tcPr>
          <w:p w14:paraId="50291224" w14:textId="11661321" w:rsidR="00D161A4" w:rsidRPr="008852B3" w:rsidRDefault="00802934" w:rsidP="003D2F9D">
            <w:pPr>
              <w:pStyle w:val="BodyText"/>
              <w:keepNext/>
              <w:tabs>
                <w:tab w:val="left" w:pos="720"/>
                <w:tab w:val="right" w:pos="4330"/>
              </w:tabs>
              <w:spacing w:before="240"/>
              <w:rPr>
                <w:rFonts w:ascii="Calibri" w:hAnsi="Calibri" w:cs="Arial"/>
                <w:b/>
                <w:sz w:val="22"/>
                <w:szCs w:val="22"/>
              </w:rPr>
            </w:pPr>
            <w:r>
              <w:rPr>
                <w:rFonts w:ascii="Calibri" w:hAnsi="Calibri" w:cs="Arial"/>
                <w:b/>
                <w:sz w:val="22"/>
                <w:szCs w:val="22"/>
              </w:rPr>
              <w:t>Kentucky Municipal Energy Agency</w:t>
            </w:r>
          </w:p>
          <w:p w14:paraId="52A9DCD9" w14:textId="07240245" w:rsidR="00D161A4" w:rsidRPr="008852B3" w:rsidRDefault="00D161A4" w:rsidP="003D2F9D">
            <w:pPr>
              <w:pStyle w:val="BodyText"/>
              <w:keepNext/>
              <w:tabs>
                <w:tab w:val="left" w:pos="720"/>
                <w:tab w:val="right" w:pos="4330"/>
              </w:tabs>
              <w:spacing w:before="600"/>
              <w:rPr>
                <w:rFonts w:ascii="Calibri" w:hAnsi="Calibri" w:cs="Arial"/>
                <w:sz w:val="22"/>
                <w:szCs w:val="22"/>
              </w:rPr>
            </w:pPr>
            <w:r w:rsidRPr="008852B3">
              <w:rPr>
                <w:rFonts w:ascii="Calibri" w:hAnsi="Calibri" w:cs="Arial"/>
                <w:sz w:val="22"/>
                <w:szCs w:val="22"/>
              </w:rPr>
              <w:t>By:</w:t>
            </w:r>
            <w:r>
              <w:rPr>
                <w:rFonts w:ascii="Calibri" w:hAnsi="Calibri" w:cs="Arial"/>
                <w:sz w:val="22"/>
                <w:szCs w:val="22"/>
              </w:rPr>
              <w:tab/>
            </w:r>
            <w:r w:rsidR="00673C0B" w:rsidRPr="00673C0B">
              <w:rPr>
                <w:rFonts w:ascii="Calibri" w:hAnsi="Calibri" w:cs="Arial"/>
                <w:sz w:val="22"/>
                <w:szCs w:val="22"/>
                <w:u w:val="single"/>
              </w:rPr>
              <w:tab/>
            </w:r>
          </w:p>
          <w:p w14:paraId="598A4EA4" w14:textId="0C9F1B77" w:rsidR="00D161A4" w:rsidRPr="008852B3" w:rsidRDefault="00D161A4" w:rsidP="003D2F9D">
            <w:pPr>
              <w:pStyle w:val="BodyText"/>
              <w:keepNext/>
              <w:tabs>
                <w:tab w:val="left" w:pos="720"/>
                <w:tab w:val="right" w:pos="4330"/>
              </w:tabs>
              <w:spacing w:before="240"/>
              <w:rPr>
                <w:rFonts w:ascii="Calibri" w:hAnsi="Calibri" w:cs="Arial"/>
                <w:sz w:val="22"/>
                <w:szCs w:val="22"/>
              </w:rPr>
            </w:pPr>
            <w:r w:rsidRPr="008852B3">
              <w:rPr>
                <w:rFonts w:ascii="Calibri" w:hAnsi="Calibri" w:cs="Arial"/>
                <w:sz w:val="22"/>
                <w:szCs w:val="22"/>
              </w:rPr>
              <w:t>Name:</w:t>
            </w:r>
            <w:r>
              <w:rPr>
                <w:rFonts w:ascii="Calibri" w:hAnsi="Calibri" w:cs="Arial"/>
                <w:sz w:val="22"/>
                <w:szCs w:val="22"/>
              </w:rPr>
              <w:tab/>
            </w:r>
            <w:r w:rsidR="00673C0B" w:rsidRPr="00673C0B">
              <w:rPr>
                <w:rFonts w:ascii="Calibri" w:hAnsi="Calibri" w:cs="Arial"/>
                <w:sz w:val="22"/>
                <w:szCs w:val="22"/>
                <w:u w:val="single"/>
              </w:rPr>
              <w:tab/>
            </w:r>
          </w:p>
          <w:p w14:paraId="29F7D34E" w14:textId="49C7477D" w:rsidR="00D161A4" w:rsidRDefault="00D161A4" w:rsidP="003D2F9D">
            <w:pPr>
              <w:pStyle w:val="BodyText"/>
              <w:keepNext/>
              <w:tabs>
                <w:tab w:val="left" w:pos="720"/>
                <w:tab w:val="right" w:pos="4330"/>
              </w:tabs>
              <w:spacing w:before="240"/>
              <w:rPr>
                <w:rFonts w:ascii="Calibri" w:hAnsi="Calibri" w:cs="Arial"/>
                <w:sz w:val="22"/>
                <w:szCs w:val="22"/>
                <w:u w:val="single"/>
              </w:rPr>
            </w:pPr>
            <w:r>
              <w:rPr>
                <w:rFonts w:ascii="Calibri" w:hAnsi="Calibri" w:cs="Arial"/>
                <w:sz w:val="22"/>
                <w:szCs w:val="22"/>
              </w:rPr>
              <w:t>I</w:t>
            </w:r>
            <w:r w:rsidRPr="008852B3">
              <w:rPr>
                <w:rFonts w:ascii="Calibri" w:hAnsi="Calibri" w:cs="Arial"/>
                <w:sz w:val="22"/>
                <w:szCs w:val="22"/>
              </w:rPr>
              <w:t>ts:</w:t>
            </w:r>
            <w:r>
              <w:rPr>
                <w:rFonts w:ascii="Calibri" w:hAnsi="Calibri" w:cs="Arial"/>
                <w:sz w:val="22"/>
                <w:szCs w:val="22"/>
              </w:rPr>
              <w:tab/>
            </w:r>
            <w:r w:rsidR="00673C0B" w:rsidRPr="00673C0B">
              <w:rPr>
                <w:rFonts w:ascii="Calibri" w:hAnsi="Calibri" w:cs="Arial"/>
                <w:sz w:val="22"/>
                <w:szCs w:val="22"/>
                <w:u w:val="single"/>
              </w:rPr>
              <w:tab/>
            </w:r>
          </w:p>
          <w:p w14:paraId="23721621" w14:textId="265B6A0A" w:rsidR="009727C5" w:rsidRPr="009727C5" w:rsidRDefault="009727C5" w:rsidP="00673C0B">
            <w:pPr>
              <w:pStyle w:val="BodyText"/>
              <w:tabs>
                <w:tab w:val="left" w:pos="720"/>
                <w:tab w:val="right" w:pos="4330"/>
              </w:tabs>
              <w:spacing w:before="240"/>
              <w:rPr>
                <w:rFonts w:ascii="Calibri" w:hAnsi="Calibri" w:cs="Arial"/>
                <w:sz w:val="22"/>
                <w:szCs w:val="22"/>
              </w:rPr>
            </w:pPr>
            <w:r w:rsidRPr="009727C5">
              <w:rPr>
                <w:rFonts w:ascii="Calibri" w:hAnsi="Calibri" w:cs="Arial"/>
                <w:sz w:val="22"/>
                <w:szCs w:val="22"/>
              </w:rPr>
              <w:t>Date:</w:t>
            </w:r>
            <w:r w:rsidR="00673C0B">
              <w:rPr>
                <w:rFonts w:ascii="Calibri" w:hAnsi="Calibri" w:cs="Arial"/>
                <w:sz w:val="22"/>
                <w:szCs w:val="22"/>
              </w:rPr>
              <w:tab/>
            </w:r>
            <w:r w:rsidR="00673C0B" w:rsidRPr="00673C0B">
              <w:rPr>
                <w:rFonts w:ascii="Calibri" w:hAnsi="Calibri" w:cs="Arial"/>
                <w:sz w:val="22"/>
                <w:szCs w:val="22"/>
                <w:u w:val="single"/>
              </w:rPr>
              <w:tab/>
            </w:r>
          </w:p>
          <w:p w14:paraId="6AC7ABB4" w14:textId="77777777" w:rsidR="00D161A4" w:rsidRDefault="00D161A4" w:rsidP="00673C0B">
            <w:pPr>
              <w:pStyle w:val="BodyText"/>
              <w:tabs>
                <w:tab w:val="left" w:pos="720"/>
                <w:tab w:val="right" w:pos="4330"/>
              </w:tabs>
              <w:spacing w:before="240"/>
              <w:rPr>
                <w:rFonts w:ascii="Calibri" w:hAnsi="Calibri" w:cs="Arial"/>
                <w:b/>
                <w:sz w:val="22"/>
                <w:szCs w:val="22"/>
              </w:rPr>
            </w:pPr>
          </w:p>
        </w:tc>
        <w:tc>
          <w:tcPr>
            <w:tcW w:w="4788" w:type="dxa"/>
          </w:tcPr>
          <w:p w14:paraId="09130FAE" w14:textId="77777777" w:rsidR="00D161A4" w:rsidRPr="008852B3" w:rsidRDefault="00D161A4" w:rsidP="003D2F9D">
            <w:pPr>
              <w:pStyle w:val="BodyText"/>
              <w:keepNext/>
              <w:tabs>
                <w:tab w:val="left" w:pos="702"/>
                <w:tab w:val="right" w:pos="4302"/>
              </w:tabs>
              <w:spacing w:before="240"/>
              <w:rPr>
                <w:rFonts w:ascii="Calibri" w:hAnsi="Calibri" w:cs="Arial"/>
                <w:b/>
                <w:sz w:val="22"/>
                <w:szCs w:val="22"/>
              </w:rPr>
            </w:pPr>
            <w:r w:rsidRPr="008852B3">
              <w:rPr>
                <w:rFonts w:ascii="Calibri" w:hAnsi="Calibri" w:cs="Arial"/>
                <w:b/>
                <w:sz w:val="22"/>
                <w:szCs w:val="22"/>
              </w:rPr>
              <w:t>nFront Consulting LLC</w:t>
            </w:r>
          </w:p>
          <w:p w14:paraId="3B4D4048" w14:textId="0F91EEBF" w:rsidR="00D161A4" w:rsidRPr="008852B3" w:rsidRDefault="00D161A4" w:rsidP="003D2F9D">
            <w:pPr>
              <w:pStyle w:val="BodyText"/>
              <w:keepNext/>
              <w:tabs>
                <w:tab w:val="left" w:pos="702"/>
                <w:tab w:val="right" w:pos="4302"/>
              </w:tabs>
              <w:spacing w:before="600"/>
              <w:rPr>
                <w:rFonts w:ascii="Calibri" w:hAnsi="Calibri" w:cs="Arial"/>
                <w:sz w:val="22"/>
                <w:szCs w:val="22"/>
              </w:rPr>
            </w:pPr>
            <w:r w:rsidRPr="008852B3">
              <w:rPr>
                <w:rFonts w:ascii="Calibri" w:hAnsi="Calibri" w:cs="Arial"/>
                <w:sz w:val="22"/>
                <w:szCs w:val="22"/>
              </w:rPr>
              <w:t>By:</w:t>
            </w:r>
            <w:r>
              <w:rPr>
                <w:rFonts w:ascii="Calibri" w:hAnsi="Calibri" w:cs="Arial"/>
                <w:sz w:val="22"/>
                <w:szCs w:val="22"/>
              </w:rPr>
              <w:tab/>
            </w:r>
            <w:r w:rsidR="00673C0B" w:rsidRPr="00673C0B">
              <w:rPr>
                <w:rFonts w:ascii="Calibri" w:hAnsi="Calibri" w:cs="Arial"/>
                <w:sz w:val="22"/>
                <w:szCs w:val="22"/>
                <w:u w:val="single"/>
              </w:rPr>
              <w:tab/>
            </w:r>
          </w:p>
          <w:p w14:paraId="1DA7DB3B" w14:textId="26D9C9EF" w:rsidR="00D161A4" w:rsidRPr="008852B3" w:rsidRDefault="00D161A4" w:rsidP="003D2F9D">
            <w:pPr>
              <w:pStyle w:val="BodyText"/>
              <w:keepNext/>
              <w:tabs>
                <w:tab w:val="left" w:pos="702"/>
                <w:tab w:val="right" w:pos="4302"/>
              </w:tabs>
              <w:spacing w:before="240"/>
              <w:rPr>
                <w:rFonts w:ascii="Calibri" w:hAnsi="Calibri" w:cs="Arial"/>
                <w:sz w:val="22"/>
                <w:szCs w:val="22"/>
                <w:u w:val="single"/>
              </w:rPr>
            </w:pPr>
            <w:r>
              <w:rPr>
                <w:rFonts w:ascii="Calibri" w:hAnsi="Calibri" w:cs="Arial"/>
                <w:sz w:val="22"/>
                <w:szCs w:val="22"/>
              </w:rPr>
              <w:t>N</w:t>
            </w:r>
            <w:r w:rsidRPr="008852B3">
              <w:rPr>
                <w:rFonts w:ascii="Calibri" w:hAnsi="Calibri" w:cs="Arial"/>
                <w:sz w:val="22"/>
                <w:szCs w:val="22"/>
              </w:rPr>
              <w:t>ame:</w:t>
            </w:r>
            <w:r>
              <w:rPr>
                <w:rFonts w:ascii="Calibri" w:hAnsi="Calibri" w:cs="Arial"/>
                <w:sz w:val="22"/>
                <w:szCs w:val="22"/>
              </w:rPr>
              <w:tab/>
            </w:r>
            <w:r w:rsidR="00673C0B" w:rsidRPr="00673C0B">
              <w:rPr>
                <w:rFonts w:ascii="Calibri" w:hAnsi="Calibri" w:cs="Arial"/>
                <w:sz w:val="22"/>
                <w:szCs w:val="22"/>
                <w:u w:val="single"/>
              </w:rPr>
              <w:tab/>
            </w:r>
          </w:p>
          <w:p w14:paraId="4B922E70" w14:textId="77777777" w:rsidR="00D161A4" w:rsidRPr="008852B3" w:rsidRDefault="00D161A4" w:rsidP="003D2F9D">
            <w:pPr>
              <w:pStyle w:val="BodyText"/>
              <w:keepNext/>
              <w:tabs>
                <w:tab w:val="left" w:pos="702"/>
                <w:tab w:val="right" w:pos="4302"/>
              </w:tabs>
              <w:spacing w:before="240"/>
              <w:rPr>
                <w:rFonts w:ascii="Calibri" w:hAnsi="Calibri" w:cs="Arial"/>
                <w:sz w:val="22"/>
                <w:szCs w:val="22"/>
              </w:rPr>
            </w:pPr>
            <w:r w:rsidRPr="008852B3">
              <w:rPr>
                <w:rFonts w:ascii="Calibri" w:hAnsi="Calibri" w:cs="Arial"/>
                <w:sz w:val="22"/>
                <w:szCs w:val="22"/>
              </w:rPr>
              <w:t>Its:</w:t>
            </w:r>
            <w:r>
              <w:rPr>
                <w:rFonts w:ascii="Calibri" w:hAnsi="Calibri" w:cs="Arial"/>
                <w:sz w:val="22"/>
                <w:szCs w:val="22"/>
              </w:rPr>
              <w:tab/>
            </w:r>
            <w:r w:rsidRPr="008852B3">
              <w:rPr>
                <w:rFonts w:ascii="Calibri" w:hAnsi="Calibri" w:cs="Arial"/>
                <w:sz w:val="22"/>
                <w:szCs w:val="22"/>
              </w:rPr>
              <w:t>Project Manager</w:t>
            </w:r>
          </w:p>
          <w:p w14:paraId="7875B266" w14:textId="3B7AD71D" w:rsidR="00673C0B" w:rsidRPr="008852B3" w:rsidRDefault="00673C0B" w:rsidP="003D2F9D">
            <w:pPr>
              <w:pStyle w:val="BodyText"/>
              <w:keepNext/>
              <w:tabs>
                <w:tab w:val="left" w:pos="702"/>
                <w:tab w:val="right" w:pos="4302"/>
              </w:tabs>
              <w:spacing w:before="240"/>
              <w:rPr>
                <w:rFonts w:ascii="Calibri" w:hAnsi="Calibri" w:cs="Arial"/>
                <w:sz w:val="22"/>
                <w:szCs w:val="22"/>
              </w:rPr>
            </w:pPr>
            <w:r>
              <w:rPr>
                <w:rFonts w:ascii="Calibri" w:hAnsi="Calibri" w:cs="Arial"/>
                <w:sz w:val="22"/>
                <w:szCs w:val="22"/>
              </w:rPr>
              <w:t>Date:</w:t>
            </w:r>
            <w:r>
              <w:rPr>
                <w:rFonts w:ascii="Calibri" w:hAnsi="Calibri" w:cs="Arial"/>
                <w:sz w:val="22"/>
                <w:szCs w:val="22"/>
              </w:rPr>
              <w:tab/>
            </w:r>
            <w:r w:rsidRPr="00673C0B">
              <w:rPr>
                <w:rFonts w:ascii="Calibri" w:hAnsi="Calibri" w:cs="Arial"/>
                <w:sz w:val="22"/>
                <w:szCs w:val="22"/>
                <w:u w:val="single"/>
              </w:rPr>
              <w:tab/>
            </w:r>
          </w:p>
          <w:p w14:paraId="420C6DE2" w14:textId="77777777" w:rsidR="00D161A4" w:rsidRDefault="00D161A4" w:rsidP="003D2F9D">
            <w:pPr>
              <w:pStyle w:val="BodyText"/>
              <w:keepNext/>
              <w:tabs>
                <w:tab w:val="left" w:pos="702"/>
                <w:tab w:val="right" w:pos="4302"/>
              </w:tabs>
              <w:spacing w:before="240"/>
              <w:rPr>
                <w:rFonts w:ascii="Calibri" w:hAnsi="Calibri" w:cs="Arial"/>
                <w:sz w:val="22"/>
                <w:szCs w:val="22"/>
              </w:rPr>
            </w:pPr>
          </w:p>
          <w:p w14:paraId="71E03FDB" w14:textId="47EC1077" w:rsidR="00D161A4" w:rsidRPr="008852B3" w:rsidRDefault="00D161A4" w:rsidP="003D2F9D">
            <w:pPr>
              <w:pStyle w:val="BodyText"/>
              <w:keepNext/>
              <w:tabs>
                <w:tab w:val="left" w:pos="702"/>
                <w:tab w:val="right" w:pos="4302"/>
              </w:tabs>
              <w:spacing w:before="240"/>
              <w:rPr>
                <w:rFonts w:ascii="Calibri" w:hAnsi="Calibri" w:cs="Arial"/>
                <w:sz w:val="22"/>
                <w:szCs w:val="22"/>
              </w:rPr>
            </w:pPr>
            <w:r w:rsidRPr="008852B3">
              <w:rPr>
                <w:rFonts w:ascii="Calibri" w:hAnsi="Calibri" w:cs="Arial"/>
                <w:sz w:val="22"/>
                <w:szCs w:val="22"/>
              </w:rPr>
              <w:t>By:</w:t>
            </w:r>
            <w:r>
              <w:rPr>
                <w:rFonts w:ascii="Calibri" w:hAnsi="Calibri" w:cs="Arial"/>
                <w:sz w:val="22"/>
                <w:szCs w:val="22"/>
              </w:rPr>
              <w:tab/>
            </w:r>
            <w:r w:rsidR="00673C0B" w:rsidRPr="00673C0B">
              <w:rPr>
                <w:rFonts w:ascii="Calibri" w:hAnsi="Calibri" w:cs="Arial"/>
                <w:sz w:val="22"/>
                <w:szCs w:val="22"/>
                <w:u w:val="single"/>
              </w:rPr>
              <w:tab/>
            </w:r>
          </w:p>
          <w:p w14:paraId="42FE9CB6" w14:textId="334C27BB" w:rsidR="00D161A4" w:rsidRPr="008852B3" w:rsidRDefault="00D161A4" w:rsidP="003D2F9D">
            <w:pPr>
              <w:pStyle w:val="BodyText"/>
              <w:keepNext/>
              <w:tabs>
                <w:tab w:val="left" w:pos="702"/>
                <w:tab w:val="right" w:pos="4302"/>
              </w:tabs>
              <w:spacing w:before="240"/>
              <w:rPr>
                <w:rFonts w:ascii="Calibri" w:hAnsi="Calibri" w:cs="Arial"/>
                <w:sz w:val="22"/>
                <w:szCs w:val="22"/>
                <w:u w:val="single"/>
              </w:rPr>
            </w:pPr>
            <w:r w:rsidRPr="008852B3">
              <w:rPr>
                <w:rFonts w:ascii="Calibri" w:hAnsi="Calibri" w:cs="Arial"/>
                <w:sz w:val="22"/>
                <w:szCs w:val="22"/>
              </w:rPr>
              <w:t>Name:</w:t>
            </w:r>
            <w:r>
              <w:rPr>
                <w:rFonts w:ascii="Calibri" w:hAnsi="Calibri" w:cs="Arial"/>
                <w:sz w:val="22"/>
                <w:szCs w:val="22"/>
              </w:rPr>
              <w:tab/>
            </w:r>
            <w:r w:rsidR="00673C0B" w:rsidRPr="00673C0B">
              <w:rPr>
                <w:rFonts w:ascii="Calibri" w:hAnsi="Calibri" w:cs="Arial"/>
                <w:sz w:val="22"/>
                <w:szCs w:val="22"/>
                <w:u w:val="single"/>
              </w:rPr>
              <w:tab/>
            </w:r>
          </w:p>
          <w:p w14:paraId="3CCEB82D" w14:textId="77777777" w:rsidR="00D161A4" w:rsidRDefault="00D161A4" w:rsidP="003D2F9D">
            <w:pPr>
              <w:pStyle w:val="BodyText"/>
              <w:keepNext/>
              <w:tabs>
                <w:tab w:val="left" w:pos="702"/>
                <w:tab w:val="right" w:pos="4302"/>
              </w:tabs>
              <w:spacing w:before="240"/>
              <w:rPr>
                <w:rFonts w:ascii="Calibri" w:hAnsi="Calibri" w:cs="Arial"/>
                <w:sz w:val="22"/>
                <w:szCs w:val="22"/>
              </w:rPr>
            </w:pPr>
            <w:r w:rsidRPr="008852B3">
              <w:rPr>
                <w:rFonts w:ascii="Calibri" w:hAnsi="Calibri" w:cs="Arial"/>
                <w:sz w:val="22"/>
                <w:szCs w:val="22"/>
              </w:rPr>
              <w:t>Its:</w:t>
            </w:r>
            <w:r>
              <w:rPr>
                <w:rFonts w:ascii="Calibri" w:hAnsi="Calibri" w:cs="Arial"/>
                <w:sz w:val="22"/>
                <w:szCs w:val="22"/>
              </w:rPr>
              <w:tab/>
            </w:r>
            <w:r w:rsidRPr="008852B3">
              <w:rPr>
                <w:rFonts w:ascii="Calibri" w:hAnsi="Calibri" w:cs="Arial"/>
                <w:sz w:val="22"/>
                <w:szCs w:val="22"/>
              </w:rPr>
              <w:t>Manager</w:t>
            </w:r>
            <w:r>
              <w:rPr>
                <w:rFonts w:ascii="Calibri" w:hAnsi="Calibri" w:cs="Arial"/>
                <w:sz w:val="22"/>
                <w:szCs w:val="22"/>
              </w:rPr>
              <w:t>,</w:t>
            </w:r>
            <w:r w:rsidRPr="008852B3">
              <w:rPr>
                <w:rFonts w:ascii="Calibri" w:hAnsi="Calibri" w:cs="Arial"/>
                <w:sz w:val="22"/>
                <w:szCs w:val="22"/>
              </w:rPr>
              <w:t xml:space="preserve"> nFront Consulting LLC</w:t>
            </w:r>
          </w:p>
          <w:p w14:paraId="7CF45E19" w14:textId="1BDB90F4" w:rsidR="00D161A4" w:rsidRPr="00673C0B" w:rsidRDefault="00E26C08" w:rsidP="00673C0B">
            <w:pPr>
              <w:pStyle w:val="BodyText"/>
              <w:tabs>
                <w:tab w:val="left" w:pos="702"/>
                <w:tab w:val="right" w:pos="4302"/>
              </w:tabs>
              <w:spacing w:before="240"/>
              <w:rPr>
                <w:rFonts w:ascii="Calibri" w:hAnsi="Calibri" w:cs="Arial"/>
                <w:sz w:val="22"/>
                <w:szCs w:val="22"/>
              </w:rPr>
            </w:pPr>
            <w:r>
              <w:rPr>
                <w:rFonts w:ascii="Calibri" w:hAnsi="Calibri" w:cs="Arial"/>
                <w:sz w:val="22"/>
                <w:szCs w:val="22"/>
              </w:rPr>
              <w:t>Date:</w:t>
            </w:r>
            <w:r w:rsidR="00673C0B">
              <w:rPr>
                <w:rFonts w:ascii="Calibri" w:hAnsi="Calibri" w:cs="Arial"/>
                <w:sz w:val="22"/>
                <w:szCs w:val="22"/>
              </w:rPr>
              <w:tab/>
            </w:r>
            <w:r w:rsidR="00673C0B" w:rsidRPr="00673C0B">
              <w:rPr>
                <w:rFonts w:ascii="Calibri" w:hAnsi="Calibri" w:cs="Arial"/>
                <w:sz w:val="22"/>
                <w:szCs w:val="22"/>
                <w:u w:val="single"/>
              </w:rPr>
              <w:tab/>
            </w:r>
          </w:p>
        </w:tc>
      </w:tr>
    </w:tbl>
    <w:p w14:paraId="147A4B4E" w14:textId="77777777" w:rsidR="0046374D" w:rsidRPr="00C74B34" w:rsidRDefault="0046374D" w:rsidP="00673C0B">
      <w:pPr>
        <w:pStyle w:val="BodyText"/>
        <w:spacing w:before="0"/>
        <w:rPr>
          <w:rFonts w:asciiTheme="majorHAnsi" w:hAnsiTheme="majorHAnsi" w:cs="Arial"/>
          <w:sz w:val="24"/>
          <w:szCs w:val="24"/>
        </w:rPr>
      </w:pPr>
    </w:p>
    <w:sectPr w:rsidR="0046374D" w:rsidRPr="00C74B34" w:rsidSect="005E66ED">
      <w:headerReference w:type="default" r:id="rId11"/>
      <w:footerReference w:type="default" r:id="rId12"/>
      <w:pgSz w:w="12240" w:h="15840"/>
      <w:pgMar w:top="23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C6694" w14:textId="77777777" w:rsidR="003B22A4" w:rsidRDefault="003B22A4" w:rsidP="002513DE">
      <w:pPr>
        <w:spacing w:line="240" w:lineRule="auto"/>
      </w:pPr>
      <w:r>
        <w:separator/>
      </w:r>
    </w:p>
  </w:endnote>
  <w:endnote w:type="continuationSeparator" w:id="0">
    <w:p w14:paraId="038353C8" w14:textId="77777777" w:rsidR="003B22A4" w:rsidRDefault="003B22A4" w:rsidP="00251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1996" w14:textId="51602FFA" w:rsidR="005E66ED" w:rsidRDefault="005E66ED" w:rsidP="005E66ED">
    <w:pPr>
      <w:pStyle w:val="Footer"/>
      <w:pBdr>
        <w:top w:val="single" w:sz="4" w:space="7" w:color="auto"/>
      </w:pBdr>
      <w:spacing w:before="120"/>
      <w:jc w:val="center"/>
    </w:pPr>
    <w:r>
      <w:t xml:space="preserve">Page </w:t>
    </w:r>
    <w:r>
      <w:fldChar w:fldCharType="begin"/>
    </w:r>
    <w:r>
      <w:instrText xml:space="preserve"> PAGE  \* Arabic  \* MERGEFORMAT </w:instrText>
    </w:r>
    <w:r>
      <w:fldChar w:fldCharType="separate"/>
    </w:r>
    <w:r w:rsidR="00206610">
      <w:rPr>
        <w:noProof/>
      </w:rPr>
      <w:t>4</w:t>
    </w:r>
    <w:r>
      <w:fldChar w:fldCharType="end"/>
    </w:r>
    <w:r>
      <w:t xml:space="preserve"> of </w:t>
    </w:r>
    <w:r w:rsidR="00206610">
      <w:fldChar w:fldCharType="begin"/>
    </w:r>
    <w:r w:rsidR="00206610">
      <w:instrText xml:space="preserve"> NUMPAGES  \* Arabic  \* MERGEFORMAT </w:instrText>
    </w:r>
    <w:r w:rsidR="00206610">
      <w:fldChar w:fldCharType="separate"/>
    </w:r>
    <w:r w:rsidR="00206610">
      <w:rPr>
        <w:noProof/>
      </w:rPr>
      <w:t>4</w:t>
    </w:r>
    <w:r w:rsidR="002066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302AC" w14:textId="77777777" w:rsidR="003B22A4" w:rsidRDefault="003B22A4" w:rsidP="002513DE">
      <w:pPr>
        <w:spacing w:line="240" w:lineRule="auto"/>
      </w:pPr>
      <w:r>
        <w:separator/>
      </w:r>
    </w:p>
  </w:footnote>
  <w:footnote w:type="continuationSeparator" w:id="0">
    <w:p w14:paraId="6F8928A5" w14:textId="77777777" w:rsidR="003B22A4" w:rsidRDefault="003B22A4" w:rsidP="002513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1814E" w14:textId="5FD39BEB" w:rsidR="009727C5" w:rsidRPr="00BA5A03" w:rsidRDefault="009727C5" w:rsidP="005E66ED">
    <w:pPr>
      <w:pStyle w:val="Header"/>
      <w:pBdr>
        <w:bottom w:val="single" w:sz="4" w:space="6" w:color="auto"/>
      </w:pBdr>
      <w:spacing w:before="0"/>
      <w:jc w:val="center"/>
      <w:rPr>
        <w:rFonts w:asciiTheme="majorHAnsi" w:hAnsiTheme="majorHAnsi" w:cstheme="minorHAnsi"/>
        <w:b/>
        <w:sz w:val="28"/>
        <w:szCs w:val="28"/>
      </w:rPr>
    </w:pPr>
    <w:r w:rsidRPr="00217931">
      <w:rPr>
        <w:rFonts w:asciiTheme="majorHAnsi" w:hAnsiTheme="majorHAnsi" w:cstheme="minorHAnsi"/>
        <w:b/>
        <w:sz w:val="28"/>
        <w:szCs w:val="28"/>
      </w:rPr>
      <w:t>Task Order</w:t>
    </w:r>
    <w:r w:rsidR="00E6460E">
      <w:rPr>
        <w:rFonts w:asciiTheme="majorHAnsi" w:hAnsiTheme="majorHAnsi" w:cstheme="minorHAnsi"/>
        <w:b/>
        <w:sz w:val="28"/>
        <w:szCs w:val="28"/>
      </w:rPr>
      <w:t xml:space="preserve"> 2 </w:t>
    </w:r>
    <w:r w:rsidRPr="00BA5A03">
      <w:rPr>
        <w:rFonts w:asciiTheme="majorHAnsi" w:hAnsiTheme="majorHAnsi" w:cstheme="minorHAnsi"/>
        <w:b/>
        <w:sz w:val="28"/>
        <w:szCs w:val="28"/>
      </w:rPr>
      <w:t>Under the</w:t>
    </w:r>
  </w:p>
  <w:p w14:paraId="690A5591" w14:textId="77777777" w:rsidR="009727C5" w:rsidRPr="00BA5A03" w:rsidRDefault="009727C5" w:rsidP="005E66ED">
    <w:pPr>
      <w:pStyle w:val="Header"/>
      <w:pBdr>
        <w:bottom w:val="single" w:sz="4" w:space="6" w:color="auto"/>
      </w:pBdr>
      <w:spacing w:before="0"/>
      <w:jc w:val="center"/>
      <w:rPr>
        <w:rFonts w:asciiTheme="majorHAnsi" w:hAnsiTheme="majorHAnsi" w:cstheme="minorHAnsi"/>
        <w:b/>
        <w:sz w:val="28"/>
        <w:szCs w:val="28"/>
      </w:rPr>
    </w:pPr>
    <w:r w:rsidRPr="00BA5A03">
      <w:rPr>
        <w:rFonts w:asciiTheme="majorHAnsi" w:hAnsiTheme="majorHAnsi" w:cstheme="minorHAnsi"/>
        <w:b/>
        <w:sz w:val="28"/>
        <w:szCs w:val="28"/>
      </w:rPr>
      <w:t>Professional Services Agreement</w:t>
    </w:r>
  </w:p>
  <w:p w14:paraId="4C817969" w14:textId="77777777" w:rsidR="009727C5" w:rsidRPr="00C74B34" w:rsidRDefault="009727C5" w:rsidP="005E66ED">
    <w:pPr>
      <w:pStyle w:val="Header"/>
      <w:pBdr>
        <w:bottom w:val="single" w:sz="4" w:space="6" w:color="auto"/>
      </w:pBdr>
      <w:spacing w:before="0"/>
      <w:jc w:val="center"/>
      <w:rPr>
        <w:rFonts w:asciiTheme="majorHAnsi" w:hAnsiTheme="majorHAnsi" w:cstheme="minorHAnsi"/>
        <w:b/>
        <w:sz w:val="28"/>
        <w:szCs w:val="28"/>
      </w:rPr>
    </w:pPr>
    <w:r w:rsidRPr="00C74B34">
      <w:rPr>
        <w:rFonts w:asciiTheme="majorHAnsi" w:hAnsiTheme="majorHAnsi" w:cstheme="minorHAnsi"/>
        <w:b/>
        <w:sz w:val="28"/>
        <w:szCs w:val="28"/>
      </w:rPr>
      <w:t xml:space="preserve">Dated </w:t>
    </w:r>
    <w:r w:rsidRPr="0019399B">
      <w:rPr>
        <w:rFonts w:asciiTheme="majorHAnsi" w:hAnsiTheme="majorHAnsi" w:cstheme="minorHAnsi"/>
        <w:b/>
        <w:sz w:val="28"/>
        <w:szCs w:val="28"/>
      </w:rPr>
      <w:t>_____________</w:t>
    </w:r>
  </w:p>
  <w:p w14:paraId="2305C7D5" w14:textId="06399C6C" w:rsidR="009727C5" w:rsidRPr="003E1DEC" w:rsidRDefault="009727C5" w:rsidP="005E66ED">
    <w:pPr>
      <w:pStyle w:val="Header"/>
      <w:pBdr>
        <w:bottom w:val="single" w:sz="4" w:space="6" w:color="auto"/>
      </w:pBdr>
      <w:spacing w:before="0" w:after="120"/>
      <w:jc w:val="center"/>
      <w:rPr>
        <w:rFonts w:asciiTheme="majorHAnsi" w:hAnsiTheme="majorHAnsi" w:cstheme="minorHAnsi"/>
        <w:b/>
        <w:sz w:val="28"/>
        <w:szCs w:val="28"/>
      </w:rPr>
    </w:pPr>
    <w:r w:rsidRPr="00BA5A03">
      <w:rPr>
        <w:rFonts w:asciiTheme="majorHAnsi" w:hAnsiTheme="majorHAnsi" w:cstheme="minorHAnsi"/>
        <w:b/>
        <w:sz w:val="28"/>
        <w:szCs w:val="28"/>
      </w:rPr>
      <w:t>Between</w:t>
    </w:r>
    <w:r w:rsidRPr="00F31163">
      <w:rPr>
        <w:rFonts w:asciiTheme="majorHAnsi" w:hAnsiTheme="majorHAnsi" w:cs="Calibri"/>
        <w:b/>
        <w:sz w:val="28"/>
        <w:szCs w:val="28"/>
      </w:rPr>
      <w:t xml:space="preserve"> </w:t>
    </w:r>
    <w:r w:rsidR="00F31163" w:rsidRPr="00F31163">
      <w:rPr>
        <w:rFonts w:asciiTheme="majorHAnsi" w:hAnsiTheme="majorHAnsi" w:cs="Calibri"/>
        <w:b/>
        <w:sz w:val="28"/>
        <w:szCs w:val="28"/>
      </w:rPr>
      <w:t>Kentucky Municipal Energy Agency</w:t>
    </w:r>
    <w:r w:rsidR="00673C0B" w:rsidRPr="00F31163">
      <w:rPr>
        <w:rFonts w:asciiTheme="majorHAnsi" w:hAnsiTheme="majorHAnsi" w:cs="Calibri"/>
        <w:b/>
        <w:sz w:val="28"/>
        <w:szCs w:val="28"/>
      </w:rPr>
      <w:t xml:space="preserve"> </w:t>
    </w:r>
    <w:r w:rsidRPr="00F31163">
      <w:rPr>
        <w:rFonts w:asciiTheme="majorHAnsi" w:hAnsiTheme="majorHAnsi" w:cstheme="minorHAnsi"/>
        <w:b/>
        <w:sz w:val="28"/>
        <w:szCs w:val="28"/>
      </w:rPr>
      <w:t>and</w:t>
    </w:r>
    <w:r w:rsidRPr="00BA5A03">
      <w:rPr>
        <w:rFonts w:asciiTheme="majorHAnsi" w:hAnsiTheme="majorHAnsi" w:cstheme="minorHAnsi"/>
        <w:b/>
        <w:sz w:val="28"/>
        <w:szCs w:val="28"/>
      </w:rPr>
      <w:t xml:space="preserve"> nFront Consulting 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900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21201"/>
    <w:multiLevelType w:val="hybridMultilevel"/>
    <w:tmpl w:val="3A9E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416FF"/>
    <w:multiLevelType w:val="hybridMultilevel"/>
    <w:tmpl w:val="F0381AD8"/>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71900"/>
    <w:multiLevelType w:val="hybridMultilevel"/>
    <w:tmpl w:val="8B6C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F32B3"/>
    <w:multiLevelType w:val="hybridMultilevel"/>
    <w:tmpl w:val="E7564A64"/>
    <w:lvl w:ilvl="0" w:tplc="1C3EF32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74A67"/>
    <w:multiLevelType w:val="hybridMultilevel"/>
    <w:tmpl w:val="19EA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21BF7"/>
    <w:multiLevelType w:val="hybridMultilevel"/>
    <w:tmpl w:val="15E8C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3B6C52"/>
    <w:multiLevelType w:val="hybridMultilevel"/>
    <w:tmpl w:val="BEB80CE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26"/>
    <w:rsid w:val="00043B8A"/>
    <w:rsid w:val="000610C7"/>
    <w:rsid w:val="000E1364"/>
    <w:rsid w:val="000E2C08"/>
    <w:rsid w:val="001812CD"/>
    <w:rsid w:val="00187857"/>
    <w:rsid w:val="0019399B"/>
    <w:rsid w:val="001C4EDC"/>
    <w:rsid w:val="00206610"/>
    <w:rsid w:val="00217931"/>
    <w:rsid w:val="002513DE"/>
    <w:rsid w:val="00274D3C"/>
    <w:rsid w:val="002D19F1"/>
    <w:rsid w:val="002E6CF1"/>
    <w:rsid w:val="00381D02"/>
    <w:rsid w:val="003B22A4"/>
    <w:rsid w:val="003B7B0F"/>
    <w:rsid w:val="003D1479"/>
    <w:rsid w:val="003D2F9D"/>
    <w:rsid w:val="003E1DEC"/>
    <w:rsid w:val="004051C2"/>
    <w:rsid w:val="0046374D"/>
    <w:rsid w:val="004760F8"/>
    <w:rsid w:val="004A32E8"/>
    <w:rsid w:val="004B7E29"/>
    <w:rsid w:val="004D4E87"/>
    <w:rsid w:val="004F1F50"/>
    <w:rsid w:val="0050670A"/>
    <w:rsid w:val="00543F56"/>
    <w:rsid w:val="00574EF7"/>
    <w:rsid w:val="00586FF9"/>
    <w:rsid w:val="005D1720"/>
    <w:rsid w:val="005E1D3E"/>
    <w:rsid w:val="005E66ED"/>
    <w:rsid w:val="005E756E"/>
    <w:rsid w:val="005F6D14"/>
    <w:rsid w:val="00612532"/>
    <w:rsid w:val="00615809"/>
    <w:rsid w:val="00616DC7"/>
    <w:rsid w:val="00635904"/>
    <w:rsid w:val="006467AC"/>
    <w:rsid w:val="00673C0B"/>
    <w:rsid w:val="0068105D"/>
    <w:rsid w:val="006A355A"/>
    <w:rsid w:val="006B2D8F"/>
    <w:rsid w:val="006C5F2F"/>
    <w:rsid w:val="006E285A"/>
    <w:rsid w:val="006F0CDA"/>
    <w:rsid w:val="00743766"/>
    <w:rsid w:val="007B0F2B"/>
    <w:rsid w:val="007E2ED3"/>
    <w:rsid w:val="00802934"/>
    <w:rsid w:val="00863041"/>
    <w:rsid w:val="00867CB4"/>
    <w:rsid w:val="008B6E72"/>
    <w:rsid w:val="008C1DE0"/>
    <w:rsid w:val="008D305B"/>
    <w:rsid w:val="008F0568"/>
    <w:rsid w:val="00917216"/>
    <w:rsid w:val="009727C5"/>
    <w:rsid w:val="009842EF"/>
    <w:rsid w:val="009A2B30"/>
    <w:rsid w:val="009A7AE5"/>
    <w:rsid w:val="009D6A96"/>
    <w:rsid w:val="009F14E7"/>
    <w:rsid w:val="00A43536"/>
    <w:rsid w:val="00A66C71"/>
    <w:rsid w:val="00A86096"/>
    <w:rsid w:val="00AB4FC1"/>
    <w:rsid w:val="00B1073E"/>
    <w:rsid w:val="00B303B8"/>
    <w:rsid w:val="00B47169"/>
    <w:rsid w:val="00B559F9"/>
    <w:rsid w:val="00B975AF"/>
    <w:rsid w:val="00BA5A03"/>
    <w:rsid w:val="00BD2994"/>
    <w:rsid w:val="00C11C16"/>
    <w:rsid w:val="00C17CCF"/>
    <w:rsid w:val="00C46CC5"/>
    <w:rsid w:val="00C70635"/>
    <w:rsid w:val="00C74B34"/>
    <w:rsid w:val="00C86157"/>
    <w:rsid w:val="00CB4F7A"/>
    <w:rsid w:val="00CE1F55"/>
    <w:rsid w:val="00D161A4"/>
    <w:rsid w:val="00D2648F"/>
    <w:rsid w:val="00DB55EA"/>
    <w:rsid w:val="00E14F9F"/>
    <w:rsid w:val="00E17FB2"/>
    <w:rsid w:val="00E26C08"/>
    <w:rsid w:val="00E6460E"/>
    <w:rsid w:val="00EB06EA"/>
    <w:rsid w:val="00ED6430"/>
    <w:rsid w:val="00F10B5C"/>
    <w:rsid w:val="00F10F40"/>
    <w:rsid w:val="00F31163"/>
    <w:rsid w:val="00F707AF"/>
    <w:rsid w:val="00F70F8C"/>
    <w:rsid w:val="00F93212"/>
    <w:rsid w:val="00FC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BDCA2C"/>
  <w14:defaultImageDpi w14:val="300"/>
  <w15:docId w15:val="{352BABBF-E878-47C5-BC5C-E865B884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31"/>
    <w:pPr>
      <w:spacing w:before="240" w:line="276" w:lineRule="auto"/>
    </w:pPr>
    <w:rPr>
      <w:sz w:val="22"/>
      <w:szCs w:val="22"/>
    </w:rPr>
  </w:style>
  <w:style w:type="paragraph" w:styleId="Heading1">
    <w:name w:val="heading 1"/>
    <w:basedOn w:val="Normal"/>
    <w:next w:val="BodyText"/>
    <w:link w:val="Heading1Char"/>
    <w:qFormat/>
    <w:rsid w:val="0050670A"/>
    <w:pPr>
      <w:keepNext/>
      <w:spacing w:before="120" w:after="120" w:line="240" w:lineRule="auto"/>
      <w:jc w:val="both"/>
      <w:outlineLvl w:val="0"/>
    </w:pPr>
    <w:rPr>
      <w:rFonts w:ascii="ZapfHumnst BT" w:eastAsia="Times New Roman" w:hAnsi="ZapfHumnst BT"/>
      <w:b/>
      <w:caps/>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26"/>
    <w:rPr>
      <w:rFonts w:ascii="Tahoma" w:hAnsi="Tahoma" w:cs="Tahoma"/>
      <w:sz w:val="16"/>
      <w:szCs w:val="16"/>
    </w:rPr>
  </w:style>
  <w:style w:type="character" w:customStyle="1" w:styleId="Heading1Char">
    <w:name w:val="Heading 1 Char"/>
    <w:basedOn w:val="DefaultParagraphFont"/>
    <w:link w:val="Heading1"/>
    <w:rsid w:val="0050670A"/>
    <w:rPr>
      <w:rFonts w:ascii="ZapfHumnst BT" w:eastAsia="Times New Roman" w:hAnsi="ZapfHumnst BT"/>
      <w:b/>
      <w:caps/>
      <w:kern w:val="28"/>
      <w:sz w:val="24"/>
    </w:rPr>
  </w:style>
  <w:style w:type="paragraph" w:styleId="BodyText">
    <w:name w:val="Body Text"/>
    <w:link w:val="BodyTextChar"/>
    <w:rsid w:val="0050670A"/>
    <w:pPr>
      <w:spacing w:before="120"/>
      <w:jc w:val="both"/>
    </w:pPr>
    <w:rPr>
      <w:rFonts w:ascii="ZapfCalligr BT" w:eastAsia="Times New Roman" w:hAnsi="ZapfCalligr BT"/>
      <w:kern w:val="23"/>
      <w:sz w:val="23"/>
    </w:rPr>
  </w:style>
  <w:style w:type="character" w:customStyle="1" w:styleId="BodyTextChar">
    <w:name w:val="Body Text Char"/>
    <w:basedOn w:val="DefaultParagraphFont"/>
    <w:link w:val="BodyText"/>
    <w:rsid w:val="0050670A"/>
    <w:rPr>
      <w:rFonts w:ascii="ZapfCalligr BT" w:eastAsia="Times New Roman" w:hAnsi="ZapfCalligr BT"/>
      <w:kern w:val="23"/>
      <w:sz w:val="23"/>
      <w:lang w:val="en-US" w:eastAsia="en-US" w:bidi="ar-SA"/>
    </w:rPr>
  </w:style>
  <w:style w:type="character" w:customStyle="1" w:styleId="Humnst12ptBold">
    <w:name w:val="Humnst 12pt Bold"/>
    <w:basedOn w:val="DefaultParagraphFont"/>
    <w:rsid w:val="0050670A"/>
    <w:rPr>
      <w:rFonts w:ascii="ZapfHumnst BT" w:hAnsi="ZapfHumnst BT"/>
      <w:b/>
      <w:kern w:val="24"/>
      <w:sz w:val="24"/>
    </w:rPr>
  </w:style>
  <w:style w:type="paragraph" w:styleId="BodyTextIndent">
    <w:name w:val="Body Text Indent"/>
    <w:basedOn w:val="Normal"/>
    <w:link w:val="BodyTextIndentChar"/>
    <w:rsid w:val="0050670A"/>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0670A"/>
    <w:rPr>
      <w:rFonts w:ascii="Times New Roman" w:eastAsia="Times New Roman" w:hAnsi="Times New Roman"/>
      <w:sz w:val="24"/>
      <w:szCs w:val="24"/>
    </w:rPr>
  </w:style>
  <w:style w:type="paragraph" w:styleId="Header">
    <w:name w:val="header"/>
    <w:basedOn w:val="Normal"/>
    <w:link w:val="HeaderChar"/>
    <w:uiPriority w:val="99"/>
    <w:unhideWhenUsed/>
    <w:rsid w:val="002513DE"/>
    <w:pPr>
      <w:tabs>
        <w:tab w:val="center" w:pos="4320"/>
        <w:tab w:val="right" w:pos="8640"/>
      </w:tabs>
      <w:spacing w:line="240" w:lineRule="auto"/>
    </w:pPr>
  </w:style>
  <w:style w:type="character" w:customStyle="1" w:styleId="HeaderChar">
    <w:name w:val="Header Char"/>
    <w:basedOn w:val="DefaultParagraphFont"/>
    <w:link w:val="Header"/>
    <w:uiPriority w:val="99"/>
    <w:rsid w:val="002513DE"/>
    <w:rPr>
      <w:sz w:val="22"/>
      <w:szCs w:val="22"/>
    </w:rPr>
  </w:style>
  <w:style w:type="paragraph" w:styleId="Footer">
    <w:name w:val="footer"/>
    <w:basedOn w:val="Normal"/>
    <w:link w:val="FooterChar"/>
    <w:uiPriority w:val="99"/>
    <w:unhideWhenUsed/>
    <w:rsid w:val="002513DE"/>
    <w:pPr>
      <w:tabs>
        <w:tab w:val="center" w:pos="4320"/>
        <w:tab w:val="right" w:pos="8640"/>
      </w:tabs>
      <w:spacing w:line="240" w:lineRule="auto"/>
    </w:pPr>
  </w:style>
  <w:style w:type="character" w:customStyle="1" w:styleId="FooterChar">
    <w:name w:val="Footer Char"/>
    <w:basedOn w:val="DefaultParagraphFont"/>
    <w:link w:val="Footer"/>
    <w:uiPriority w:val="99"/>
    <w:rsid w:val="002513DE"/>
    <w:rPr>
      <w:sz w:val="22"/>
      <w:szCs w:val="22"/>
    </w:rPr>
  </w:style>
  <w:style w:type="character" w:styleId="CommentReference">
    <w:name w:val="annotation reference"/>
    <w:basedOn w:val="DefaultParagraphFont"/>
    <w:uiPriority w:val="99"/>
    <w:semiHidden/>
    <w:unhideWhenUsed/>
    <w:rsid w:val="009A2B30"/>
    <w:rPr>
      <w:sz w:val="16"/>
      <w:szCs w:val="16"/>
    </w:rPr>
  </w:style>
  <w:style w:type="paragraph" w:styleId="CommentText">
    <w:name w:val="annotation text"/>
    <w:basedOn w:val="Normal"/>
    <w:link w:val="CommentTextChar"/>
    <w:uiPriority w:val="99"/>
    <w:semiHidden/>
    <w:unhideWhenUsed/>
    <w:rsid w:val="009A2B30"/>
    <w:pPr>
      <w:spacing w:line="240" w:lineRule="auto"/>
    </w:pPr>
    <w:rPr>
      <w:sz w:val="20"/>
      <w:szCs w:val="20"/>
    </w:rPr>
  </w:style>
  <w:style w:type="character" w:customStyle="1" w:styleId="CommentTextChar">
    <w:name w:val="Comment Text Char"/>
    <w:basedOn w:val="DefaultParagraphFont"/>
    <w:link w:val="CommentText"/>
    <w:uiPriority w:val="99"/>
    <w:semiHidden/>
    <w:rsid w:val="009A2B30"/>
  </w:style>
  <w:style w:type="paragraph" w:styleId="ListParagraph">
    <w:name w:val="List Paragraph"/>
    <w:basedOn w:val="Normal"/>
    <w:uiPriority w:val="72"/>
    <w:rsid w:val="005D1720"/>
    <w:pPr>
      <w:ind w:left="720"/>
      <w:contextualSpacing/>
    </w:pPr>
  </w:style>
  <w:style w:type="table" w:styleId="TableGrid">
    <w:name w:val="Table Grid"/>
    <w:basedOn w:val="TableNormal"/>
    <w:uiPriority w:val="59"/>
    <w:rsid w:val="00D1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A5A03"/>
    <w:rPr>
      <w:b/>
      <w:bCs/>
    </w:rPr>
  </w:style>
  <w:style w:type="character" w:customStyle="1" w:styleId="CommentSubjectChar">
    <w:name w:val="Comment Subject Char"/>
    <w:basedOn w:val="CommentTextChar"/>
    <w:link w:val="CommentSubject"/>
    <w:uiPriority w:val="99"/>
    <w:semiHidden/>
    <w:rsid w:val="00BA5A03"/>
    <w:rPr>
      <w:b/>
      <w:bCs/>
    </w:rPr>
  </w:style>
  <w:style w:type="paragraph" w:styleId="Revision">
    <w:name w:val="Revision"/>
    <w:hidden/>
    <w:uiPriority w:val="71"/>
    <w:rsid w:val="00BA5A03"/>
    <w:rPr>
      <w:sz w:val="22"/>
      <w:szCs w:val="22"/>
    </w:rPr>
  </w:style>
  <w:style w:type="table" w:customStyle="1" w:styleId="TableGrid1">
    <w:name w:val="Table Grid1"/>
    <w:basedOn w:val="TableNormal"/>
    <w:next w:val="TableGrid"/>
    <w:uiPriority w:val="59"/>
    <w:rsid w:val="0054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FCB5981B6164AA47525A2C48DA5E1" ma:contentTypeVersion="3" ma:contentTypeDescription="Create a new document." ma:contentTypeScope="" ma:versionID="a53efa9f1bd1c1173159bf520f1ebec4">
  <xsd:schema xmlns:xsd="http://www.w3.org/2001/XMLSchema" xmlns:xs="http://www.w3.org/2001/XMLSchema" xmlns:p="http://schemas.microsoft.com/office/2006/metadata/properties" xmlns:ns2="444fad00-ec21-46cc-a133-d70aaec15ab6" targetNamespace="http://schemas.microsoft.com/office/2006/metadata/properties" ma:root="true" ma:fieldsID="b5e3bd366e4631561a6e20632d75c15c" ns2:_="">
    <xsd:import namespace="444fad00-ec21-46cc-a133-d70aaec15ab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ad00-ec21-46cc-a133-d70aaec15a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83E9D-29A5-467C-9DAC-B13B718F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ad00-ec21-46cc-a133-d70aaec15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1187A-69AA-4313-A523-C33767FC2B38}">
  <ds:schemaRefs>
    <ds:schemaRef ds:uri="http://schemas.microsoft.com/sharepoint/v3/contenttype/forms"/>
  </ds:schemaRefs>
</ds:datastoreItem>
</file>

<file path=customXml/itemProps3.xml><?xml version="1.0" encoding="utf-8"?>
<ds:datastoreItem xmlns:ds="http://schemas.openxmlformats.org/officeDocument/2006/customXml" ds:itemID="{4350A1CB-D445-4949-AFDA-4FEED96C7EF8}">
  <ds:schemaRef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44fad00-ec21-46cc-a133-d70aaec15ab6"/>
  </ds:schemaRefs>
</ds:datastoreItem>
</file>

<file path=customXml/itemProps4.xml><?xml version="1.0" encoding="utf-8"?>
<ds:datastoreItem xmlns:ds="http://schemas.openxmlformats.org/officeDocument/2006/customXml" ds:itemID="{ED687D91-1F73-40F1-A83F-A2CEA4AB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Gaines</dc:creator>
  <cp:keywords/>
  <dc:description/>
  <cp:lastModifiedBy>John Painter</cp:lastModifiedBy>
  <cp:revision>4</cp:revision>
  <dcterms:created xsi:type="dcterms:W3CDTF">2016-05-23T20:17:00Z</dcterms:created>
  <dcterms:modified xsi:type="dcterms:W3CDTF">2016-05-23T20:18:00Z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0x010100B23FCB5981B6164AA47525A2C48DA5E1</vt:lpwstr>
  </property>
</Properties>
</file>