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tab/>
        <w:t xml:space="preserve">WHEREAS, </w:t>
      </w:r>
      <w:r w:rsidR="000536FD">
        <w:t>the p</w:t>
      </w:r>
      <w:r w:rsidR="000536FD">
        <w:rPr>
          <w:snapToGrid w:val="0"/>
        </w:rPr>
        <w:t xml:space="preserve">rocurement of </w:t>
      </w:r>
      <w:r w:rsidR="00734D1B">
        <w:rPr>
          <w:snapToGrid w:val="0"/>
        </w:rPr>
        <w:t xml:space="preserve">peaking </w:t>
      </w:r>
      <w:r w:rsidR="000536FD">
        <w:rPr>
          <w:snapToGrid w:val="0"/>
        </w:rPr>
        <w:t>capacity and energy to meet the needs of the Members of the Kentucky Municipal Energy Agency (“</w:t>
      </w:r>
      <w:proofErr w:type="spellStart"/>
      <w:r w:rsidR="000536FD">
        <w:rPr>
          <w:snapToGrid w:val="0"/>
        </w:rPr>
        <w:t>KyMEA</w:t>
      </w:r>
      <w:proofErr w:type="spellEnd"/>
      <w:r w:rsidR="000536FD">
        <w:rPr>
          <w:snapToGrid w:val="0"/>
        </w:rPr>
        <w:t xml:space="preserve">”) is its primary mission;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734D1B">
        <w:rPr>
          <w:snapToGrid w:val="0"/>
        </w:rPr>
        <w:t xml:space="preserve">proposes to </w:t>
      </w:r>
      <w:r>
        <w:rPr>
          <w:snapToGrid w:val="0"/>
        </w:rPr>
        <w:t xml:space="preserve">issue a request for proposals (“RFP”) to interested parties soliciting the supply of </w:t>
      </w:r>
      <w:r w:rsidR="00734D1B">
        <w:rPr>
          <w:snapToGrid w:val="0"/>
        </w:rPr>
        <w:t xml:space="preserve">peaking capacity and </w:t>
      </w:r>
      <w:r>
        <w:rPr>
          <w:snapToGrid w:val="0"/>
        </w:rPr>
        <w:t xml:space="preserve">energy beginning in May 2019 to one or more of its Members,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the RFP requests interested parties to present proposals under the provisions of KRS 45A.370 for </w:t>
      </w:r>
      <w:r w:rsidR="00734D1B">
        <w:rPr>
          <w:snapToGrid w:val="0"/>
        </w:rPr>
        <w:t>peaking capacity and energy</w:t>
      </w:r>
      <w:r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, through its committees and consultants, will evaluate each proposal to determine which proposal or proposals will produce the supply of </w:t>
      </w:r>
      <w:r w:rsidR="00734D1B">
        <w:rPr>
          <w:snapToGrid w:val="0"/>
        </w:rPr>
        <w:t xml:space="preserve">peaking </w:t>
      </w:r>
      <w:r>
        <w:rPr>
          <w:snapToGrid w:val="0"/>
        </w:rPr>
        <w:t xml:space="preserve">capacity and energy that is most advantageous to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its Members, including reliability of supply and transmission, and </w:t>
      </w:r>
      <w:r w:rsidRPr="00022B54">
        <w:rPr>
          <w:snapToGrid w:val="0"/>
        </w:rPr>
        <w:t xml:space="preserve"> 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competitive sealed bidding is not feasible for procuring the supply of </w:t>
      </w:r>
      <w:r w:rsidR="00734D1B">
        <w:rPr>
          <w:snapToGrid w:val="0"/>
        </w:rPr>
        <w:t xml:space="preserve">peaking capacity and </w:t>
      </w:r>
      <w:r>
        <w:rPr>
          <w:snapToGrid w:val="0"/>
        </w:rPr>
        <w:t xml:space="preserve">energy required by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s</w:t>
      </w:r>
      <w:r w:rsidRPr="00022B54">
        <w:rPr>
          <w:snapToGrid w:val="0"/>
        </w:rPr>
        <w:t xml:space="preserve">pecifications cannot be made sufficiently specific to permit </w:t>
      </w:r>
      <w:r>
        <w:rPr>
          <w:snapToGrid w:val="0"/>
        </w:rPr>
        <w:t xml:space="preserve">an </w:t>
      </w:r>
      <w:r w:rsidRPr="00022B54">
        <w:rPr>
          <w:snapToGrid w:val="0"/>
        </w:rPr>
        <w:t>award on the basis of either the lowest bid price or the lowest evaluated bid price</w:t>
      </w:r>
      <w:r>
        <w:rPr>
          <w:snapToGrid w:val="0"/>
        </w:rPr>
        <w:t xml:space="preserve"> because the procurement is for nonstandard supplies and requires technical discussions;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KRS 45A.370(1)(a), and as </w:t>
      </w:r>
      <w:r>
        <w:rPr>
          <w:snapToGrid w:val="0"/>
        </w:rPr>
        <w:t>set forth in the recitals above</w:t>
      </w:r>
      <w:r w:rsidRPr="00022B54">
        <w:rPr>
          <w:snapToGrid w:val="0"/>
        </w:rPr>
        <w:t xml:space="preserve">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hereby finds and determines, and has found and </w:t>
      </w:r>
      <w:r w:rsidRPr="00022B54">
        <w:rPr>
          <w:snapToGrid w:val="0"/>
        </w:rPr>
        <w:t>determined</w:t>
      </w:r>
      <w:r>
        <w:rPr>
          <w:snapToGrid w:val="0"/>
        </w:rPr>
        <w:t>,</w:t>
      </w:r>
      <w:r w:rsidRPr="00022B54">
        <w:rPr>
          <w:snapToGrid w:val="0"/>
        </w:rPr>
        <w:t xml:space="preserve"> that competitive sealed bidding is not feasible in the procurement of the above</w:t>
      </w:r>
      <w:r>
        <w:rPr>
          <w:snapToGrid w:val="0"/>
        </w:rPr>
        <w:t xml:space="preserve"> described supply of </w:t>
      </w:r>
      <w:r w:rsidR="00734D1B">
        <w:rPr>
          <w:snapToGrid w:val="0"/>
        </w:rPr>
        <w:t>Peaking capacity and energy</w:t>
      </w:r>
      <w:r w:rsidRPr="00022B54">
        <w:rPr>
          <w:snapToGrid w:val="0"/>
        </w:rPr>
        <w:t xml:space="preserve">, and </w:t>
      </w:r>
      <w:r>
        <w:rPr>
          <w:snapToGrid w:val="0"/>
        </w:rPr>
        <w:t xml:space="preserve">that </w:t>
      </w:r>
      <w:r w:rsidRPr="00022B54">
        <w:rPr>
          <w:snapToGrid w:val="0"/>
        </w:rPr>
        <w:t xml:space="preserve">it is most advantageous for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>,</w:t>
      </w:r>
      <w:r w:rsidRPr="00022B54">
        <w:rPr>
          <w:snapToGrid w:val="0"/>
        </w:rPr>
        <w:t xml:space="preserve"> </w:t>
      </w:r>
      <w:r>
        <w:rPr>
          <w:snapToGrid w:val="0"/>
        </w:rPr>
        <w:t xml:space="preserve">and in its best interests and the interests of its Members, </w:t>
      </w:r>
      <w:r w:rsidRPr="00022B54">
        <w:rPr>
          <w:snapToGrid w:val="0"/>
        </w:rPr>
        <w:t>to solicit proposals through competitive negotiation</w:t>
      </w:r>
      <w:r>
        <w:rPr>
          <w:snapToGrid w:val="0"/>
        </w:rPr>
        <w:t xml:space="preserve"> and to issue any addendum or addenda to the preliminary RFP that has been issued, as may be necessary or desirable</w:t>
      </w:r>
      <w:r w:rsidRPr="00022B54">
        <w:rPr>
          <w:snapToGrid w:val="0"/>
        </w:rPr>
        <w:t>.</w:t>
      </w:r>
      <w:bookmarkStart w:id="0" w:name="_GoBack"/>
      <w:bookmarkEnd w:id="0"/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F"/>
    <w:rsid w:val="000536FD"/>
    <w:rsid w:val="00111FD2"/>
    <w:rsid w:val="00734D1B"/>
    <w:rsid w:val="009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2</cp:revision>
  <dcterms:created xsi:type="dcterms:W3CDTF">2016-04-21T19:03:00Z</dcterms:created>
  <dcterms:modified xsi:type="dcterms:W3CDTF">2016-04-21T19:03:00Z</dcterms:modified>
</cp:coreProperties>
</file>