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76CF3" w14:textId="33A4743E" w:rsidR="006A78F6" w:rsidRPr="00E058F9" w:rsidRDefault="00337A69" w:rsidP="0024586D">
      <w:pPr>
        <w:pStyle w:val="BodyText"/>
        <w:spacing w:after="240"/>
        <w:ind w:right="120"/>
        <w:jc w:val="both"/>
        <w:rPr>
          <w:rFonts w:asciiTheme="minorHAnsi" w:hAnsiTheme="minorHAnsi"/>
        </w:rPr>
      </w:pPr>
      <w:r w:rsidRPr="00E058F9">
        <w:rPr>
          <w:rFonts w:asciiTheme="minorHAnsi" w:hAnsiTheme="minorHAnsi"/>
          <w:spacing w:val="-1"/>
        </w:rPr>
        <w:t>WHEREAS,</w:t>
      </w:r>
      <w:r w:rsidRPr="00E058F9">
        <w:rPr>
          <w:rFonts w:asciiTheme="minorHAnsi" w:hAnsiTheme="minorHAnsi"/>
          <w:spacing w:val="-19"/>
        </w:rPr>
        <w:t xml:space="preserve"> </w:t>
      </w:r>
      <w:r w:rsidRPr="00E058F9">
        <w:rPr>
          <w:rFonts w:asciiTheme="minorHAnsi" w:hAnsiTheme="minorHAnsi"/>
        </w:rPr>
        <w:t>the</w:t>
      </w:r>
      <w:r w:rsidRPr="00E058F9">
        <w:rPr>
          <w:rFonts w:asciiTheme="minorHAnsi" w:hAnsiTheme="minorHAnsi"/>
          <w:spacing w:val="-20"/>
        </w:rPr>
        <w:t xml:space="preserve"> </w:t>
      </w:r>
      <w:r w:rsidRPr="00E058F9">
        <w:rPr>
          <w:rFonts w:asciiTheme="minorHAnsi" w:hAnsiTheme="minorHAnsi"/>
        </w:rPr>
        <w:t>Kentucky</w:t>
      </w:r>
      <w:r w:rsidRPr="00E058F9">
        <w:rPr>
          <w:rFonts w:asciiTheme="minorHAnsi" w:hAnsiTheme="minorHAnsi"/>
          <w:spacing w:val="-29"/>
        </w:rPr>
        <w:t xml:space="preserve"> </w:t>
      </w:r>
      <w:r w:rsidRPr="00E058F9">
        <w:rPr>
          <w:rFonts w:asciiTheme="minorHAnsi" w:hAnsiTheme="minorHAnsi"/>
        </w:rPr>
        <w:t>Municipal</w:t>
      </w:r>
      <w:r w:rsidRPr="00E058F9">
        <w:rPr>
          <w:rFonts w:asciiTheme="minorHAnsi" w:hAnsiTheme="minorHAnsi"/>
          <w:spacing w:val="-20"/>
        </w:rPr>
        <w:t xml:space="preserve"> </w:t>
      </w:r>
      <w:r w:rsidRPr="00E058F9">
        <w:rPr>
          <w:rFonts w:asciiTheme="minorHAnsi" w:hAnsiTheme="minorHAnsi"/>
          <w:spacing w:val="-1"/>
        </w:rPr>
        <w:t>Energy</w:t>
      </w:r>
      <w:r w:rsidRPr="00E058F9">
        <w:rPr>
          <w:rFonts w:asciiTheme="minorHAnsi" w:hAnsiTheme="minorHAnsi"/>
          <w:spacing w:val="-28"/>
        </w:rPr>
        <w:t xml:space="preserve"> </w:t>
      </w:r>
      <w:r w:rsidRPr="00E058F9">
        <w:rPr>
          <w:rFonts w:asciiTheme="minorHAnsi" w:hAnsiTheme="minorHAnsi"/>
        </w:rPr>
        <w:t>A</w:t>
      </w:r>
      <w:r w:rsidRPr="00E058F9">
        <w:rPr>
          <w:rFonts w:asciiTheme="minorHAnsi" w:hAnsiTheme="minorHAnsi"/>
          <w:spacing w:val="-3"/>
        </w:rPr>
        <w:t>g</w:t>
      </w:r>
      <w:r w:rsidRPr="00E058F9">
        <w:rPr>
          <w:rFonts w:asciiTheme="minorHAnsi" w:hAnsiTheme="minorHAnsi"/>
        </w:rPr>
        <w:t>enc</w:t>
      </w:r>
      <w:r w:rsidRPr="00E058F9">
        <w:rPr>
          <w:rFonts w:asciiTheme="minorHAnsi" w:hAnsiTheme="minorHAnsi"/>
          <w:spacing w:val="29"/>
        </w:rPr>
        <w:t>y</w:t>
      </w:r>
      <w:r w:rsidRPr="00E058F9">
        <w:rPr>
          <w:rFonts w:asciiTheme="minorHAnsi" w:hAnsiTheme="minorHAnsi"/>
        </w:rPr>
        <w:t>(“K</w:t>
      </w:r>
      <w:r w:rsidRPr="00E058F9">
        <w:rPr>
          <w:rFonts w:asciiTheme="minorHAnsi" w:hAnsiTheme="minorHAnsi"/>
          <w:spacing w:val="-10"/>
        </w:rPr>
        <w:t>y</w:t>
      </w:r>
      <w:r w:rsidRPr="00E058F9">
        <w:rPr>
          <w:rFonts w:asciiTheme="minorHAnsi" w:hAnsiTheme="minorHAnsi"/>
        </w:rPr>
        <w:t>MEA</w:t>
      </w:r>
      <w:r w:rsidRPr="00E058F9">
        <w:rPr>
          <w:rFonts w:asciiTheme="minorHAnsi" w:hAnsiTheme="minorHAnsi"/>
          <w:spacing w:val="-1"/>
        </w:rPr>
        <w:t>”)</w:t>
      </w:r>
      <w:r w:rsidRPr="00E058F9">
        <w:rPr>
          <w:rFonts w:asciiTheme="minorHAnsi" w:hAnsiTheme="minorHAnsi"/>
          <w:spacing w:val="-1"/>
        </w:rPr>
        <w:t xml:space="preserve"> </w:t>
      </w:r>
      <w:r w:rsidR="002809F4" w:rsidRPr="00E058F9">
        <w:rPr>
          <w:rFonts w:asciiTheme="minorHAnsi" w:hAnsiTheme="minorHAnsi"/>
          <w:spacing w:val="-1"/>
        </w:rPr>
        <w:t xml:space="preserve">is planning </w:t>
      </w:r>
      <w:r w:rsidR="001E24FB" w:rsidRPr="00E058F9">
        <w:rPr>
          <w:rFonts w:asciiTheme="minorHAnsi" w:hAnsiTheme="minorHAnsi"/>
          <w:spacing w:val="-1"/>
        </w:rPr>
        <w:t>to provide</w:t>
      </w:r>
      <w:r w:rsidR="001E24FB" w:rsidRPr="00E058F9">
        <w:rPr>
          <w:rFonts w:asciiTheme="minorHAnsi" w:hAnsiTheme="minorHAnsi"/>
        </w:rPr>
        <w:t xml:space="preserve"> All Requirem</w:t>
      </w:r>
      <w:r w:rsidR="001633E4" w:rsidRPr="00E058F9">
        <w:rPr>
          <w:rFonts w:asciiTheme="minorHAnsi" w:hAnsiTheme="minorHAnsi"/>
        </w:rPr>
        <w:t xml:space="preserve">ents service to </w:t>
      </w:r>
      <w:r w:rsidR="002809F4" w:rsidRPr="00E058F9">
        <w:rPr>
          <w:rFonts w:asciiTheme="minorHAnsi" w:hAnsiTheme="minorHAnsi"/>
        </w:rPr>
        <w:t xml:space="preserve">certain </w:t>
      </w:r>
      <w:r w:rsidR="001633E4" w:rsidRPr="00E058F9">
        <w:rPr>
          <w:rFonts w:asciiTheme="minorHAnsi" w:hAnsiTheme="minorHAnsi"/>
        </w:rPr>
        <w:t xml:space="preserve">Members </w:t>
      </w:r>
      <w:r w:rsidR="009A25FE" w:rsidRPr="00E058F9">
        <w:rPr>
          <w:rFonts w:asciiTheme="minorHAnsi" w:hAnsiTheme="minorHAnsi"/>
        </w:rPr>
        <w:t>and other pow</w:t>
      </w:r>
      <w:bookmarkStart w:id="0" w:name="_GoBack"/>
      <w:bookmarkEnd w:id="0"/>
      <w:r w:rsidR="009A25FE" w:rsidRPr="00E058F9">
        <w:rPr>
          <w:rFonts w:asciiTheme="minorHAnsi" w:hAnsiTheme="minorHAnsi"/>
        </w:rPr>
        <w:t xml:space="preserve">er supply </w:t>
      </w:r>
      <w:r w:rsidR="00B20AC1">
        <w:rPr>
          <w:rFonts w:asciiTheme="minorHAnsi" w:hAnsiTheme="minorHAnsi"/>
        </w:rPr>
        <w:t xml:space="preserve">related </w:t>
      </w:r>
      <w:r w:rsidR="009A25FE" w:rsidRPr="00E058F9">
        <w:rPr>
          <w:rFonts w:asciiTheme="minorHAnsi" w:hAnsiTheme="minorHAnsi"/>
        </w:rPr>
        <w:t xml:space="preserve">services to other KyMEA Members </w:t>
      </w:r>
      <w:r w:rsidR="001633E4" w:rsidRPr="00E058F9">
        <w:rPr>
          <w:rFonts w:asciiTheme="minorHAnsi" w:hAnsiTheme="minorHAnsi"/>
        </w:rPr>
        <w:t>effective  May 1, 2019</w:t>
      </w:r>
      <w:r w:rsidRPr="00E058F9">
        <w:rPr>
          <w:rFonts w:asciiTheme="minorHAnsi" w:hAnsiTheme="minorHAnsi"/>
        </w:rPr>
        <w:t>; and</w:t>
      </w:r>
    </w:p>
    <w:p w14:paraId="08876CF5" w14:textId="2DE4A32D" w:rsidR="006A78F6" w:rsidRPr="00E058F9" w:rsidRDefault="00337A69" w:rsidP="0024586D">
      <w:pPr>
        <w:pStyle w:val="BodyText"/>
        <w:spacing w:after="240"/>
        <w:ind w:right="120"/>
        <w:jc w:val="both"/>
        <w:rPr>
          <w:rFonts w:asciiTheme="minorHAnsi" w:hAnsiTheme="minorHAnsi"/>
        </w:rPr>
      </w:pPr>
      <w:r w:rsidRPr="00E058F9">
        <w:rPr>
          <w:rFonts w:asciiTheme="minorHAnsi" w:hAnsiTheme="minorHAnsi"/>
          <w:spacing w:val="-1"/>
        </w:rPr>
        <w:t>WHEREAS</w:t>
      </w:r>
      <w:r w:rsidRPr="00E058F9">
        <w:rPr>
          <w:rFonts w:asciiTheme="minorHAnsi" w:hAnsiTheme="minorHAnsi"/>
        </w:rPr>
        <w:t>,</w:t>
      </w:r>
      <w:r w:rsidRPr="00E058F9">
        <w:rPr>
          <w:rFonts w:asciiTheme="minorHAnsi" w:hAnsiTheme="minorHAnsi"/>
        </w:rPr>
        <w:t xml:space="preserve"> </w:t>
      </w:r>
      <w:r w:rsidR="001633E4" w:rsidRPr="00E058F9">
        <w:rPr>
          <w:rFonts w:asciiTheme="minorHAnsi" w:hAnsiTheme="minorHAnsi"/>
        </w:rPr>
        <w:t xml:space="preserve">KyMEA is currently assembling a </w:t>
      </w:r>
      <w:r w:rsidRPr="00E058F9">
        <w:rPr>
          <w:rFonts w:asciiTheme="minorHAnsi" w:hAnsiTheme="minorHAnsi"/>
        </w:rPr>
        <w:t>portfolio</w:t>
      </w:r>
      <w:r w:rsidRPr="00E058F9">
        <w:rPr>
          <w:rFonts w:asciiTheme="minorHAnsi" w:hAnsiTheme="minorHAnsi"/>
        </w:rPr>
        <w:t xml:space="preserve"> </w:t>
      </w:r>
      <w:r w:rsidRPr="00E058F9">
        <w:rPr>
          <w:rFonts w:asciiTheme="minorHAnsi" w:hAnsiTheme="minorHAnsi"/>
        </w:rPr>
        <w:t>of</w:t>
      </w:r>
      <w:r w:rsidRPr="00E058F9">
        <w:rPr>
          <w:rFonts w:asciiTheme="minorHAnsi" w:hAnsiTheme="minorHAnsi"/>
        </w:rPr>
        <w:t xml:space="preserve"> </w:t>
      </w:r>
      <w:r w:rsidRPr="00E058F9">
        <w:rPr>
          <w:rFonts w:asciiTheme="minorHAnsi" w:hAnsiTheme="minorHAnsi"/>
        </w:rPr>
        <w:t>power</w:t>
      </w:r>
      <w:r w:rsidRPr="00E058F9">
        <w:rPr>
          <w:rFonts w:asciiTheme="minorHAnsi" w:hAnsiTheme="minorHAnsi"/>
        </w:rPr>
        <w:t xml:space="preserve"> </w:t>
      </w:r>
      <w:r w:rsidRPr="00E058F9">
        <w:rPr>
          <w:rFonts w:asciiTheme="minorHAnsi" w:hAnsiTheme="minorHAnsi"/>
        </w:rPr>
        <w:t>resources</w:t>
      </w:r>
      <w:r w:rsidRPr="00E058F9">
        <w:rPr>
          <w:rFonts w:asciiTheme="minorHAnsi" w:hAnsiTheme="minorHAnsi"/>
        </w:rPr>
        <w:t xml:space="preserve"> </w:t>
      </w:r>
      <w:r w:rsidRPr="00E058F9">
        <w:rPr>
          <w:rFonts w:asciiTheme="minorHAnsi" w:hAnsiTheme="minorHAnsi"/>
        </w:rPr>
        <w:t>to</w:t>
      </w:r>
      <w:r w:rsidRPr="00E058F9">
        <w:rPr>
          <w:rFonts w:asciiTheme="minorHAnsi" w:hAnsiTheme="minorHAnsi"/>
        </w:rPr>
        <w:t xml:space="preserve"> </w:t>
      </w:r>
      <w:r w:rsidRPr="00E058F9">
        <w:rPr>
          <w:rFonts w:asciiTheme="minorHAnsi" w:hAnsiTheme="minorHAnsi"/>
        </w:rPr>
        <w:t>be</w:t>
      </w:r>
      <w:r w:rsidRPr="00E058F9">
        <w:rPr>
          <w:rFonts w:asciiTheme="minorHAnsi" w:hAnsiTheme="minorHAnsi"/>
        </w:rPr>
        <w:t xml:space="preserve"> </w:t>
      </w:r>
      <w:r w:rsidRPr="00E058F9">
        <w:rPr>
          <w:rFonts w:asciiTheme="minorHAnsi" w:hAnsiTheme="minorHAnsi"/>
        </w:rPr>
        <w:t>available in 2019</w:t>
      </w:r>
      <w:r w:rsidR="00B20AC1">
        <w:rPr>
          <w:rFonts w:asciiTheme="minorHAnsi" w:hAnsiTheme="minorHAnsi"/>
        </w:rPr>
        <w:t xml:space="preserve"> </w:t>
      </w:r>
      <w:r w:rsidR="009A25FE" w:rsidRPr="00E058F9">
        <w:rPr>
          <w:rFonts w:asciiTheme="minorHAnsi" w:hAnsiTheme="minorHAnsi"/>
        </w:rPr>
        <w:t>to provide All Requirements Service to the applicable Members</w:t>
      </w:r>
      <w:r w:rsidRPr="00E058F9">
        <w:rPr>
          <w:rFonts w:asciiTheme="minorHAnsi" w:hAnsiTheme="minorHAnsi"/>
        </w:rPr>
        <w:t>; and</w:t>
      </w:r>
    </w:p>
    <w:p w14:paraId="08876CF6" w14:textId="6C54EA83" w:rsidR="006A78F6" w:rsidRPr="00E058F9" w:rsidRDefault="00337A69" w:rsidP="0024586D">
      <w:pPr>
        <w:pStyle w:val="BodyText"/>
        <w:spacing w:after="240"/>
        <w:ind w:right="121"/>
        <w:jc w:val="both"/>
        <w:rPr>
          <w:rFonts w:asciiTheme="minorHAnsi" w:hAnsiTheme="minorHAnsi"/>
        </w:rPr>
      </w:pPr>
      <w:r w:rsidRPr="00E058F9">
        <w:rPr>
          <w:rFonts w:asciiTheme="minorHAnsi" w:hAnsiTheme="minorHAnsi"/>
          <w:spacing w:val="-1"/>
        </w:rPr>
        <w:t>WHEREAS</w:t>
      </w:r>
      <w:r w:rsidRPr="00E058F9">
        <w:rPr>
          <w:rFonts w:asciiTheme="minorHAnsi" w:hAnsiTheme="minorHAnsi"/>
        </w:rPr>
        <w:t>,</w:t>
      </w:r>
      <w:r w:rsidRPr="00E058F9">
        <w:rPr>
          <w:rFonts w:asciiTheme="minorHAnsi" w:hAnsiTheme="minorHAnsi"/>
        </w:rPr>
        <w:t xml:space="preserve"> </w:t>
      </w:r>
      <w:r w:rsidR="001633E4" w:rsidRPr="00E058F9">
        <w:rPr>
          <w:rFonts w:asciiTheme="minorHAnsi" w:hAnsiTheme="minorHAnsi"/>
        </w:rPr>
        <w:t xml:space="preserve">KyMEA and its Members </w:t>
      </w:r>
      <w:r w:rsidR="004A2BFC" w:rsidRPr="00E058F9">
        <w:rPr>
          <w:rFonts w:asciiTheme="minorHAnsi" w:hAnsiTheme="minorHAnsi"/>
        </w:rPr>
        <w:t>may</w:t>
      </w:r>
      <w:r w:rsidR="001633E4" w:rsidRPr="00E058F9">
        <w:rPr>
          <w:rFonts w:asciiTheme="minorHAnsi" w:hAnsiTheme="minorHAnsi"/>
        </w:rPr>
        <w:t xml:space="preserve"> determine that it is desirable and in the public interest that certain Renewable Energy Resources provide a portion of the power supply requirements of </w:t>
      </w:r>
      <w:r w:rsidR="004A2BFC" w:rsidRPr="00E058F9">
        <w:rPr>
          <w:rFonts w:asciiTheme="minorHAnsi" w:hAnsiTheme="minorHAnsi"/>
        </w:rPr>
        <w:t xml:space="preserve">some or all of </w:t>
      </w:r>
      <w:r w:rsidR="001633E4" w:rsidRPr="00E058F9">
        <w:rPr>
          <w:rFonts w:asciiTheme="minorHAnsi" w:hAnsiTheme="minorHAnsi"/>
        </w:rPr>
        <w:t>KyMEA’s Members</w:t>
      </w:r>
      <w:r w:rsidRPr="00E058F9">
        <w:rPr>
          <w:rFonts w:asciiTheme="minorHAnsi" w:hAnsiTheme="minorHAnsi"/>
        </w:rPr>
        <w:t>; and</w:t>
      </w:r>
    </w:p>
    <w:p w14:paraId="26497D34" w14:textId="37F6F21B" w:rsidR="000C0D88" w:rsidRPr="00E058F9" w:rsidRDefault="000C0D88" w:rsidP="000C0D88">
      <w:pPr>
        <w:pStyle w:val="BodyText"/>
        <w:spacing w:after="240"/>
        <w:ind w:right="110"/>
        <w:jc w:val="both"/>
        <w:rPr>
          <w:rFonts w:asciiTheme="minorHAnsi" w:hAnsiTheme="minorHAnsi"/>
          <w:spacing w:val="5"/>
        </w:rPr>
      </w:pPr>
      <w:r w:rsidRPr="00E058F9">
        <w:rPr>
          <w:rFonts w:asciiTheme="minorHAnsi" w:hAnsiTheme="minorHAnsi"/>
          <w:spacing w:val="-1"/>
        </w:rPr>
        <w:t>WHEREAS,</w:t>
      </w:r>
      <w:r w:rsidRPr="00E058F9">
        <w:rPr>
          <w:rFonts w:asciiTheme="minorHAnsi" w:hAnsiTheme="minorHAnsi"/>
          <w:spacing w:val="-12"/>
        </w:rPr>
        <w:t xml:space="preserve"> </w:t>
      </w:r>
      <w:r w:rsidRPr="00E058F9">
        <w:rPr>
          <w:rFonts w:asciiTheme="minorHAnsi" w:hAnsiTheme="minorHAnsi"/>
          <w:spacing w:val="5"/>
        </w:rPr>
        <w:t xml:space="preserve">KyMEA desires to </w:t>
      </w:r>
      <w:r w:rsidRPr="00E058F9">
        <w:rPr>
          <w:rFonts w:asciiTheme="minorHAnsi" w:hAnsiTheme="minorHAnsi"/>
          <w:spacing w:val="5"/>
        </w:rPr>
        <w:t xml:space="preserve">determine </w:t>
      </w:r>
      <w:r w:rsidR="0056321C">
        <w:rPr>
          <w:rFonts w:asciiTheme="minorHAnsi" w:hAnsiTheme="minorHAnsi"/>
          <w:spacing w:val="5"/>
        </w:rPr>
        <w:t>the manner in which it may be most appropriate to</w:t>
      </w:r>
      <w:r w:rsidRPr="00E058F9">
        <w:rPr>
          <w:rFonts w:asciiTheme="minorHAnsi" w:hAnsiTheme="minorHAnsi"/>
          <w:spacing w:val="5"/>
        </w:rPr>
        <w:t xml:space="preserve"> implement </w:t>
      </w:r>
      <w:r w:rsidRPr="00E058F9">
        <w:rPr>
          <w:rFonts w:asciiTheme="minorHAnsi" w:hAnsiTheme="minorHAnsi"/>
          <w:spacing w:val="5"/>
        </w:rPr>
        <w:t>some level of Renewable Energy Resources in 2019; and</w:t>
      </w:r>
    </w:p>
    <w:p w14:paraId="08876CF9" w14:textId="04294068" w:rsidR="006A78F6" w:rsidRPr="00E058F9" w:rsidRDefault="00337A69" w:rsidP="0024586D">
      <w:pPr>
        <w:pStyle w:val="BodyText"/>
        <w:spacing w:after="240"/>
        <w:ind w:right="119"/>
        <w:jc w:val="both"/>
        <w:rPr>
          <w:rFonts w:asciiTheme="minorHAnsi" w:hAnsiTheme="minorHAnsi"/>
        </w:rPr>
      </w:pPr>
      <w:r w:rsidRPr="00E058F9">
        <w:rPr>
          <w:rFonts w:asciiTheme="minorHAnsi" w:hAnsiTheme="minorHAnsi"/>
          <w:spacing w:val="-1"/>
        </w:rPr>
        <w:t>WHEREAS,</w:t>
      </w:r>
      <w:r w:rsidRPr="00E058F9">
        <w:rPr>
          <w:rFonts w:asciiTheme="minorHAnsi" w:hAnsiTheme="minorHAnsi"/>
          <w:spacing w:val="3"/>
        </w:rPr>
        <w:t xml:space="preserve"> </w:t>
      </w:r>
      <w:r w:rsidR="001633E4" w:rsidRPr="00E058F9">
        <w:rPr>
          <w:rFonts w:asciiTheme="minorHAnsi" w:hAnsiTheme="minorHAnsi"/>
        </w:rPr>
        <w:t>Renewable Energy Re</w:t>
      </w:r>
      <w:r w:rsidR="00DC589F" w:rsidRPr="00E058F9">
        <w:rPr>
          <w:rFonts w:asciiTheme="minorHAnsi" w:hAnsiTheme="minorHAnsi"/>
        </w:rPr>
        <w:t>sources</w:t>
      </w:r>
      <w:r w:rsidR="001633E4" w:rsidRPr="00E058F9">
        <w:rPr>
          <w:rFonts w:asciiTheme="minorHAnsi" w:hAnsiTheme="minorHAnsi"/>
        </w:rPr>
        <w:t xml:space="preserve"> to be considered may include Wind, Solar, Biomass or Hydroelectric power production facilities</w:t>
      </w:r>
      <w:r w:rsidRPr="00E058F9">
        <w:rPr>
          <w:rFonts w:asciiTheme="minorHAnsi" w:hAnsiTheme="minorHAnsi"/>
          <w:spacing w:val="-2"/>
        </w:rPr>
        <w:t>;</w:t>
      </w:r>
      <w:r w:rsidRPr="00E058F9">
        <w:rPr>
          <w:rFonts w:asciiTheme="minorHAnsi" w:hAnsiTheme="minorHAnsi"/>
        </w:rPr>
        <w:t xml:space="preserve"> and</w:t>
      </w:r>
    </w:p>
    <w:p w14:paraId="3DB1D99B" w14:textId="741013C8" w:rsidR="000C0D88" w:rsidRPr="00E058F9" w:rsidRDefault="004A2BFC" w:rsidP="004A2BFC">
      <w:pPr>
        <w:pStyle w:val="BodyText"/>
        <w:spacing w:after="240"/>
        <w:ind w:right="119"/>
        <w:jc w:val="both"/>
        <w:rPr>
          <w:rFonts w:asciiTheme="minorHAnsi" w:hAnsiTheme="minorHAnsi"/>
          <w:spacing w:val="3"/>
        </w:rPr>
      </w:pPr>
      <w:r w:rsidRPr="00E058F9">
        <w:rPr>
          <w:rFonts w:asciiTheme="minorHAnsi" w:hAnsiTheme="minorHAnsi"/>
          <w:spacing w:val="-1"/>
        </w:rPr>
        <w:t>WHEREAS,</w:t>
      </w:r>
      <w:r w:rsidRPr="00E058F9">
        <w:rPr>
          <w:rFonts w:asciiTheme="minorHAnsi" w:hAnsiTheme="minorHAnsi"/>
          <w:spacing w:val="3"/>
        </w:rPr>
        <w:t xml:space="preserve"> </w:t>
      </w:r>
      <w:r w:rsidR="000C0D88" w:rsidRPr="00E058F9">
        <w:rPr>
          <w:rFonts w:asciiTheme="minorHAnsi" w:hAnsiTheme="minorHAnsi"/>
          <w:spacing w:val="3"/>
        </w:rPr>
        <w:t xml:space="preserve">KyMEA </w:t>
      </w:r>
      <w:r w:rsidR="0056321C">
        <w:rPr>
          <w:rFonts w:asciiTheme="minorHAnsi" w:hAnsiTheme="minorHAnsi"/>
          <w:spacing w:val="3"/>
        </w:rPr>
        <w:t xml:space="preserve">expects to consider </w:t>
      </w:r>
      <w:r w:rsidR="000C0D88" w:rsidRPr="00E058F9">
        <w:rPr>
          <w:rFonts w:asciiTheme="minorHAnsi" w:hAnsiTheme="minorHAnsi"/>
          <w:spacing w:val="3"/>
        </w:rPr>
        <w:t xml:space="preserve">either </w:t>
      </w:r>
      <w:r w:rsidR="0056321C">
        <w:rPr>
          <w:rFonts w:asciiTheme="minorHAnsi" w:hAnsiTheme="minorHAnsi"/>
          <w:spacing w:val="3"/>
        </w:rPr>
        <w:t xml:space="preserve">the </w:t>
      </w:r>
      <w:r w:rsidR="000C0D88" w:rsidRPr="00E058F9">
        <w:rPr>
          <w:rFonts w:asciiTheme="minorHAnsi" w:hAnsiTheme="minorHAnsi"/>
          <w:spacing w:val="3"/>
        </w:rPr>
        <w:t>purchase</w:t>
      </w:r>
      <w:r w:rsidRPr="00E058F9">
        <w:rPr>
          <w:rFonts w:asciiTheme="minorHAnsi" w:hAnsiTheme="minorHAnsi"/>
          <w:spacing w:val="3"/>
        </w:rPr>
        <w:t xml:space="preserve"> </w:t>
      </w:r>
      <w:r w:rsidR="0056321C">
        <w:rPr>
          <w:rFonts w:asciiTheme="minorHAnsi" w:hAnsiTheme="minorHAnsi"/>
          <w:spacing w:val="3"/>
        </w:rPr>
        <w:t xml:space="preserve">of </w:t>
      </w:r>
      <w:r w:rsidRPr="00E058F9">
        <w:rPr>
          <w:rFonts w:asciiTheme="minorHAnsi" w:hAnsiTheme="minorHAnsi"/>
          <w:spacing w:val="3"/>
        </w:rPr>
        <w:t xml:space="preserve">energy produced from Renewable Energy Resources or </w:t>
      </w:r>
      <w:r w:rsidR="0056321C">
        <w:rPr>
          <w:rFonts w:asciiTheme="minorHAnsi" w:hAnsiTheme="minorHAnsi"/>
          <w:spacing w:val="3"/>
        </w:rPr>
        <w:t>the development or expansion of</w:t>
      </w:r>
      <w:r w:rsidR="000C0D88" w:rsidRPr="00E058F9">
        <w:rPr>
          <w:rFonts w:asciiTheme="minorHAnsi" w:hAnsiTheme="minorHAnsi"/>
          <w:spacing w:val="3"/>
        </w:rPr>
        <w:t xml:space="preserve"> one or more Renewable Energy Resource power production facilities; and</w:t>
      </w:r>
    </w:p>
    <w:p w14:paraId="146CBDDE" w14:textId="39FFBDDD" w:rsidR="002809F4" w:rsidRPr="00E058F9" w:rsidRDefault="00337A69" w:rsidP="0024586D">
      <w:pPr>
        <w:pStyle w:val="BodyText"/>
        <w:spacing w:after="240"/>
        <w:ind w:right="119"/>
        <w:jc w:val="both"/>
        <w:rPr>
          <w:rFonts w:asciiTheme="minorHAnsi" w:hAnsiTheme="minorHAnsi"/>
          <w:spacing w:val="5"/>
        </w:rPr>
      </w:pPr>
      <w:r w:rsidRPr="00E058F9">
        <w:rPr>
          <w:rFonts w:asciiTheme="minorHAnsi" w:hAnsiTheme="minorHAnsi"/>
          <w:spacing w:val="-1"/>
        </w:rPr>
        <w:t>WHEREAS,</w:t>
      </w:r>
      <w:r w:rsidRPr="00E058F9">
        <w:rPr>
          <w:rFonts w:asciiTheme="minorHAnsi" w:hAnsiTheme="minorHAnsi"/>
          <w:spacing w:val="5"/>
        </w:rPr>
        <w:t xml:space="preserve"> </w:t>
      </w:r>
      <w:r w:rsidR="001633E4" w:rsidRPr="00E058F9">
        <w:rPr>
          <w:rFonts w:asciiTheme="minorHAnsi" w:hAnsiTheme="minorHAnsi"/>
          <w:spacing w:val="5"/>
        </w:rPr>
        <w:t>Renewable Energy Resources are expected to provide power and e</w:t>
      </w:r>
      <w:r w:rsidR="002809F4" w:rsidRPr="00E058F9">
        <w:rPr>
          <w:rFonts w:asciiTheme="minorHAnsi" w:hAnsiTheme="minorHAnsi"/>
          <w:spacing w:val="5"/>
        </w:rPr>
        <w:t>nergy at a higher cost</w:t>
      </w:r>
      <w:r w:rsidR="001633E4" w:rsidRPr="00E058F9">
        <w:rPr>
          <w:rFonts w:asciiTheme="minorHAnsi" w:hAnsiTheme="minorHAnsi"/>
          <w:spacing w:val="5"/>
        </w:rPr>
        <w:t xml:space="preserve"> than conventional resources available to </w:t>
      </w:r>
      <w:r w:rsidR="002809F4" w:rsidRPr="00E058F9">
        <w:rPr>
          <w:rFonts w:asciiTheme="minorHAnsi" w:hAnsiTheme="minorHAnsi"/>
          <w:spacing w:val="5"/>
        </w:rPr>
        <w:t>be included in KyMEA’s power supply portfolio;</w:t>
      </w:r>
      <w:r w:rsidR="00DC589F" w:rsidRPr="00E058F9">
        <w:rPr>
          <w:rFonts w:asciiTheme="minorHAnsi" w:hAnsiTheme="minorHAnsi"/>
          <w:spacing w:val="5"/>
        </w:rPr>
        <w:t xml:space="preserve"> and</w:t>
      </w:r>
    </w:p>
    <w:p w14:paraId="6F404243" w14:textId="77777777" w:rsidR="000C0D88" w:rsidRPr="00E058F9" w:rsidRDefault="00DC589F" w:rsidP="000C0D88">
      <w:pPr>
        <w:pStyle w:val="BodyText"/>
        <w:spacing w:after="240"/>
        <w:ind w:right="110"/>
        <w:jc w:val="both"/>
        <w:rPr>
          <w:rFonts w:asciiTheme="minorHAnsi" w:hAnsiTheme="minorHAnsi"/>
          <w:spacing w:val="5"/>
        </w:rPr>
      </w:pPr>
      <w:r w:rsidRPr="00E058F9">
        <w:rPr>
          <w:rFonts w:asciiTheme="minorHAnsi" w:hAnsiTheme="minorHAnsi"/>
          <w:spacing w:val="-1"/>
        </w:rPr>
        <w:t>WHEREAS</w:t>
      </w:r>
      <w:r w:rsidRPr="00E058F9">
        <w:rPr>
          <w:rFonts w:asciiTheme="minorHAnsi" w:hAnsiTheme="minorHAnsi"/>
          <w:spacing w:val="5"/>
        </w:rPr>
        <w:t xml:space="preserve">, KyMEA desires to identify appropriate </w:t>
      </w:r>
      <w:r w:rsidR="002809F4" w:rsidRPr="00E058F9">
        <w:rPr>
          <w:rFonts w:asciiTheme="minorHAnsi" w:hAnsiTheme="minorHAnsi"/>
          <w:spacing w:val="5"/>
        </w:rPr>
        <w:t xml:space="preserve">procedures or programs </w:t>
      </w:r>
      <w:r w:rsidR="000C0D88" w:rsidRPr="00E058F9">
        <w:rPr>
          <w:rFonts w:asciiTheme="minorHAnsi" w:hAnsiTheme="minorHAnsi"/>
          <w:spacing w:val="5"/>
        </w:rPr>
        <w:t>that would:</w:t>
      </w:r>
    </w:p>
    <w:p w14:paraId="640CE88B" w14:textId="77777777" w:rsidR="000C0D88" w:rsidRPr="00E058F9" w:rsidRDefault="002809F4" w:rsidP="00135749">
      <w:pPr>
        <w:pStyle w:val="BodyText"/>
        <w:numPr>
          <w:ilvl w:val="0"/>
          <w:numId w:val="2"/>
        </w:numPr>
        <w:spacing w:after="240"/>
        <w:ind w:right="110"/>
        <w:jc w:val="both"/>
        <w:rPr>
          <w:rFonts w:asciiTheme="minorHAnsi" w:hAnsiTheme="minorHAnsi"/>
          <w:spacing w:val="5"/>
        </w:rPr>
      </w:pPr>
      <w:r w:rsidRPr="00E058F9">
        <w:rPr>
          <w:rFonts w:asciiTheme="minorHAnsi" w:hAnsiTheme="minorHAnsi"/>
          <w:spacing w:val="5"/>
        </w:rPr>
        <w:t>allocate the capacity, energy, costs, and benefits of Renewable Energy Resources to Members in proportion to</w:t>
      </w:r>
      <w:r w:rsidR="00DC589F" w:rsidRPr="00E058F9">
        <w:rPr>
          <w:rFonts w:asciiTheme="minorHAnsi" w:hAnsiTheme="minorHAnsi"/>
          <w:spacing w:val="5"/>
        </w:rPr>
        <w:t>,</w:t>
      </w:r>
      <w:r w:rsidRPr="00E058F9">
        <w:rPr>
          <w:rFonts w:asciiTheme="minorHAnsi" w:hAnsiTheme="minorHAnsi"/>
          <w:spacing w:val="5"/>
        </w:rPr>
        <w:t xml:space="preserve"> or otherwise based on</w:t>
      </w:r>
      <w:r w:rsidR="00DC589F" w:rsidRPr="00E058F9">
        <w:rPr>
          <w:rFonts w:asciiTheme="minorHAnsi" w:hAnsiTheme="minorHAnsi"/>
          <w:spacing w:val="5"/>
        </w:rPr>
        <w:t>,</w:t>
      </w:r>
      <w:r w:rsidRPr="00E058F9">
        <w:rPr>
          <w:rFonts w:asciiTheme="minorHAnsi" w:hAnsiTheme="minorHAnsi"/>
          <w:spacing w:val="5"/>
        </w:rPr>
        <w:t xml:space="preserve"> the interest of the individual Member and its customers in receiving service from Renewable Energy Resources</w:t>
      </w:r>
      <w:r w:rsidR="000C0D88" w:rsidRPr="00E058F9">
        <w:rPr>
          <w:rFonts w:asciiTheme="minorHAnsi" w:hAnsiTheme="minorHAnsi"/>
          <w:spacing w:val="5"/>
        </w:rPr>
        <w:t xml:space="preserve">; and </w:t>
      </w:r>
    </w:p>
    <w:p w14:paraId="208E43DF" w14:textId="694629BA" w:rsidR="000C0D88" w:rsidRPr="00E058F9" w:rsidRDefault="000C0D88" w:rsidP="00135749">
      <w:pPr>
        <w:pStyle w:val="BodyText"/>
        <w:numPr>
          <w:ilvl w:val="0"/>
          <w:numId w:val="2"/>
        </w:numPr>
        <w:spacing w:after="240"/>
        <w:ind w:right="110"/>
        <w:jc w:val="both"/>
        <w:rPr>
          <w:rFonts w:asciiTheme="minorHAnsi" w:hAnsiTheme="minorHAnsi"/>
          <w:spacing w:val="5"/>
        </w:rPr>
      </w:pPr>
      <w:r w:rsidRPr="00E058F9">
        <w:rPr>
          <w:rFonts w:asciiTheme="minorHAnsi" w:hAnsiTheme="minorHAnsi"/>
          <w:spacing w:val="5"/>
        </w:rPr>
        <w:t>Not burden any Member that chooses not to receive power from Renewable Energy Resources</w:t>
      </w:r>
      <w:r w:rsidR="00337A69" w:rsidRPr="00E058F9">
        <w:rPr>
          <w:rFonts w:asciiTheme="minorHAnsi" w:hAnsiTheme="minorHAnsi"/>
          <w:spacing w:val="5"/>
        </w:rPr>
        <w:t>;</w:t>
      </w:r>
    </w:p>
    <w:p w14:paraId="08876CFE" w14:textId="77777777" w:rsidR="006A78F6" w:rsidRPr="00E058F9" w:rsidRDefault="00337A69" w:rsidP="0024586D">
      <w:pPr>
        <w:pStyle w:val="BodyText"/>
        <w:spacing w:after="240"/>
        <w:ind w:left="820" w:firstLine="0"/>
        <w:jc w:val="both"/>
        <w:rPr>
          <w:rFonts w:asciiTheme="minorHAnsi" w:hAnsiTheme="minorHAnsi"/>
          <w:b/>
          <w:spacing w:val="-1"/>
        </w:rPr>
      </w:pPr>
      <w:r w:rsidRPr="00E058F9">
        <w:rPr>
          <w:rFonts w:asciiTheme="minorHAnsi" w:hAnsiTheme="minorHAnsi"/>
          <w:b/>
          <w:spacing w:val="-1"/>
        </w:rPr>
        <w:t xml:space="preserve">NOW, </w:t>
      </w:r>
      <w:r w:rsidRPr="00E058F9">
        <w:rPr>
          <w:rFonts w:asciiTheme="minorHAnsi" w:hAnsiTheme="minorHAnsi"/>
          <w:b/>
          <w:spacing w:val="-1"/>
        </w:rPr>
        <w:t>THEREFORE,</w:t>
      </w:r>
      <w:r w:rsidRPr="00E058F9">
        <w:rPr>
          <w:rFonts w:asciiTheme="minorHAnsi" w:hAnsiTheme="minorHAnsi"/>
          <w:b/>
          <w:spacing w:val="-1"/>
        </w:rPr>
        <w:t xml:space="preserve"> </w:t>
      </w:r>
      <w:r w:rsidRPr="00E058F9">
        <w:rPr>
          <w:rFonts w:asciiTheme="minorHAnsi" w:hAnsiTheme="minorHAnsi"/>
          <w:b/>
          <w:spacing w:val="-1"/>
        </w:rPr>
        <w:t>IT</w:t>
      </w:r>
      <w:r w:rsidRPr="00E058F9">
        <w:rPr>
          <w:rFonts w:asciiTheme="minorHAnsi" w:hAnsiTheme="minorHAnsi"/>
          <w:b/>
          <w:spacing w:val="-1"/>
        </w:rPr>
        <w:t xml:space="preserve"> </w:t>
      </w:r>
      <w:r w:rsidRPr="00E058F9">
        <w:rPr>
          <w:rFonts w:asciiTheme="minorHAnsi" w:hAnsiTheme="minorHAnsi"/>
          <w:b/>
          <w:spacing w:val="-1"/>
        </w:rPr>
        <w:t>IS</w:t>
      </w:r>
      <w:r w:rsidRPr="00E058F9">
        <w:rPr>
          <w:rFonts w:asciiTheme="minorHAnsi" w:hAnsiTheme="minorHAnsi"/>
          <w:b/>
          <w:spacing w:val="-1"/>
        </w:rPr>
        <w:t xml:space="preserve"> </w:t>
      </w:r>
      <w:r w:rsidRPr="00E058F9">
        <w:rPr>
          <w:rFonts w:asciiTheme="minorHAnsi" w:hAnsiTheme="minorHAnsi"/>
          <w:b/>
          <w:spacing w:val="-1"/>
        </w:rPr>
        <w:t>RESOLVED</w:t>
      </w:r>
      <w:r w:rsidRPr="00E058F9">
        <w:rPr>
          <w:rFonts w:asciiTheme="minorHAnsi" w:hAnsiTheme="minorHAnsi"/>
          <w:b/>
          <w:spacing w:val="-1"/>
        </w:rPr>
        <w:t xml:space="preserve"> AS </w:t>
      </w:r>
      <w:r w:rsidRPr="00E058F9">
        <w:rPr>
          <w:rFonts w:asciiTheme="minorHAnsi" w:hAnsiTheme="minorHAnsi"/>
          <w:b/>
          <w:spacing w:val="-1"/>
        </w:rPr>
        <w:t>FOLLOWS:</w:t>
      </w:r>
    </w:p>
    <w:p w14:paraId="43DA6808" w14:textId="54D3588F" w:rsidR="00000000" w:rsidRPr="00E058F9" w:rsidRDefault="00337A69" w:rsidP="0024586D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after="240"/>
        <w:ind w:left="360" w:right="99"/>
        <w:jc w:val="both"/>
        <w:rPr>
          <w:rFonts w:asciiTheme="minorHAnsi" w:hAnsiTheme="minorHAnsi"/>
        </w:rPr>
      </w:pPr>
      <w:r w:rsidRPr="00E058F9">
        <w:rPr>
          <w:rFonts w:asciiTheme="minorHAnsi" w:eastAsiaTheme="minorEastAsia" w:hAnsiTheme="minorHAnsi"/>
        </w:rPr>
        <w:t xml:space="preserve">Early during fiscal year 2016/2017, KyMEA will </w:t>
      </w:r>
      <w:r w:rsidR="0024586D" w:rsidRPr="00E058F9">
        <w:rPr>
          <w:rFonts w:asciiTheme="minorHAnsi" w:eastAsiaTheme="minorEastAsia" w:hAnsiTheme="minorHAnsi"/>
        </w:rPr>
        <w:t xml:space="preserve">commence an effort to </w:t>
      </w:r>
      <w:r w:rsidR="001F4AE1" w:rsidRPr="00E058F9">
        <w:rPr>
          <w:rFonts w:asciiTheme="minorHAnsi" w:eastAsiaTheme="minorEastAsia" w:hAnsiTheme="minorHAnsi"/>
        </w:rPr>
        <w:t xml:space="preserve">identify and </w:t>
      </w:r>
      <w:r w:rsidR="000C0D88" w:rsidRPr="00E058F9">
        <w:rPr>
          <w:rFonts w:asciiTheme="minorHAnsi" w:eastAsiaTheme="minorEastAsia" w:hAnsiTheme="minorHAnsi"/>
        </w:rPr>
        <w:t>evaluate</w:t>
      </w:r>
      <w:r w:rsidR="009A25FE" w:rsidRPr="00E058F9">
        <w:rPr>
          <w:rFonts w:asciiTheme="minorHAnsi" w:eastAsiaTheme="minorEastAsia" w:hAnsiTheme="minorHAnsi"/>
        </w:rPr>
        <w:t xml:space="preserve"> </w:t>
      </w:r>
      <w:r w:rsidR="0024586D" w:rsidRPr="00E058F9">
        <w:rPr>
          <w:rFonts w:asciiTheme="minorHAnsi" w:eastAsiaTheme="minorEastAsia" w:hAnsiTheme="minorHAnsi"/>
        </w:rPr>
        <w:t>alternatives for implementing Renewable E</w:t>
      </w:r>
      <w:r w:rsidRPr="00E058F9">
        <w:rPr>
          <w:rFonts w:asciiTheme="minorHAnsi" w:eastAsiaTheme="minorEastAsia" w:hAnsiTheme="minorHAnsi"/>
        </w:rPr>
        <w:t xml:space="preserve">nergy </w:t>
      </w:r>
      <w:r w:rsidR="0024586D" w:rsidRPr="00E058F9">
        <w:rPr>
          <w:rFonts w:asciiTheme="minorHAnsi" w:eastAsiaTheme="minorEastAsia" w:hAnsiTheme="minorHAnsi"/>
        </w:rPr>
        <w:t xml:space="preserve">Resource </w:t>
      </w:r>
      <w:r w:rsidRPr="00E058F9">
        <w:rPr>
          <w:rFonts w:asciiTheme="minorHAnsi" w:eastAsiaTheme="minorEastAsia" w:hAnsiTheme="minorHAnsi"/>
        </w:rPr>
        <w:t>options as early as May 2019</w:t>
      </w:r>
      <w:r w:rsidR="001F4AE1" w:rsidRPr="00E058F9">
        <w:rPr>
          <w:rFonts w:asciiTheme="minorHAnsi" w:eastAsiaTheme="minorEastAsia" w:hAnsiTheme="minorHAnsi"/>
        </w:rPr>
        <w:t xml:space="preserve"> (the “Option Survey Phase”)</w:t>
      </w:r>
      <w:r w:rsidRPr="00E058F9">
        <w:rPr>
          <w:rFonts w:asciiTheme="minorHAnsi" w:eastAsiaTheme="minorEastAsia" w:hAnsiTheme="minorHAnsi"/>
        </w:rPr>
        <w:t xml:space="preserve">.  </w:t>
      </w:r>
    </w:p>
    <w:p w14:paraId="2CD5D306" w14:textId="0F7F160C" w:rsidR="00000000" w:rsidRPr="00E058F9" w:rsidRDefault="00337A69" w:rsidP="0024586D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after="240"/>
        <w:ind w:left="360" w:right="99"/>
        <w:jc w:val="both"/>
        <w:rPr>
          <w:rFonts w:asciiTheme="minorHAnsi" w:hAnsiTheme="minorHAnsi"/>
        </w:rPr>
      </w:pPr>
      <w:r w:rsidRPr="00E058F9">
        <w:rPr>
          <w:rFonts w:asciiTheme="minorHAnsi" w:eastAsiaTheme="minorEastAsia" w:hAnsiTheme="minorHAnsi"/>
        </w:rPr>
        <w:t xml:space="preserve">The Option Survey Phase </w:t>
      </w:r>
      <w:r w:rsidR="000C0D88" w:rsidRPr="00E058F9">
        <w:rPr>
          <w:rFonts w:asciiTheme="minorHAnsi" w:eastAsiaTheme="minorEastAsia" w:hAnsiTheme="minorHAnsi"/>
        </w:rPr>
        <w:t>is expected to</w:t>
      </w:r>
      <w:r w:rsidRPr="00E058F9">
        <w:rPr>
          <w:rFonts w:asciiTheme="minorHAnsi" w:eastAsiaTheme="minorEastAsia" w:hAnsiTheme="minorHAnsi"/>
        </w:rPr>
        <w:t xml:space="preserve"> identify:</w:t>
      </w:r>
    </w:p>
    <w:p w14:paraId="220D5809" w14:textId="77777777" w:rsidR="00000000" w:rsidRPr="00E058F9" w:rsidRDefault="00337A69" w:rsidP="0024586D">
      <w:pPr>
        <w:pStyle w:val="BodyText"/>
        <w:numPr>
          <w:ilvl w:val="1"/>
          <w:numId w:val="1"/>
        </w:numPr>
        <w:tabs>
          <w:tab w:val="clear" w:pos="1440"/>
          <w:tab w:val="num" w:pos="1080"/>
        </w:tabs>
        <w:spacing w:after="240"/>
        <w:ind w:left="1080" w:right="99"/>
        <w:jc w:val="both"/>
        <w:rPr>
          <w:rFonts w:asciiTheme="minorHAnsi" w:hAnsiTheme="minorHAnsi"/>
        </w:rPr>
      </w:pPr>
      <w:r w:rsidRPr="00E058F9">
        <w:rPr>
          <w:rFonts w:asciiTheme="minorHAnsi" w:eastAsiaTheme="minorEastAsia" w:hAnsiTheme="minorHAnsi"/>
        </w:rPr>
        <w:t>Renewable resource</w:t>
      </w:r>
      <w:r w:rsidRPr="00E058F9">
        <w:rPr>
          <w:rFonts w:asciiTheme="minorHAnsi" w:eastAsiaTheme="minorEastAsia" w:hAnsiTheme="minorHAnsi"/>
        </w:rPr>
        <w:t xml:space="preserve"> options that can be practically implemented as soon as 2019;</w:t>
      </w:r>
    </w:p>
    <w:p w14:paraId="12A7CEAD" w14:textId="76242AA5" w:rsidR="001F4AE1" w:rsidRPr="00E058F9" w:rsidRDefault="001F4AE1" w:rsidP="0024586D">
      <w:pPr>
        <w:pStyle w:val="BodyText"/>
        <w:numPr>
          <w:ilvl w:val="1"/>
          <w:numId w:val="1"/>
        </w:numPr>
        <w:tabs>
          <w:tab w:val="clear" w:pos="1440"/>
          <w:tab w:val="num" w:pos="1080"/>
        </w:tabs>
        <w:spacing w:after="240"/>
        <w:ind w:left="1080" w:right="99"/>
        <w:jc w:val="both"/>
        <w:rPr>
          <w:rFonts w:asciiTheme="minorHAnsi" w:hAnsiTheme="minorHAnsi"/>
        </w:rPr>
      </w:pPr>
      <w:r w:rsidRPr="00E058F9">
        <w:rPr>
          <w:rFonts w:asciiTheme="minorHAnsi" w:hAnsiTheme="minorHAnsi"/>
        </w:rPr>
        <w:lastRenderedPageBreak/>
        <w:t xml:space="preserve">Generic planning level estimates of the </w:t>
      </w:r>
      <w:r w:rsidR="000C0D88" w:rsidRPr="00E058F9">
        <w:rPr>
          <w:rFonts w:asciiTheme="minorHAnsi" w:hAnsiTheme="minorHAnsi"/>
        </w:rPr>
        <w:t xml:space="preserve">development and annual </w:t>
      </w:r>
      <w:r w:rsidRPr="00E058F9">
        <w:rPr>
          <w:rFonts w:asciiTheme="minorHAnsi" w:hAnsiTheme="minorHAnsi"/>
        </w:rPr>
        <w:t>cost</w:t>
      </w:r>
      <w:r w:rsidR="000C0D88" w:rsidRPr="00E058F9">
        <w:rPr>
          <w:rFonts w:asciiTheme="minorHAnsi" w:hAnsiTheme="minorHAnsi"/>
        </w:rPr>
        <w:t>s</w:t>
      </w:r>
      <w:r w:rsidRPr="00E058F9">
        <w:rPr>
          <w:rFonts w:asciiTheme="minorHAnsi" w:hAnsiTheme="minorHAnsi"/>
        </w:rPr>
        <w:t xml:space="preserve"> of such options</w:t>
      </w:r>
      <w:r w:rsidR="000C0D88" w:rsidRPr="00E058F9">
        <w:rPr>
          <w:rFonts w:asciiTheme="minorHAnsi" w:hAnsiTheme="minorHAnsi"/>
        </w:rPr>
        <w:t xml:space="preserve"> and the practical implementation considerations related thereto</w:t>
      </w:r>
      <w:r w:rsidRPr="00E058F9">
        <w:rPr>
          <w:rFonts w:asciiTheme="minorHAnsi" w:hAnsiTheme="minorHAnsi"/>
        </w:rPr>
        <w:t>;</w:t>
      </w:r>
    </w:p>
    <w:p w14:paraId="6B4E1F60" w14:textId="77777777" w:rsidR="001F4AE1" w:rsidRPr="00E058F9" w:rsidRDefault="00337A69" w:rsidP="0024586D">
      <w:pPr>
        <w:pStyle w:val="BodyText"/>
        <w:numPr>
          <w:ilvl w:val="1"/>
          <w:numId w:val="1"/>
        </w:numPr>
        <w:tabs>
          <w:tab w:val="clear" w:pos="1440"/>
          <w:tab w:val="num" w:pos="1080"/>
        </w:tabs>
        <w:spacing w:after="240"/>
        <w:ind w:left="1080" w:right="99"/>
        <w:jc w:val="both"/>
        <w:rPr>
          <w:rFonts w:asciiTheme="minorHAnsi" w:hAnsiTheme="minorHAnsi"/>
        </w:rPr>
      </w:pPr>
      <w:r w:rsidRPr="00E058F9">
        <w:rPr>
          <w:rFonts w:asciiTheme="minorHAnsi" w:eastAsiaTheme="minorEastAsia" w:hAnsiTheme="minorHAnsi"/>
        </w:rPr>
        <w:t xml:space="preserve">KyMEA’s </w:t>
      </w:r>
      <w:r w:rsidR="0085053B" w:rsidRPr="00E058F9">
        <w:rPr>
          <w:rFonts w:asciiTheme="minorHAnsi" w:eastAsiaTheme="minorEastAsia" w:hAnsiTheme="minorHAnsi"/>
        </w:rPr>
        <w:t xml:space="preserve">and the Members’ </w:t>
      </w:r>
      <w:r w:rsidRPr="00E058F9">
        <w:rPr>
          <w:rFonts w:asciiTheme="minorHAnsi" w:eastAsiaTheme="minorEastAsia" w:hAnsiTheme="minorHAnsi"/>
        </w:rPr>
        <w:t>appropriate role</w:t>
      </w:r>
      <w:r w:rsidR="0085053B" w:rsidRPr="00E058F9">
        <w:rPr>
          <w:rFonts w:asciiTheme="minorHAnsi" w:eastAsiaTheme="minorEastAsia" w:hAnsiTheme="minorHAnsi"/>
        </w:rPr>
        <w:t>s</w:t>
      </w:r>
      <w:r w:rsidRPr="00E058F9">
        <w:rPr>
          <w:rFonts w:asciiTheme="minorHAnsi" w:eastAsiaTheme="minorEastAsia" w:hAnsiTheme="minorHAnsi"/>
        </w:rPr>
        <w:t xml:space="preserve"> in implementing initial </w:t>
      </w:r>
      <w:r w:rsidR="0024586D" w:rsidRPr="00E058F9">
        <w:rPr>
          <w:rFonts w:asciiTheme="minorHAnsi" w:eastAsiaTheme="minorEastAsia" w:hAnsiTheme="minorHAnsi"/>
        </w:rPr>
        <w:t>R</w:t>
      </w:r>
      <w:r w:rsidRPr="00E058F9">
        <w:rPr>
          <w:rFonts w:asciiTheme="minorHAnsi" w:eastAsiaTheme="minorEastAsia" w:hAnsiTheme="minorHAnsi"/>
        </w:rPr>
        <w:t>e</w:t>
      </w:r>
      <w:r w:rsidR="0024586D" w:rsidRPr="00E058F9">
        <w:rPr>
          <w:rFonts w:asciiTheme="minorHAnsi" w:eastAsiaTheme="minorEastAsia" w:hAnsiTheme="minorHAnsi"/>
        </w:rPr>
        <w:t>newable Energy Resource alternatives identified</w:t>
      </w:r>
      <w:r w:rsidR="001F4AE1" w:rsidRPr="00E058F9">
        <w:rPr>
          <w:rFonts w:asciiTheme="minorHAnsi" w:eastAsiaTheme="minorEastAsia" w:hAnsiTheme="minorHAnsi"/>
        </w:rPr>
        <w:t xml:space="preserve">; and </w:t>
      </w:r>
    </w:p>
    <w:p w14:paraId="462166AB" w14:textId="532C8DE4" w:rsidR="00000000" w:rsidRPr="00E058F9" w:rsidRDefault="001F4AE1" w:rsidP="001F4AE1">
      <w:pPr>
        <w:pStyle w:val="BodyText"/>
        <w:numPr>
          <w:ilvl w:val="1"/>
          <w:numId w:val="1"/>
        </w:numPr>
        <w:tabs>
          <w:tab w:val="clear" w:pos="1440"/>
          <w:tab w:val="num" w:pos="1080"/>
        </w:tabs>
        <w:spacing w:after="240"/>
        <w:ind w:left="1080" w:right="99"/>
        <w:jc w:val="both"/>
        <w:rPr>
          <w:rFonts w:asciiTheme="minorHAnsi" w:hAnsiTheme="minorHAnsi"/>
        </w:rPr>
      </w:pPr>
      <w:r w:rsidRPr="00E058F9">
        <w:rPr>
          <w:rFonts w:asciiTheme="minorHAnsi" w:eastAsiaTheme="minorEastAsia" w:hAnsiTheme="minorHAnsi"/>
        </w:rPr>
        <w:t>Interest among KyMEA’s Members and the communities they serve, including willingness to bear additional costs of Renewable Energy Resources as compared to con</w:t>
      </w:r>
      <w:r w:rsidRPr="00E058F9">
        <w:rPr>
          <w:rFonts w:asciiTheme="minorHAnsi" w:eastAsiaTheme="minorEastAsia" w:hAnsiTheme="minorHAnsi"/>
        </w:rPr>
        <w:t>ventional resource options.</w:t>
      </w:r>
    </w:p>
    <w:p w14:paraId="7F330AD9" w14:textId="0B5A9EB9" w:rsidR="00000000" w:rsidRPr="00E058F9" w:rsidRDefault="0085053B" w:rsidP="0024586D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after="240"/>
        <w:ind w:left="360" w:right="99"/>
        <w:jc w:val="both"/>
        <w:rPr>
          <w:rFonts w:asciiTheme="minorHAnsi" w:eastAsiaTheme="minorEastAsia" w:hAnsiTheme="minorHAnsi"/>
        </w:rPr>
      </w:pPr>
      <w:r w:rsidRPr="00E058F9">
        <w:rPr>
          <w:rFonts w:asciiTheme="minorHAnsi" w:eastAsiaTheme="minorEastAsia" w:hAnsiTheme="minorHAnsi"/>
        </w:rPr>
        <w:t>The a</w:t>
      </w:r>
      <w:r w:rsidR="00337A69" w:rsidRPr="00E058F9">
        <w:rPr>
          <w:rFonts w:asciiTheme="minorHAnsi" w:eastAsiaTheme="minorEastAsia" w:hAnsiTheme="minorHAnsi"/>
        </w:rPr>
        <w:t>mounts to be</w:t>
      </w:r>
      <w:r w:rsidR="00337A69" w:rsidRPr="00E058F9">
        <w:rPr>
          <w:rFonts w:asciiTheme="minorHAnsi" w:eastAsiaTheme="minorEastAsia" w:hAnsiTheme="minorHAnsi"/>
        </w:rPr>
        <w:t xml:space="preserve"> included in </w:t>
      </w:r>
      <w:r w:rsidRPr="00E058F9">
        <w:rPr>
          <w:rFonts w:asciiTheme="minorHAnsi" w:eastAsiaTheme="minorEastAsia" w:hAnsiTheme="minorHAnsi"/>
        </w:rPr>
        <w:t>KyMEA’s</w:t>
      </w:r>
      <w:r w:rsidR="00337A69" w:rsidRPr="00E058F9">
        <w:rPr>
          <w:rFonts w:asciiTheme="minorHAnsi" w:eastAsiaTheme="minorEastAsia" w:hAnsiTheme="minorHAnsi"/>
        </w:rPr>
        <w:t xml:space="preserve"> FY 2016/2017 budget related to </w:t>
      </w:r>
      <w:r w:rsidR="0024586D" w:rsidRPr="00E058F9">
        <w:rPr>
          <w:rFonts w:asciiTheme="minorHAnsi" w:eastAsiaTheme="minorEastAsia" w:hAnsiTheme="minorHAnsi"/>
        </w:rPr>
        <w:t>consideration and potentially implementation of R</w:t>
      </w:r>
      <w:r w:rsidR="00337A69" w:rsidRPr="00E058F9">
        <w:rPr>
          <w:rFonts w:asciiTheme="minorHAnsi" w:eastAsiaTheme="minorEastAsia" w:hAnsiTheme="minorHAnsi"/>
        </w:rPr>
        <w:t xml:space="preserve">enewable </w:t>
      </w:r>
      <w:r w:rsidR="0024586D" w:rsidRPr="00E058F9">
        <w:rPr>
          <w:rFonts w:asciiTheme="minorHAnsi" w:eastAsiaTheme="minorEastAsia" w:hAnsiTheme="minorHAnsi"/>
        </w:rPr>
        <w:t>Energy Resources</w:t>
      </w:r>
      <w:r w:rsidR="00337A69" w:rsidRPr="00E058F9">
        <w:rPr>
          <w:rFonts w:asciiTheme="minorHAnsi" w:eastAsiaTheme="minorEastAsia" w:hAnsiTheme="minorHAnsi"/>
        </w:rPr>
        <w:t xml:space="preserve"> </w:t>
      </w:r>
      <w:r w:rsidRPr="00E058F9">
        <w:rPr>
          <w:rFonts w:asciiTheme="minorHAnsi" w:eastAsiaTheme="minorEastAsia" w:hAnsiTheme="minorHAnsi"/>
        </w:rPr>
        <w:t>is expected to</w:t>
      </w:r>
      <w:r w:rsidR="00337A69" w:rsidRPr="00E058F9">
        <w:rPr>
          <w:rFonts w:asciiTheme="minorHAnsi" w:eastAsiaTheme="minorEastAsia" w:hAnsiTheme="minorHAnsi"/>
        </w:rPr>
        <w:t xml:space="preserve"> be in the following ranges:</w:t>
      </w:r>
    </w:p>
    <w:p w14:paraId="6434253C" w14:textId="598F4196" w:rsidR="00000000" w:rsidRPr="00E058F9" w:rsidRDefault="00BE03DD" w:rsidP="0024586D">
      <w:pPr>
        <w:pStyle w:val="BodyText"/>
        <w:numPr>
          <w:ilvl w:val="1"/>
          <w:numId w:val="1"/>
        </w:numPr>
        <w:tabs>
          <w:tab w:val="clear" w:pos="1440"/>
          <w:tab w:val="num" w:pos="1080"/>
        </w:tabs>
        <w:spacing w:after="240"/>
        <w:ind w:left="1080" w:right="99"/>
        <w:jc w:val="both"/>
        <w:rPr>
          <w:rFonts w:asciiTheme="minorHAnsi" w:hAnsiTheme="minorHAnsi"/>
        </w:rPr>
      </w:pPr>
      <w:r>
        <w:rPr>
          <w:rFonts w:asciiTheme="minorHAnsi" w:eastAsiaTheme="minorEastAsia" w:hAnsiTheme="minorHAnsi"/>
        </w:rPr>
        <w:t>$40,000 to $6</w:t>
      </w:r>
      <w:r w:rsidR="00337A69" w:rsidRPr="00E058F9">
        <w:rPr>
          <w:rFonts w:asciiTheme="minorHAnsi" w:eastAsiaTheme="minorEastAsia" w:hAnsiTheme="minorHAnsi"/>
        </w:rPr>
        <w:t>0,000 to complete the Option Survey Phase</w:t>
      </w:r>
    </w:p>
    <w:p w14:paraId="08876D06" w14:textId="549952A8" w:rsidR="006A78F6" w:rsidRPr="00E058F9" w:rsidRDefault="00337A69" w:rsidP="0024586D">
      <w:pPr>
        <w:pStyle w:val="BodyText"/>
        <w:numPr>
          <w:ilvl w:val="1"/>
          <w:numId w:val="1"/>
        </w:numPr>
        <w:tabs>
          <w:tab w:val="clear" w:pos="1440"/>
          <w:tab w:val="num" w:pos="1080"/>
        </w:tabs>
        <w:spacing w:after="240"/>
        <w:ind w:left="1080" w:right="99"/>
        <w:jc w:val="both"/>
        <w:rPr>
          <w:rFonts w:asciiTheme="minorHAnsi" w:hAnsiTheme="minorHAnsi"/>
        </w:rPr>
      </w:pPr>
      <w:r w:rsidRPr="00E058F9">
        <w:rPr>
          <w:rFonts w:asciiTheme="minorHAnsi" w:eastAsiaTheme="minorEastAsia" w:hAnsiTheme="minorHAnsi"/>
        </w:rPr>
        <w:t xml:space="preserve">$25,000 to $75,000 as a placeholder for </w:t>
      </w:r>
      <w:r w:rsidR="0085053B" w:rsidRPr="00E058F9">
        <w:rPr>
          <w:rFonts w:asciiTheme="minorHAnsi" w:eastAsiaTheme="minorEastAsia" w:hAnsiTheme="minorHAnsi"/>
        </w:rPr>
        <w:t xml:space="preserve">further consideration of a particular option(s) and </w:t>
      </w:r>
      <w:r w:rsidRPr="00E058F9">
        <w:rPr>
          <w:rFonts w:asciiTheme="minorHAnsi" w:eastAsiaTheme="minorEastAsia" w:hAnsiTheme="minorHAnsi"/>
        </w:rPr>
        <w:t>initial implementation efforts within the fiscal year</w:t>
      </w:r>
      <w:r w:rsidR="00DC589F" w:rsidRPr="00E058F9">
        <w:rPr>
          <w:rFonts w:asciiTheme="minorHAnsi" w:hAnsiTheme="minorHAnsi"/>
        </w:rPr>
        <w:t>.</w:t>
      </w:r>
    </w:p>
    <w:sectPr w:rsidR="006A78F6" w:rsidRPr="00E058F9" w:rsidSect="002809F4">
      <w:headerReference w:type="default" r:id="rId10"/>
      <w:footerReference w:type="default" r:id="rId11"/>
      <w:type w:val="continuous"/>
      <w:pgSz w:w="12240" w:h="15840"/>
      <w:pgMar w:top="1400" w:right="1340" w:bottom="1680" w:left="1340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76D0C" w14:textId="77777777" w:rsidR="00000000" w:rsidRDefault="00337A69">
      <w:r>
        <w:separator/>
      </w:r>
    </w:p>
  </w:endnote>
  <w:endnote w:type="continuationSeparator" w:id="0">
    <w:p w14:paraId="08876D0E" w14:textId="77777777" w:rsidR="00000000" w:rsidRDefault="003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76D07" w14:textId="64B4FA4C" w:rsidR="006A78F6" w:rsidRDefault="00ED171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876D08" wp14:editId="11B19530">
              <wp:simplePos x="0" y="0"/>
              <wp:positionH relativeFrom="page">
                <wp:posOffset>3822700</wp:posOffset>
              </wp:positionH>
              <wp:positionV relativeFrom="page">
                <wp:posOffset>8978265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76D09" w14:textId="77777777" w:rsidR="006A78F6" w:rsidRDefault="00337A69">
                          <w:pPr>
                            <w:pStyle w:val="BodyText"/>
                            <w:spacing w:line="25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76D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06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Pva0TvgAAAADQEAAA8A&#10;AAAAAAAAAAAAAAAABgUAAGRycy9kb3ducmV2LnhtbFBLBQYAAAAABAAEAPMAAAATBgAAAAA=&#10;" filled="f" stroked="f">
              <v:textbox inset="0,0,0,0">
                <w:txbxContent>
                  <w:p w14:paraId="08876D09" w14:textId="77777777" w:rsidR="006A78F6" w:rsidRDefault="00337A69">
                    <w:pPr>
                      <w:pStyle w:val="BodyText"/>
                      <w:spacing w:line="25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76D08" w14:textId="77777777" w:rsidR="00000000" w:rsidRDefault="00337A69">
      <w:r>
        <w:separator/>
      </w:r>
    </w:p>
  </w:footnote>
  <w:footnote w:type="continuationSeparator" w:id="0">
    <w:p w14:paraId="08876D0A" w14:textId="77777777" w:rsidR="00000000" w:rsidRDefault="00337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65F3E" w14:textId="77777777" w:rsidR="00DC589F" w:rsidRDefault="00DC589F" w:rsidP="00DC589F">
    <w:pPr>
      <w:spacing w:before="46" w:line="246" w:lineRule="auto"/>
      <w:ind w:left="887" w:right="904"/>
      <w:jc w:val="center"/>
      <w:rPr>
        <w:b/>
        <w:sz w:val="24"/>
      </w:rPr>
    </w:pPr>
  </w:p>
  <w:p w14:paraId="699075D5" w14:textId="77777777" w:rsidR="00DC589F" w:rsidRDefault="00DC589F" w:rsidP="00DC589F">
    <w:pPr>
      <w:spacing w:before="46" w:line="246" w:lineRule="auto"/>
      <w:ind w:left="887" w:right="904"/>
      <w:jc w:val="center"/>
      <w:rPr>
        <w:b/>
        <w:sz w:val="24"/>
      </w:rPr>
    </w:pPr>
  </w:p>
  <w:p w14:paraId="79117AB9" w14:textId="77777777" w:rsidR="00DC589F" w:rsidRPr="002809F4" w:rsidRDefault="00DC589F" w:rsidP="00DC589F">
    <w:pPr>
      <w:spacing w:before="46" w:line="246" w:lineRule="auto"/>
      <w:ind w:left="887" w:right="904"/>
      <w:jc w:val="center"/>
      <w:rPr>
        <w:b/>
        <w:sz w:val="24"/>
      </w:rPr>
    </w:pPr>
    <w:r w:rsidRPr="002809F4">
      <w:rPr>
        <w:b/>
        <w:sz w:val="24"/>
      </w:rPr>
      <w:t>RESOLUTION AUTHORIZING</w:t>
    </w:r>
  </w:p>
  <w:p w14:paraId="2E9E1347" w14:textId="77777777" w:rsidR="00DC589F" w:rsidRDefault="00DC589F" w:rsidP="00DC589F">
    <w:pPr>
      <w:spacing w:before="46" w:line="246" w:lineRule="auto"/>
      <w:ind w:left="887" w:right="904"/>
      <w:jc w:val="center"/>
      <w:rPr>
        <w:b/>
        <w:sz w:val="24"/>
      </w:rPr>
    </w:pPr>
    <w:r w:rsidRPr="002809F4">
      <w:rPr>
        <w:b/>
        <w:sz w:val="24"/>
      </w:rPr>
      <w:t>CONSIDERATION OF RENEWABLE ENERGY RESOURCES</w:t>
    </w:r>
  </w:p>
  <w:p w14:paraId="2F0EDF6E" w14:textId="5BF98D0C" w:rsidR="00337A69" w:rsidRPr="00337A69" w:rsidRDefault="00337A69" w:rsidP="00337A69">
    <w:pPr>
      <w:spacing w:before="46" w:line="246" w:lineRule="auto"/>
      <w:ind w:left="887" w:right="904"/>
      <w:jc w:val="right"/>
      <w:rPr>
        <w:rFonts w:eastAsia="Times New Roman" w:cs="Times New Roman"/>
        <w:i/>
        <w:sz w:val="20"/>
        <w:szCs w:val="24"/>
      </w:rPr>
    </w:pPr>
    <w:r w:rsidRPr="00337A69">
      <w:rPr>
        <w:b/>
        <w:i/>
        <w:sz w:val="20"/>
      </w:rPr>
      <w:t>Draft of 3/21/2016</w:t>
    </w:r>
  </w:p>
  <w:p w14:paraId="51B56861" w14:textId="77777777" w:rsidR="00DC589F" w:rsidRPr="001C5DA9" w:rsidRDefault="00DC58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B01E3"/>
    <w:multiLevelType w:val="hybridMultilevel"/>
    <w:tmpl w:val="034CF678"/>
    <w:lvl w:ilvl="0" w:tplc="FFC0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2E0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EB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E4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2B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644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88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0A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A7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E5B77"/>
    <w:multiLevelType w:val="hybridMultilevel"/>
    <w:tmpl w:val="4CFE25D4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F6"/>
    <w:rsid w:val="000C0D88"/>
    <w:rsid w:val="000E7972"/>
    <w:rsid w:val="001633E4"/>
    <w:rsid w:val="001C5DA9"/>
    <w:rsid w:val="001E24FB"/>
    <w:rsid w:val="001F4AE1"/>
    <w:rsid w:val="0024586D"/>
    <w:rsid w:val="002809F4"/>
    <w:rsid w:val="00337A69"/>
    <w:rsid w:val="004A2BFC"/>
    <w:rsid w:val="0056321C"/>
    <w:rsid w:val="00672FE9"/>
    <w:rsid w:val="006A78F6"/>
    <w:rsid w:val="0085053B"/>
    <w:rsid w:val="009A25FE"/>
    <w:rsid w:val="00AA6290"/>
    <w:rsid w:val="00B20AC1"/>
    <w:rsid w:val="00B5741A"/>
    <w:rsid w:val="00BE03DD"/>
    <w:rsid w:val="00CE27EA"/>
    <w:rsid w:val="00DC589F"/>
    <w:rsid w:val="00E058F9"/>
    <w:rsid w:val="00E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76CF0"/>
  <w15:docId w15:val="{DCC327F8-4363-4CDB-97DF-24FE9BB0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89F"/>
  </w:style>
  <w:style w:type="paragraph" w:styleId="Footer">
    <w:name w:val="footer"/>
    <w:basedOn w:val="Normal"/>
    <w:link w:val="FooterChar"/>
    <w:uiPriority w:val="99"/>
    <w:unhideWhenUsed/>
    <w:rsid w:val="00DC5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9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2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8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CB5981B6164AA47525A2C48DA5E1" ma:contentTypeVersion="3" ma:contentTypeDescription="Create a new document." ma:contentTypeScope="" ma:versionID="6a3d2ced46b2f7623e9f7e6f4a6970ac">
  <xsd:schema xmlns:xsd="http://www.w3.org/2001/XMLSchema" xmlns:xs="http://www.w3.org/2001/XMLSchema" xmlns:p="http://schemas.microsoft.com/office/2006/metadata/properties" xmlns:ns2="444fad00-ec21-46cc-a133-d70aaec15ab6" targetNamespace="http://schemas.microsoft.com/office/2006/metadata/properties" ma:root="true" ma:fieldsID="4fc9f1496f4b793c1bbe8029f81632fa" ns2:_="">
    <xsd:import namespace="444fad00-ec21-46cc-a133-d70aaec15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ad00-ec21-46cc-a133-d70aaec15a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6EC62-E183-49D0-BAAD-21D5D180C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fad00-ec21-46cc-a133-d70aaec15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C5944-9AD8-42BD-9B47-F2B58A482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9CAB-992F-4653-BAD9-38C0D53B1C71}">
  <ds:schemaRefs>
    <ds:schemaRef ds:uri="444fad00-ec21-46cc-a133-d70aaec15ab6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Painter</dc:creator>
  <cp:lastModifiedBy>John Painter</cp:lastModifiedBy>
  <cp:revision>16</cp:revision>
  <dcterms:created xsi:type="dcterms:W3CDTF">2016-03-21T15:49:00Z</dcterms:created>
  <dcterms:modified xsi:type="dcterms:W3CDTF">2016-03-21T18:33:00Z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2016-03-21T00:00:00Z</vt:filetime>
  </property>
  <property fmtid="{D5CDD505-2E9C-101B-9397-08002B2CF9AE}" pid="4" name="ContentTypeId">
    <vt:lpwstr>0x010100B23FCB5981B6164AA47525A2C48DA5E1</vt:lpwstr>
  </property>
</Properties>
</file>