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06" w:rsidRPr="00DD6D06" w:rsidRDefault="00DD6D06" w:rsidP="00DD6D06">
      <w:pPr>
        <w:overflowPunct w:val="0"/>
        <w:autoSpaceDE w:val="0"/>
        <w:autoSpaceDN w:val="0"/>
        <w:adjustRightInd w:val="0"/>
        <w:spacing w:after="0" w:line="240" w:lineRule="auto"/>
        <w:ind w:right="-364"/>
        <w:textAlignment w:val="baseline"/>
        <w:rPr>
          <w:rFonts w:ascii="Times New Roman" w:eastAsia="Batang" w:hAnsi="Times New Roman" w:cs="Times New Roman"/>
          <w:b/>
          <w:bCs/>
        </w:rPr>
      </w:pPr>
      <w:r w:rsidRPr="00DD6D06">
        <w:rPr>
          <w:rFonts w:ascii="Times New Roman" w:eastAsia="Batang" w:hAnsi="Times New Roman" w:cs="Times New Roman"/>
          <w:b/>
          <w:bCs/>
        </w:rPr>
        <w:t>District:</w:t>
      </w:r>
      <w:r w:rsidR="001B48D6">
        <w:rPr>
          <w:rFonts w:ascii="Times New Roman" w:eastAsia="Batang" w:hAnsi="Times New Roman" w:cs="Times New Roman"/>
          <w:b/>
          <w:bCs/>
        </w:rPr>
        <w:t xml:space="preserve"> </w:t>
      </w:r>
      <w:r w:rsidRPr="001B48D6">
        <w:rPr>
          <w:rFonts w:ascii="Times New Roman" w:eastAsia="Batang" w:hAnsi="Times New Roman" w:cs="Times New Roman"/>
          <w:b/>
          <w:bCs/>
          <w:u w:val="single"/>
        </w:rPr>
        <w:t>__</w:t>
      </w:r>
      <w:r w:rsidR="001B48D6" w:rsidRPr="001B48D6">
        <w:rPr>
          <w:rFonts w:ascii="Times New Roman" w:eastAsia="Batang" w:hAnsi="Times New Roman" w:cs="Times New Roman"/>
          <w:b/>
          <w:bCs/>
          <w:u w:val="single"/>
        </w:rPr>
        <w:t>Elizabethtown Independent Schools</w:t>
      </w:r>
      <w:r w:rsidRPr="001B48D6">
        <w:rPr>
          <w:rFonts w:ascii="Times New Roman" w:eastAsia="Batang" w:hAnsi="Times New Roman" w:cs="Times New Roman"/>
          <w:b/>
          <w:bCs/>
          <w:u w:val="single"/>
        </w:rPr>
        <w:t>__</w:t>
      </w:r>
      <w:r w:rsidR="00A81A34">
        <w:rPr>
          <w:rFonts w:ascii="Times New Roman" w:eastAsia="Batang" w:hAnsi="Times New Roman" w:cs="Times New Roman"/>
          <w:b/>
          <w:bCs/>
        </w:rPr>
        <w:t xml:space="preserve">                                </w:t>
      </w:r>
      <w:r w:rsidRPr="00DD6D06">
        <w:rPr>
          <w:rFonts w:ascii="Times New Roman" w:eastAsia="Batang" w:hAnsi="Times New Roman" w:cs="Times New Roman"/>
          <w:b/>
          <w:bCs/>
        </w:rPr>
        <w:t>Date of Review:</w:t>
      </w:r>
      <w:r w:rsidR="001B48D6">
        <w:rPr>
          <w:rFonts w:ascii="Times New Roman" w:eastAsia="Batang" w:hAnsi="Times New Roman" w:cs="Times New Roman"/>
          <w:b/>
          <w:bCs/>
        </w:rPr>
        <w:t xml:space="preserve"> </w:t>
      </w:r>
      <w:r w:rsidRPr="001B48D6">
        <w:rPr>
          <w:rFonts w:ascii="Times New Roman" w:eastAsia="Batang" w:hAnsi="Times New Roman" w:cs="Times New Roman"/>
          <w:b/>
          <w:bCs/>
          <w:u w:val="single"/>
        </w:rPr>
        <w:t>_</w:t>
      </w:r>
      <w:r w:rsidR="00564949">
        <w:rPr>
          <w:rFonts w:ascii="Times New Roman" w:eastAsia="Batang" w:hAnsi="Times New Roman" w:cs="Times New Roman"/>
          <w:b/>
          <w:bCs/>
          <w:u w:val="single"/>
        </w:rPr>
        <w:t>March 21</w:t>
      </w:r>
      <w:r w:rsidR="001B48D6" w:rsidRPr="001B48D6">
        <w:rPr>
          <w:rFonts w:ascii="Times New Roman" w:eastAsia="Batang" w:hAnsi="Times New Roman" w:cs="Times New Roman"/>
          <w:b/>
          <w:bCs/>
          <w:u w:val="single"/>
        </w:rPr>
        <w:t>, 201</w:t>
      </w:r>
      <w:r w:rsidR="00564949">
        <w:rPr>
          <w:rFonts w:ascii="Times New Roman" w:eastAsia="Batang" w:hAnsi="Times New Roman" w:cs="Times New Roman"/>
          <w:b/>
          <w:bCs/>
          <w:u w:val="single"/>
        </w:rPr>
        <w:t>6</w:t>
      </w:r>
      <w:r w:rsidR="001B48D6">
        <w:rPr>
          <w:rFonts w:ascii="Times New Roman" w:eastAsia="Batang" w:hAnsi="Times New Roman" w:cs="Times New Roman"/>
          <w:b/>
          <w:bCs/>
        </w:rPr>
        <w:t xml:space="preserve">  </w:t>
      </w:r>
    </w:p>
    <w:p w:rsidR="00A81A34" w:rsidRDefault="00A81A34" w:rsidP="00A81A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Batang" w:hAnsi="Times New Roman" w:cs="Times New Roman"/>
          <w:b/>
          <w:bCs/>
        </w:rPr>
      </w:pPr>
    </w:p>
    <w:p w:rsidR="00DD6D06" w:rsidRPr="001B48D6" w:rsidRDefault="00A81A34" w:rsidP="00A81A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Batang" w:hAnsi="Times New Roman" w:cs="Times New Roman"/>
          <w:b/>
          <w:bCs/>
          <w:u w:val="single"/>
        </w:rPr>
      </w:pPr>
      <w:r w:rsidRPr="00DD6D06">
        <w:rPr>
          <w:rFonts w:ascii="Times New Roman" w:eastAsia="Batang" w:hAnsi="Times New Roman" w:cs="Times New Roman"/>
          <w:b/>
          <w:bCs/>
        </w:rPr>
        <w:t>Evaluation Contact Person:</w:t>
      </w:r>
      <w:r w:rsidR="001B48D6">
        <w:rPr>
          <w:rFonts w:ascii="Times New Roman" w:eastAsia="Batang" w:hAnsi="Times New Roman" w:cs="Times New Roman"/>
          <w:b/>
          <w:bCs/>
        </w:rPr>
        <w:t xml:space="preserve"> </w:t>
      </w:r>
      <w:r w:rsidRPr="001B48D6">
        <w:rPr>
          <w:rFonts w:ascii="Times New Roman" w:eastAsia="Batang" w:hAnsi="Times New Roman" w:cs="Times New Roman"/>
          <w:b/>
          <w:bCs/>
          <w:u w:val="single"/>
        </w:rPr>
        <w:t>_</w:t>
      </w:r>
      <w:r w:rsidR="001B48D6" w:rsidRPr="001B48D6">
        <w:rPr>
          <w:rFonts w:ascii="Times New Roman" w:eastAsia="Batang" w:hAnsi="Times New Roman" w:cs="Times New Roman"/>
          <w:b/>
          <w:bCs/>
          <w:u w:val="single"/>
        </w:rPr>
        <w:t>Cora Wood, Director of Personnel</w:t>
      </w:r>
      <w:r w:rsidRPr="001B48D6">
        <w:rPr>
          <w:rFonts w:ascii="Times New Roman" w:eastAsia="Batang" w:hAnsi="Times New Roman" w:cs="Times New Roman"/>
          <w:b/>
          <w:bCs/>
          <w:u w:val="single"/>
        </w:rPr>
        <w:t>__</w:t>
      </w:r>
      <w:r w:rsidRPr="00DD6D06">
        <w:rPr>
          <w:rFonts w:ascii="Times New Roman" w:eastAsia="Batang" w:hAnsi="Times New Roman" w:cs="Times New Roman"/>
          <w:b/>
          <w:bCs/>
        </w:rPr>
        <w:t xml:space="preserve"> </w:t>
      </w:r>
    </w:p>
    <w:p w:rsidR="00E9456C" w:rsidRPr="00DD6D06" w:rsidRDefault="00E9456C" w:rsidP="00DD6D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Batang" w:hAnsi="Times New Roman" w:cs="Times New Roman"/>
        </w:rPr>
      </w:pPr>
    </w:p>
    <w:tbl>
      <w:tblPr>
        <w:tblW w:w="999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80"/>
        <w:gridCol w:w="8910"/>
      </w:tblGrid>
      <w:tr w:rsidR="00F81B89" w:rsidRPr="00DD6D06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F81B89" w:rsidRPr="00DD6D06" w:rsidRDefault="00F81B89" w:rsidP="0019589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6D06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 Page Number in District </w:t>
            </w:r>
            <w:r w:rsidRPr="00195894">
              <w:rPr>
                <w:rFonts w:ascii="Times New Roman" w:eastAsia="Batang" w:hAnsi="Times New Roman" w:cs="Times New Roman"/>
                <w:sz w:val="18"/>
                <w:szCs w:val="18"/>
              </w:rPr>
              <w:t>C</w:t>
            </w:r>
            <w:r w:rsidRPr="00195894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EP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F81B89" w:rsidRDefault="00F81B89" w:rsidP="00A81A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</w:rPr>
            </w:pPr>
            <w:r w:rsidRPr="00DD6D06">
              <w:rPr>
                <w:rFonts w:ascii="Times New Roman" w:eastAsia="Batang" w:hAnsi="Times New Roman" w:cs="Times New Roman"/>
              </w:rPr>
              <w:t>Indicators taken fr</w:t>
            </w:r>
            <w:r>
              <w:rPr>
                <w:rFonts w:ascii="Times New Roman" w:eastAsia="Batang" w:hAnsi="Times New Roman" w:cs="Times New Roman"/>
              </w:rPr>
              <w:t>om KRS 156.557 and 704 KAR 3:370</w:t>
            </w:r>
            <w:r w:rsidRPr="00DD6D06">
              <w:rPr>
                <w:rFonts w:ascii="Times New Roman" w:eastAsia="Batang" w:hAnsi="Times New Roman" w:cs="Times New Roman"/>
              </w:rPr>
              <w:t xml:space="preserve"> </w:t>
            </w:r>
          </w:p>
          <w:p w:rsidR="00F81B89" w:rsidRPr="00DD6D06" w:rsidRDefault="00F81B89" w:rsidP="00195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1A34" w:rsidRPr="00A81A34" w:rsidTr="009E2EC5">
        <w:trPr>
          <w:cantSplit/>
        </w:trPr>
        <w:tc>
          <w:tcPr>
            <w:tcW w:w="9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81A34" w:rsidRPr="00A81A34" w:rsidRDefault="00F81B89" w:rsidP="00B35B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 </w:t>
            </w:r>
            <w:r w:rsidR="00A81A34" w:rsidRPr="00A81A34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A.  </w:t>
            </w:r>
            <w:r w:rsidR="005829DA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Procedures and Plan</w:t>
            </w:r>
            <w:r w:rsidR="00A81A34" w:rsidRPr="00A81A34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F81B89" w:rsidRPr="00A81A34" w:rsidTr="009E2EC5">
        <w:trPr>
          <w:cantSplit/>
          <w:trHeight w:val="47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A81A34" w:rsidRDefault="00B35BD7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4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A81A34" w:rsidRDefault="00F81B89" w:rsidP="00582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 1.  Developed by 50/50 Committee e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qual number of teachers and administrators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F81B89" w:rsidRPr="00A81A34" w:rsidTr="009E2EC5">
        <w:trPr>
          <w:cantSplit/>
          <w:trHeight w:val="43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Pr="00A81A34" w:rsidRDefault="00B35BD7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5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89" w:rsidRPr="00D054CB" w:rsidRDefault="00F81B89" w:rsidP="0064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i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  2. 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Acted upon by l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ocal board of education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</w:t>
            </w:r>
            <w:r w:rsidR="00D054CB">
              <w:rPr>
                <w:rFonts w:ascii="Garamond" w:eastAsia="Batang" w:hAnsi="Garamond" w:cs="Times New Roman"/>
                <w:sz w:val="24"/>
                <w:szCs w:val="24"/>
              </w:rPr>
              <w:t>(</w:t>
            </w:r>
            <w:r w:rsidR="00D054CB">
              <w:rPr>
                <w:rFonts w:ascii="Garamond" w:eastAsia="Batang" w:hAnsi="Garamond" w:cs="Times New Roman"/>
                <w:i/>
                <w:sz w:val="20"/>
                <w:szCs w:val="20"/>
              </w:rPr>
              <w:t>include signed assurance document</w:t>
            </w:r>
            <w:r w:rsidR="00D054CB">
              <w:rPr>
                <w:rFonts w:ascii="Garamond" w:eastAsia="Batang" w:hAnsi="Garamond" w:cs="Times New Roman"/>
                <w:i/>
                <w:sz w:val="24"/>
                <w:szCs w:val="24"/>
              </w:rPr>
              <w:t>)</w:t>
            </w:r>
          </w:p>
        </w:tc>
      </w:tr>
      <w:tr w:rsidR="00A81A34" w:rsidRPr="00A81A34" w:rsidTr="009E2EC5">
        <w:trPr>
          <w:cantSplit/>
        </w:trPr>
        <w:tc>
          <w:tcPr>
            <w:tcW w:w="9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A81A34" w:rsidRPr="00A81A34" w:rsidRDefault="00F81B89" w:rsidP="00340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</w:pPr>
            <w:r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 </w:t>
            </w:r>
            <w:r w:rsidR="00A81A34" w:rsidRPr="00A81A34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B.  Plan </w:t>
            </w:r>
            <w:r w:rsidR="00340A82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states that</w:t>
            </w:r>
            <w:r w:rsidR="00A81A34" w:rsidRPr="00A81A34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F81B89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Pr="00A81A34" w:rsidRDefault="00B35BD7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4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89" w:rsidRPr="00A81A34" w:rsidRDefault="00F81B89" w:rsidP="00A81A34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Each local school district shall designate a contact person respon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sible for monitoring evaluation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training and implementing the Professional Growth and Effectiveness System.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81B89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F81B89" w:rsidRPr="00A81A34" w:rsidRDefault="00B35BD7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24-25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A81A34" w:rsidRDefault="00F81B89" w:rsidP="00B35BD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Evaluators shall be trained and tested, and shall be approved by the department upon completion of the required evaluation training program and successful completion of testing.</w:t>
            </w:r>
          </w:p>
        </w:tc>
      </w:tr>
      <w:tr w:rsidR="00F81B89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Pr="00A81A34" w:rsidRDefault="00B35BD7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6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Pr="00A81A34" w:rsidRDefault="00F81B89" w:rsidP="004C347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The evaluation criteria and process used to evaluate a teacher shall be explained to and discussed with the teacher no later than the end of the first thirty (30)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calendar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days of reporting for employment for each school year.</w:t>
            </w:r>
          </w:p>
        </w:tc>
      </w:tr>
      <w:tr w:rsidR="00F81B89" w:rsidRPr="00A81A34" w:rsidTr="009E2EC5">
        <w:trPr>
          <w:cantSplit/>
          <w:trHeight w:val="4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A81A34" w:rsidRDefault="00B35BD7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6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6B4B0C" w:rsidRDefault="00F81B89" w:rsidP="00340A82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>The i</w:t>
            </w:r>
            <w:r w:rsidRPr="006B4B0C">
              <w:rPr>
                <w:rFonts w:ascii="Garamond" w:eastAsia="Batang" w:hAnsi="Garamond" w:cs="Times New Roman"/>
                <w:sz w:val="24"/>
                <w:szCs w:val="24"/>
              </w:rPr>
              <w:t>mmediate supervisor designated primary evaluator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F81B89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1B89" w:rsidRPr="00A81A34" w:rsidRDefault="00B35BD7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6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1B89" w:rsidRDefault="00F81B89" w:rsidP="00BC3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5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The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</w:t>
            </w:r>
            <w:r w:rsidRPr="00A81A34">
              <w:rPr>
                <w:rFonts w:ascii="Garamond" w:eastAsia="Batang" w:hAnsi="Garamond" w:cs="Times New Roman"/>
                <w:b/>
                <w:sz w:val="24"/>
                <w:szCs w:val="24"/>
              </w:rPr>
              <w:t>Professional Growth Plans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align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w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ith school/district improvement</w:t>
            </w:r>
          </w:p>
          <w:p w:rsidR="00F81B89" w:rsidRPr="00A81A34" w:rsidRDefault="00F81B89" w:rsidP="00BC3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     p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lans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F81B89" w:rsidRPr="00A81A34" w:rsidTr="009E2EC5">
        <w:trPr>
          <w:cantSplit/>
          <w:trHeight w:val="54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357680" w:rsidRDefault="00B35BD7" w:rsidP="00C32A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 w:rsidRPr="00357680">
              <w:rPr>
                <w:rFonts w:ascii="Garamond" w:eastAsia="Batang" w:hAnsi="Garamond" w:cs="Times New Roman"/>
              </w:rPr>
              <w:t>16, 48</w:t>
            </w:r>
            <w:r w:rsidR="00C32A32">
              <w:rPr>
                <w:rFonts w:ascii="Garamond" w:eastAsia="Batang" w:hAnsi="Garamond" w:cs="Times New Roman"/>
              </w:rPr>
              <w:t>, 63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A81A34" w:rsidRDefault="00F81B89" w:rsidP="001203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357680">
              <w:rPr>
                <w:rFonts w:ascii="Garamond" w:eastAsia="Batang" w:hAnsi="Garamond" w:cs="Times New Roman"/>
                <w:sz w:val="24"/>
                <w:szCs w:val="24"/>
              </w:rPr>
              <w:t xml:space="preserve">  6.  There is an annual review of growth plans.</w:t>
            </w:r>
          </w:p>
        </w:tc>
      </w:tr>
      <w:tr w:rsidR="00F81B89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57680" w:rsidRPr="00357680" w:rsidRDefault="00B35BD7" w:rsidP="00C32A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 w:rsidRPr="00357680">
              <w:rPr>
                <w:rFonts w:ascii="Garamond" w:eastAsia="Batang" w:hAnsi="Garamond" w:cs="Times New Roman"/>
              </w:rPr>
              <w:t>22-23</w:t>
            </w:r>
            <w:r w:rsidR="00C32A32">
              <w:rPr>
                <w:rFonts w:ascii="Garamond" w:eastAsia="Batang" w:hAnsi="Garamond" w:cs="Times New Roman"/>
              </w:rPr>
              <w:t>, 69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Pr="00357680" w:rsidRDefault="00F81B89" w:rsidP="001203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357680">
              <w:rPr>
                <w:rFonts w:ascii="Garamond" w:eastAsia="Batang" w:hAnsi="Garamond" w:cs="Times New Roman"/>
                <w:sz w:val="24"/>
                <w:szCs w:val="24"/>
              </w:rPr>
              <w:t xml:space="preserve">  7.  Teachers should receive a conference within </w:t>
            </w:r>
            <w:r w:rsidRPr="00357680">
              <w:rPr>
                <w:rFonts w:ascii="Garamond" w:eastAsia="Batang" w:hAnsi="Garamond" w:cs="Times New Roman"/>
                <w:b/>
                <w:sz w:val="24"/>
                <w:szCs w:val="24"/>
              </w:rPr>
              <w:t>five (5) working days</w:t>
            </w:r>
            <w:r w:rsidRPr="00357680">
              <w:rPr>
                <w:rFonts w:ascii="Garamond" w:eastAsia="Batang" w:hAnsi="Garamond" w:cs="Times New Roman"/>
                <w:sz w:val="24"/>
                <w:szCs w:val="24"/>
              </w:rPr>
              <w:t xml:space="preserve"> of</w:t>
            </w:r>
          </w:p>
          <w:p w:rsidR="00F81B89" w:rsidRPr="00A81A34" w:rsidRDefault="00F81B89" w:rsidP="001203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357680">
              <w:rPr>
                <w:rFonts w:ascii="Garamond" w:eastAsia="Batang" w:hAnsi="Garamond" w:cs="Times New Roman"/>
                <w:sz w:val="24"/>
                <w:szCs w:val="24"/>
              </w:rPr>
              <w:t xml:space="preserve">       observation.</w:t>
            </w:r>
          </w:p>
        </w:tc>
      </w:tr>
      <w:tr w:rsidR="00F81B89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357680" w:rsidRDefault="00B35BD7" w:rsidP="00C32A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sz w:val="16"/>
                <w:szCs w:val="16"/>
              </w:rPr>
            </w:pPr>
            <w:r w:rsidRPr="00357680">
              <w:rPr>
                <w:rFonts w:ascii="Garamond" w:eastAsia="Batang" w:hAnsi="Garamond" w:cs="Times New Roman"/>
              </w:rPr>
              <w:t>42</w:t>
            </w:r>
            <w:r w:rsidR="00C32A32">
              <w:rPr>
                <w:rFonts w:ascii="Garamond" w:eastAsia="Batang" w:hAnsi="Garamond" w:cs="Times New Roman"/>
              </w:rPr>
              <w:t>, 59, 70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357680" w:rsidRDefault="00F81B89" w:rsidP="00AB15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357680">
              <w:rPr>
                <w:rFonts w:ascii="Garamond" w:eastAsia="Batang" w:hAnsi="Garamond" w:cs="Times New Roman"/>
                <w:sz w:val="24"/>
                <w:szCs w:val="24"/>
              </w:rPr>
              <w:t xml:space="preserve">  8.  A summative evaluation conference shall be held at the end of the summative</w:t>
            </w:r>
          </w:p>
          <w:p w:rsidR="00F81B89" w:rsidRPr="00357680" w:rsidRDefault="00F81B89" w:rsidP="00AB15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357680">
              <w:rPr>
                <w:rFonts w:ascii="Garamond" w:eastAsia="Batang" w:hAnsi="Garamond" w:cs="Times New Roman"/>
                <w:sz w:val="24"/>
                <w:szCs w:val="24"/>
              </w:rPr>
              <w:t xml:space="preserve">       evaluation cycle and shall include all applicable Professional Growth and</w:t>
            </w:r>
          </w:p>
          <w:p w:rsidR="00F81B89" w:rsidRPr="00357680" w:rsidRDefault="00F81B89" w:rsidP="00340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357680">
              <w:rPr>
                <w:rFonts w:ascii="Garamond" w:eastAsia="Batang" w:hAnsi="Garamond" w:cs="Times New Roman"/>
                <w:sz w:val="24"/>
                <w:szCs w:val="24"/>
              </w:rPr>
              <w:t xml:space="preserve">       Effectiveness data.      </w:t>
            </w:r>
          </w:p>
        </w:tc>
      </w:tr>
      <w:tr w:rsidR="00F81B89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32A32" w:rsidRDefault="00B35BD7" w:rsidP="00C32A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18-20</w:t>
            </w:r>
            <w:r w:rsidR="00C32A32">
              <w:rPr>
                <w:rFonts w:ascii="Garamond" w:eastAsia="Batang" w:hAnsi="Garamond" w:cs="Times New Roman"/>
              </w:rPr>
              <w:t xml:space="preserve">, </w:t>
            </w:r>
          </w:p>
          <w:p w:rsidR="00B35BD7" w:rsidRPr="00A81A34" w:rsidRDefault="00C32A32" w:rsidP="00C32A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62 &amp; 69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Pr="00357680" w:rsidRDefault="00F81B89" w:rsidP="001203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357680">
              <w:rPr>
                <w:rFonts w:ascii="Garamond" w:eastAsia="Batang" w:hAnsi="Garamond" w:cs="Times New Roman"/>
                <w:sz w:val="24"/>
                <w:szCs w:val="24"/>
              </w:rPr>
              <w:t xml:space="preserve">  9.  Annual evaluations with multiple observations are required for non-tenured</w:t>
            </w:r>
          </w:p>
          <w:p w:rsidR="00F81B89" w:rsidRPr="00357680" w:rsidRDefault="00F81B89" w:rsidP="001203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357680">
              <w:rPr>
                <w:rFonts w:ascii="Garamond" w:eastAsia="Batang" w:hAnsi="Garamond" w:cs="Times New Roman"/>
                <w:sz w:val="24"/>
                <w:szCs w:val="24"/>
              </w:rPr>
              <w:t xml:space="preserve">       certified personnel.</w:t>
            </w:r>
          </w:p>
        </w:tc>
      </w:tr>
      <w:tr w:rsidR="00F81B89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680" w:rsidRPr="00A81A34" w:rsidRDefault="00B35BD7" w:rsidP="00C32A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18-20</w:t>
            </w:r>
            <w:r w:rsidR="00C32A32">
              <w:rPr>
                <w:rFonts w:ascii="Garamond" w:eastAsia="Batang" w:hAnsi="Garamond" w:cs="Times New Roman"/>
              </w:rPr>
              <w:t xml:space="preserve">, </w:t>
            </w:r>
            <w:r w:rsidR="00C32A32" w:rsidRPr="009026F3">
              <w:rPr>
                <w:rFonts w:ascii="Garamond" w:eastAsia="Batang" w:hAnsi="Garamond" w:cs="Times New Roman"/>
              </w:rPr>
              <w:t>69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1D698F" w:rsidRDefault="00F81B89" w:rsidP="00AB15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10</w:t>
            </w:r>
            <w:r w:rsidRPr="001D698F">
              <w:rPr>
                <w:rFonts w:ascii="Garamond" w:eastAsia="Batang" w:hAnsi="Garamond" w:cs="Times New Roman"/>
                <w:sz w:val="24"/>
                <w:szCs w:val="24"/>
              </w:rPr>
              <w:t>.  Multiple observations for tenured teachers when observation results yield an</w:t>
            </w:r>
          </w:p>
          <w:p w:rsidR="00F81B89" w:rsidRPr="00A81A34" w:rsidRDefault="00F81B89" w:rsidP="00AB15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1D698F">
              <w:rPr>
                <w:rFonts w:ascii="Garamond" w:eastAsia="Batang" w:hAnsi="Garamond" w:cs="Times New Roman"/>
                <w:sz w:val="24"/>
                <w:szCs w:val="24"/>
              </w:rPr>
              <w:t xml:space="preserve">        </w:t>
            </w:r>
            <w:r w:rsidRPr="001D698F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ineffective </w:t>
            </w:r>
            <w:r w:rsidRPr="001D698F">
              <w:rPr>
                <w:rFonts w:ascii="Garamond" w:eastAsia="Batang" w:hAnsi="Garamond" w:cs="Times New Roman"/>
                <w:sz w:val="24"/>
                <w:szCs w:val="24"/>
              </w:rPr>
              <w:t>determination.</w:t>
            </w:r>
          </w:p>
        </w:tc>
      </w:tr>
      <w:tr w:rsidR="00F81B89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Pr="00A81A34" w:rsidRDefault="00B35BD7" w:rsidP="00C32A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18-20</w:t>
            </w:r>
            <w:r w:rsidR="00C32A32">
              <w:rPr>
                <w:rFonts w:ascii="Garamond" w:eastAsia="Batang" w:hAnsi="Garamond" w:cs="Times New Roman"/>
              </w:rPr>
              <w:t>, 69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Default="00F81B89" w:rsidP="00BC3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1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1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Summative evaluations </w:t>
            </w:r>
            <w:r w:rsidRPr="00A81A34">
              <w:rPr>
                <w:rFonts w:ascii="Garamond" w:eastAsia="Batang" w:hAnsi="Garamond" w:cs="Times New Roman"/>
                <w:b/>
                <w:sz w:val="24"/>
                <w:szCs w:val="24"/>
              </w:rPr>
              <w:t>for tenured teachers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shall occur at least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once every</w:t>
            </w:r>
          </w:p>
          <w:p w:rsidR="00F81B89" w:rsidRPr="00A81A34" w:rsidRDefault="00F81B89" w:rsidP="00BC3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     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three years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F81B89" w:rsidRPr="00A81A34" w:rsidTr="003131A6">
        <w:trPr>
          <w:cantSplit/>
          <w:trHeight w:val="52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680" w:rsidRPr="00A81A34" w:rsidRDefault="00B35BD7" w:rsidP="00C32A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47</w:t>
            </w:r>
            <w:r w:rsidR="00C32A32">
              <w:rPr>
                <w:rFonts w:ascii="Garamond" w:eastAsia="Batang" w:hAnsi="Garamond" w:cs="Times New Roman"/>
              </w:rPr>
              <w:t xml:space="preserve"> &amp; 62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A81A34" w:rsidRDefault="00F81B89" w:rsidP="001203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1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2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A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dministrators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receive summative evaluations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annually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3131A6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131A6" w:rsidRDefault="003131A6" w:rsidP="0031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42, 59</w:t>
            </w:r>
            <w:r w:rsidR="00C32A32">
              <w:rPr>
                <w:rFonts w:ascii="Garamond" w:eastAsia="Batang" w:hAnsi="Garamond" w:cs="Times New Roman"/>
              </w:rPr>
              <w:t xml:space="preserve">, </w:t>
            </w:r>
          </w:p>
          <w:p w:rsidR="003131A6" w:rsidRPr="00A81A34" w:rsidRDefault="00C32A32" w:rsidP="00C32A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70-71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131A6" w:rsidRDefault="003131A6" w:rsidP="0031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1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3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Evaluations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will be documented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on approved f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orms to become part of official</w:t>
            </w:r>
          </w:p>
          <w:p w:rsidR="003131A6" w:rsidRPr="00A81A34" w:rsidRDefault="003131A6" w:rsidP="0031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     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personnel file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3131A6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131A6" w:rsidRPr="00A81A34" w:rsidRDefault="003131A6" w:rsidP="00C32A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43, 59</w:t>
            </w:r>
            <w:r w:rsidR="00C32A32">
              <w:rPr>
                <w:rFonts w:ascii="Garamond" w:eastAsia="Batang" w:hAnsi="Garamond" w:cs="Times New Roman"/>
              </w:rPr>
              <w:t>, 71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131A6" w:rsidRDefault="003131A6" w:rsidP="0031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1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4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An o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pportunity for written response </w:t>
            </w:r>
            <w:r w:rsidRPr="00A81A34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shall </w:t>
            </w:r>
            <w:r w:rsidRPr="00A81A34">
              <w:rPr>
                <w:rFonts w:ascii="Garamond" w:eastAsia="Batang" w:hAnsi="Garamond" w:cs="Times New Roman"/>
                <w:b/>
                <w:sz w:val="24"/>
                <w:szCs w:val="24"/>
                <w:u w:val="single"/>
              </w:rPr>
              <w:t xml:space="preserve">be included in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the official</w:t>
            </w:r>
          </w:p>
          <w:p w:rsidR="003131A6" w:rsidRPr="00A81A34" w:rsidRDefault="003131A6" w:rsidP="0031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      personnel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record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3131A6" w:rsidRPr="00A81A34" w:rsidTr="009E2EC5">
        <w:trPr>
          <w:cantSplit/>
          <w:trHeight w:val="4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131A6" w:rsidRPr="00A81A34" w:rsidRDefault="003131A6" w:rsidP="00C32A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42, 59</w:t>
            </w:r>
            <w:r w:rsidR="00C32A32">
              <w:rPr>
                <w:rFonts w:ascii="Garamond" w:eastAsia="Batang" w:hAnsi="Garamond" w:cs="Times New Roman"/>
              </w:rPr>
              <w:t>, 71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131A6" w:rsidRPr="00A81A34" w:rsidRDefault="003131A6" w:rsidP="0031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1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5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A c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opy of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the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evaluation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is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provided to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evaluatee.</w:t>
            </w:r>
          </w:p>
        </w:tc>
      </w:tr>
    </w:tbl>
    <w:tbl>
      <w:tblPr>
        <w:tblpPr w:leftFromText="180" w:rightFromText="180" w:vertAnchor="text" w:horzAnchor="margin" w:tblpX="-252" w:tblpY="-163"/>
        <w:tblW w:w="10008" w:type="dxa"/>
        <w:tblBorders>
          <w:top w:val="single" w:sz="8" w:space="0" w:color="auto"/>
          <w:left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98"/>
        <w:gridCol w:w="8910"/>
      </w:tblGrid>
      <w:tr w:rsidR="009E2EC5" w:rsidRPr="00A81A34" w:rsidTr="009E2EC5">
        <w:trPr>
          <w:cantSplit/>
          <w:trHeight w:val="808"/>
        </w:trPr>
        <w:tc>
          <w:tcPr>
            <w:tcW w:w="109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9E2EC5" w:rsidRPr="00A81A34" w:rsidRDefault="009E2EC5" w:rsidP="009E2EC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Garamond" w:eastAsia="Batang" w:hAnsi="Garamond" w:cs="Times New Roman"/>
                <w:b/>
                <w:bCs/>
                <w:sz w:val="18"/>
                <w:szCs w:val="18"/>
              </w:rPr>
            </w:pPr>
            <w:r w:rsidRPr="00A81A34">
              <w:rPr>
                <w:rFonts w:ascii="Garamond" w:eastAsia="Batang" w:hAnsi="Garamond" w:cs="Times New Roman"/>
                <w:b/>
                <w:bCs/>
                <w:sz w:val="18"/>
                <w:szCs w:val="18"/>
              </w:rPr>
              <w:lastRenderedPageBreak/>
              <w:t>Page Number in District CEP</w:t>
            </w:r>
          </w:p>
        </w:tc>
        <w:tc>
          <w:tcPr>
            <w:tcW w:w="89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Default="009E2EC5" w:rsidP="009E2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</w:rPr>
            </w:pPr>
            <w:r w:rsidRPr="00DD6D06">
              <w:rPr>
                <w:rFonts w:ascii="Times New Roman" w:eastAsia="Batang" w:hAnsi="Times New Roman" w:cs="Times New Roman"/>
              </w:rPr>
              <w:t>Indicators taken fr</w:t>
            </w:r>
            <w:r>
              <w:rPr>
                <w:rFonts w:ascii="Times New Roman" w:eastAsia="Batang" w:hAnsi="Times New Roman" w:cs="Times New Roman"/>
              </w:rPr>
              <w:t>om KRS 156.557 and 704 KAR 3:370</w:t>
            </w:r>
            <w:r w:rsidRPr="00DD6D06">
              <w:rPr>
                <w:rFonts w:ascii="Times New Roman" w:eastAsia="Batang" w:hAnsi="Times New Roman" w:cs="Times New Roman"/>
              </w:rPr>
              <w:t xml:space="preserve"> </w:t>
            </w:r>
          </w:p>
          <w:p w:rsidR="009E2EC5" w:rsidRPr="00DD6D06" w:rsidRDefault="009E2EC5" w:rsidP="009E2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2EC5" w:rsidRPr="00A81A34" w:rsidTr="009E2EC5">
        <w:trPr>
          <w:cantSplit/>
          <w:trHeight w:val="322"/>
        </w:trPr>
        <w:tc>
          <w:tcPr>
            <w:tcW w:w="1000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9E2EC5" w:rsidRPr="00A81A34" w:rsidRDefault="009E2EC5" w:rsidP="009E2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</w:pPr>
            <w:r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C.  PGES - </w:t>
            </w:r>
            <w:r w:rsidRPr="00A81A34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Certified Teacher</w:t>
            </w:r>
          </w:p>
        </w:tc>
      </w:tr>
      <w:tr w:rsidR="009E2EC5" w:rsidRPr="00A81A34" w:rsidTr="009E2EC5">
        <w:trPr>
          <w:cantSplit/>
          <w:trHeight w:val="232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" w:firstLine="38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16-17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Professional Growth Planning and Self-Reflection</w:t>
            </w:r>
          </w:p>
        </w:tc>
      </w:tr>
      <w:tr w:rsidR="009E2EC5" w:rsidRPr="00A81A34" w:rsidTr="009E2EC5">
        <w:trPr>
          <w:cantSplit/>
          <w:trHeight w:val="241"/>
        </w:trPr>
        <w:tc>
          <w:tcPr>
            <w:tcW w:w="1098" w:type="dxa"/>
            <w:shd w:val="clear" w:color="auto" w:fill="auto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" w:firstLine="38"/>
              <w:jc w:val="center"/>
              <w:textAlignment w:val="baseline"/>
              <w:rPr>
                <w:rFonts w:ascii="Garamond" w:eastAsia="Batang" w:hAnsi="Garamond" w:cs="Times New Roman"/>
                <w:sz w:val="20"/>
                <w:szCs w:val="20"/>
              </w:rPr>
            </w:pPr>
            <w:r>
              <w:rPr>
                <w:rFonts w:ascii="Garamond" w:eastAsia="Batang" w:hAnsi="Garamond" w:cs="Times New Roman"/>
                <w:sz w:val="20"/>
                <w:szCs w:val="20"/>
              </w:rPr>
              <w:t>18-23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Observation</w:t>
            </w:r>
          </w:p>
        </w:tc>
      </w:tr>
      <w:tr w:rsidR="009E2EC5" w:rsidRPr="00A81A34" w:rsidTr="009E2EC5">
        <w:trPr>
          <w:cantSplit/>
          <w:trHeight w:val="259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18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Observation Model </w:t>
            </w:r>
          </w:p>
        </w:tc>
      </w:tr>
      <w:tr w:rsidR="009E2EC5" w:rsidRPr="00A81A34" w:rsidTr="009E2EC5">
        <w:trPr>
          <w:cantSplit/>
          <w:trHeight w:val="250"/>
        </w:trPr>
        <w:tc>
          <w:tcPr>
            <w:tcW w:w="1098" w:type="dxa"/>
            <w:shd w:val="clear" w:color="auto" w:fill="auto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18-20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Observation Schedule</w:t>
            </w:r>
          </w:p>
        </w:tc>
      </w:tr>
      <w:tr w:rsidR="009E2EC5" w:rsidRPr="00A81A34" w:rsidTr="009E2EC5">
        <w:trPr>
          <w:cantSplit/>
          <w:trHeight w:val="259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21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Peer Observation </w:t>
            </w:r>
          </w:p>
        </w:tc>
      </w:tr>
      <w:tr w:rsidR="009E2EC5" w:rsidRPr="00A81A34" w:rsidTr="009E2EC5">
        <w:trPr>
          <w:cantSplit/>
          <w:trHeight w:val="259"/>
        </w:trPr>
        <w:tc>
          <w:tcPr>
            <w:tcW w:w="1098" w:type="dxa"/>
            <w:shd w:val="clear" w:color="auto" w:fill="auto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22-23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>Observation Conferencing</w:t>
            </w:r>
          </w:p>
        </w:tc>
      </w:tr>
      <w:tr w:rsidR="009E2EC5" w:rsidRPr="00A81A34" w:rsidTr="009E2EC5">
        <w:trPr>
          <w:cantSplit/>
          <w:trHeight w:val="259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24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Observer </w:t>
            </w: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>Certification</w:t>
            </w:r>
          </w:p>
        </w:tc>
      </w:tr>
      <w:tr w:rsidR="009E2EC5" w:rsidRPr="00A81A34" w:rsidTr="009E2EC5">
        <w:trPr>
          <w:cantSplit/>
          <w:trHeight w:val="259"/>
        </w:trPr>
        <w:tc>
          <w:tcPr>
            <w:tcW w:w="1098" w:type="dxa"/>
            <w:shd w:val="clear" w:color="auto" w:fill="auto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24-25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Observer </w:t>
            </w: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Calibration</w:t>
            </w:r>
          </w:p>
        </w:tc>
      </w:tr>
      <w:tr w:rsidR="009E2EC5" w:rsidRPr="00A81A34" w:rsidTr="009E2EC5">
        <w:trPr>
          <w:cantSplit/>
          <w:trHeight w:val="241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25-27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Student Voice</w:t>
            </w:r>
          </w:p>
        </w:tc>
      </w:tr>
      <w:tr w:rsidR="009E2EC5" w:rsidRPr="00A81A34" w:rsidTr="009E2EC5">
        <w:trPr>
          <w:cantSplit/>
          <w:trHeight w:val="241"/>
        </w:trPr>
        <w:tc>
          <w:tcPr>
            <w:tcW w:w="1098" w:type="dxa"/>
            <w:shd w:val="clear" w:color="auto" w:fill="auto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29-35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Local Student Growth Goal</w:t>
            </w:r>
          </w:p>
        </w:tc>
      </w:tr>
      <w:tr w:rsidR="009E2EC5" w:rsidRPr="00A81A34" w:rsidTr="009E2EC5">
        <w:trPr>
          <w:cantSplit/>
          <w:trHeight w:val="250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28, 38-40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Student Growth Percentile</w:t>
            </w:r>
          </w:p>
        </w:tc>
      </w:tr>
      <w:tr w:rsidR="009E2EC5" w:rsidRPr="00A81A34" w:rsidTr="009E2EC5">
        <w:trPr>
          <w:cantSplit/>
          <w:trHeight w:val="241"/>
        </w:trPr>
        <w:tc>
          <w:tcPr>
            <w:tcW w:w="1098" w:type="dxa"/>
            <w:shd w:val="clear" w:color="auto" w:fill="auto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27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Products of Practice/Other Sources of Evidence</w:t>
            </w:r>
          </w:p>
        </w:tc>
      </w:tr>
      <w:tr w:rsidR="009E2EC5" w:rsidRPr="00A81A34" w:rsidTr="009E2EC5">
        <w:trPr>
          <w:cantSplit/>
          <w:trHeight w:val="259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36-37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Rating Professional Practice</w:t>
            </w:r>
          </w:p>
        </w:tc>
      </w:tr>
      <w:tr w:rsidR="009E2EC5" w:rsidRPr="00A81A34" w:rsidTr="009E2EC5">
        <w:trPr>
          <w:cantSplit/>
          <w:trHeight w:val="250"/>
        </w:trPr>
        <w:tc>
          <w:tcPr>
            <w:tcW w:w="1098" w:type="dxa"/>
            <w:shd w:val="clear" w:color="auto" w:fill="auto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38-41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Rating Student Growth</w:t>
            </w:r>
          </w:p>
        </w:tc>
      </w:tr>
      <w:tr w:rsidR="009E2EC5" w:rsidRPr="00A81A34" w:rsidTr="009E2EC5">
        <w:trPr>
          <w:cantSplit/>
          <w:trHeight w:val="259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42-43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Determining the Overall Performance Category</w:t>
            </w:r>
          </w:p>
        </w:tc>
      </w:tr>
      <w:tr w:rsidR="009E2EC5" w:rsidRPr="00A81A34" w:rsidTr="009E2EC5">
        <w:trPr>
          <w:cantSplit/>
          <w:trHeight w:val="259"/>
        </w:trPr>
        <w:tc>
          <w:tcPr>
            <w:tcW w:w="1098" w:type="dxa"/>
            <w:shd w:val="clear" w:color="auto" w:fill="auto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44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Professional Growth Plan and Summative Cycle</w:t>
            </w:r>
          </w:p>
        </w:tc>
      </w:tr>
      <w:tr w:rsidR="009E2EC5" w:rsidRPr="00A81A34" w:rsidTr="009E2EC5">
        <w:trPr>
          <w:cantSplit/>
          <w:trHeight w:val="241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C95BAA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74-75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Appeals Process</w:t>
            </w:r>
          </w:p>
        </w:tc>
      </w:tr>
      <w:tr w:rsidR="009E2EC5" w:rsidRPr="00A81A34" w:rsidTr="009E2EC5">
        <w:trPr>
          <w:cantSplit/>
          <w:trHeight w:val="331"/>
        </w:trPr>
        <w:tc>
          <w:tcPr>
            <w:tcW w:w="1000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Pr="00A81A34" w:rsidRDefault="009E2EC5" w:rsidP="009E2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/>
                <w:bCs/>
              </w:rPr>
            </w:pPr>
            <w:r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D.  PGES - </w:t>
            </w:r>
            <w:r w:rsidRPr="00A81A34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Principal &amp; Assistant Principal</w:t>
            </w:r>
          </w:p>
        </w:tc>
      </w:tr>
      <w:tr w:rsidR="009E2EC5" w:rsidRPr="00A81A34" w:rsidTr="009E2EC5">
        <w:trPr>
          <w:cantSplit/>
          <w:trHeight w:val="250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48-49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Professional Growth Planning and Self-Reflection</w:t>
            </w:r>
          </w:p>
        </w:tc>
      </w:tr>
      <w:tr w:rsidR="009E2EC5" w:rsidRPr="00A81A34" w:rsidTr="009E2EC5">
        <w:trPr>
          <w:cantSplit/>
          <w:trHeight w:val="241"/>
        </w:trPr>
        <w:tc>
          <w:tcPr>
            <w:tcW w:w="1098" w:type="dxa"/>
            <w:shd w:val="clear" w:color="auto" w:fill="auto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49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Site-Visits</w:t>
            </w:r>
          </w:p>
        </w:tc>
      </w:tr>
      <w:tr w:rsidR="009E2EC5" w:rsidRPr="00A81A34" w:rsidTr="009E2EC5">
        <w:trPr>
          <w:cantSplit/>
          <w:trHeight w:val="241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50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Val-ED</w:t>
            </w:r>
          </w:p>
        </w:tc>
      </w:tr>
      <w:tr w:rsidR="009E2EC5" w:rsidRPr="00A81A34" w:rsidTr="009E2EC5">
        <w:trPr>
          <w:cantSplit/>
          <w:trHeight w:val="241"/>
        </w:trPr>
        <w:tc>
          <w:tcPr>
            <w:tcW w:w="1098" w:type="dxa"/>
            <w:shd w:val="clear" w:color="auto" w:fill="auto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50-51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Working Conditions Goal</w:t>
            </w:r>
          </w:p>
        </w:tc>
      </w:tr>
      <w:tr w:rsidR="009E2EC5" w:rsidRPr="00A81A34" w:rsidTr="009E2EC5">
        <w:trPr>
          <w:cantSplit/>
          <w:trHeight w:val="241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52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1265D1" w:rsidP="009E2EC5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Products of Practice/Other Sources of Evidence</w:t>
            </w:r>
            <w:bookmarkStart w:id="0" w:name="_GoBack"/>
            <w:bookmarkEnd w:id="0"/>
          </w:p>
        </w:tc>
      </w:tr>
      <w:tr w:rsidR="009E2EC5" w:rsidRPr="00A81A34" w:rsidTr="009E2EC5">
        <w:trPr>
          <w:cantSplit/>
          <w:trHeight w:val="232"/>
        </w:trPr>
        <w:tc>
          <w:tcPr>
            <w:tcW w:w="1098" w:type="dxa"/>
            <w:shd w:val="clear" w:color="auto" w:fill="auto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53-54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State Student Growth Goal – School Report Cards</w:t>
            </w:r>
          </w:p>
        </w:tc>
      </w:tr>
      <w:tr w:rsidR="009E2EC5" w:rsidRPr="00A81A34" w:rsidTr="009E2EC5">
        <w:trPr>
          <w:cantSplit/>
          <w:trHeight w:val="232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54-55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Local Student Growth Goal – ASSIST (School Improvement Plan)</w:t>
            </w:r>
          </w:p>
        </w:tc>
      </w:tr>
      <w:tr w:rsidR="009E2EC5" w:rsidRPr="00A81A34" w:rsidTr="009E2EC5">
        <w:trPr>
          <w:cantSplit/>
          <w:trHeight w:val="232"/>
        </w:trPr>
        <w:tc>
          <w:tcPr>
            <w:tcW w:w="1098" w:type="dxa"/>
            <w:shd w:val="clear" w:color="auto" w:fill="auto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56-57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Rating Overall Professional Practice</w:t>
            </w:r>
          </w:p>
        </w:tc>
      </w:tr>
      <w:tr w:rsidR="009E2EC5" w:rsidRPr="00A81A34" w:rsidTr="009E2EC5">
        <w:trPr>
          <w:cantSplit/>
          <w:trHeight w:val="232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57-58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Rating Overall Student Growth</w:t>
            </w:r>
          </w:p>
        </w:tc>
      </w:tr>
      <w:tr w:rsidR="009E2EC5" w:rsidRPr="00A81A34" w:rsidTr="009E2EC5">
        <w:trPr>
          <w:cantSplit/>
          <w:trHeight w:val="223"/>
        </w:trPr>
        <w:tc>
          <w:tcPr>
            <w:tcW w:w="1098" w:type="dxa"/>
            <w:shd w:val="clear" w:color="auto" w:fill="auto"/>
            <w:vAlign w:val="bottom"/>
          </w:tcPr>
          <w:p w:rsidR="009E2EC5" w:rsidRPr="00A81A34" w:rsidRDefault="0039181D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59-60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Determining Overall Performance Category</w:t>
            </w:r>
          </w:p>
        </w:tc>
      </w:tr>
      <w:tr w:rsidR="009E2EC5" w:rsidRPr="00A81A34" w:rsidTr="009E2EC5">
        <w:trPr>
          <w:cantSplit/>
          <w:trHeight w:val="223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C95BAA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74-75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Appeals Process</w:t>
            </w:r>
          </w:p>
        </w:tc>
      </w:tr>
      <w:tr w:rsidR="009E2EC5" w:rsidRPr="00A81A34" w:rsidTr="009E2EC5">
        <w:trPr>
          <w:cantSplit/>
          <w:trHeight w:val="349"/>
        </w:trPr>
        <w:tc>
          <w:tcPr>
            <w:tcW w:w="1000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Pr="009974EC" w:rsidRDefault="005155E0" w:rsidP="002F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</w:pPr>
            <w:r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E.  </w:t>
            </w:r>
            <w:r w:rsidR="00273429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PGES - </w:t>
            </w:r>
            <w:r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District</w:t>
            </w:r>
            <w:r w:rsidRPr="009974EC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 </w:t>
            </w:r>
            <w:r w:rsidR="002F6454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Certified </w:t>
            </w:r>
            <w:r w:rsidRPr="009974EC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ersonnel</w:t>
            </w:r>
            <w:r w:rsidR="003105AA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 – </w:t>
            </w:r>
            <w:r w:rsidR="009221B0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 Administrator and </w:t>
            </w:r>
            <w:r w:rsidR="003105AA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Non-Administrat</w:t>
            </w:r>
            <w:r w:rsidR="009221B0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or</w:t>
            </w:r>
          </w:p>
        </w:tc>
      </w:tr>
      <w:tr w:rsidR="009E2EC5" w:rsidRPr="00A81A34" w:rsidTr="009E2EC5">
        <w:trPr>
          <w:cantSplit/>
          <w:trHeight w:val="223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3131A6" w:rsidRDefault="003131A6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 w:rsidRPr="003131A6">
              <w:rPr>
                <w:rFonts w:ascii="Garamond" w:eastAsia="Batang" w:hAnsi="Garamond" w:cs="Times New Roman"/>
              </w:rPr>
              <w:t>63-66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7B02BA" w:rsidP="009E2EC5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Professional Growth Planning and Self-Reflection</w:t>
            </w:r>
          </w:p>
        </w:tc>
      </w:tr>
      <w:tr w:rsidR="009E2EC5" w:rsidRPr="00A81A34" w:rsidTr="009E2EC5">
        <w:trPr>
          <w:cantSplit/>
          <w:trHeight w:val="223"/>
        </w:trPr>
        <w:tc>
          <w:tcPr>
            <w:tcW w:w="1098" w:type="dxa"/>
            <w:shd w:val="clear" w:color="auto" w:fill="FFFFFF" w:themeFill="background1"/>
            <w:vAlign w:val="bottom"/>
          </w:tcPr>
          <w:p w:rsidR="009E2EC5" w:rsidRPr="003131A6" w:rsidRDefault="003131A6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 w:rsidRPr="003131A6">
              <w:rPr>
                <w:rFonts w:ascii="Garamond" w:eastAsia="Batang" w:hAnsi="Garamond" w:cs="Times New Roman"/>
              </w:rPr>
              <w:t>66-69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E2EC5" w:rsidRPr="000F62EC" w:rsidRDefault="001D698F" w:rsidP="009E2EC5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>District Student Growth Goal</w:t>
            </w:r>
          </w:p>
        </w:tc>
      </w:tr>
      <w:tr w:rsidR="005155E0" w:rsidRPr="00A81A34" w:rsidTr="005155E0">
        <w:trPr>
          <w:cantSplit/>
          <w:trHeight w:val="278"/>
        </w:trPr>
        <w:tc>
          <w:tcPr>
            <w:tcW w:w="109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5155E0" w:rsidRPr="003131A6" w:rsidRDefault="003131A6" w:rsidP="001D6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bCs/>
              </w:rPr>
            </w:pPr>
            <w:r w:rsidRPr="003131A6">
              <w:rPr>
                <w:rFonts w:ascii="Garamond" w:eastAsia="Batang" w:hAnsi="Garamond" w:cs="Times New Roman"/>
                <w:bCs/>
              </w:rPr>
              <w:t>69-70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5155E0" w:rsidRPr="005155E0" w:rsidRDefault="001D698F" w:rsidP="005155E0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>Observation/Site Visits</w:t>
            </w:r>
          </w:p>
        </w:tc>
      </w:tr>
      <w:tr w:rsidR="009E2EC5" w:rsidRPr="00A81A34" w:rsidTr="009E2EC5">
        <w:trPr>
          <w:cantSplit/>
          <w:trHeight w:val="223"/>
        </w:trPr>
        <w:tc>
          <w:tcPr>
            <w:tcW w:w="1098" w:type="dxa"/>
            <w:shd w:val="clear" w:color="auto" w:fill="FFFFFF" w:themeFill="background1"/>
            <w:vAlign w:val="bottom"/>
          </w:tcPr>
          <w:p w:rsidR="009E2EC5" w:rsidRPr="003131A6" w:rsidRDefault="003131A6" w:rsidP="00AA20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 w:rsidRPr="003131A6">
              <w:rPr>
                <w:rFonts w:ascii="Garamond" w:eastAsia="Batang" w:hAnsi="Garamond" w:cs="Times New Roman"/>
              </w:rPr>
              <w:t>70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E2EC5" w:rsidRPr="005155E0" w:rsidRDefault="001D698F" w:rsidP="00887D89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Determining Overall Performance </w:t>
            </w:r>
            <w:r w:rsidR="00887D89">
              <w:rPr>
                <w:rFonts w:ascii="Garamond" w:eastAsia="Batang" w:hAnsi="Garamond" w:cs="Times New Roman"/>
                <w:bCs/>
                <w:sz w:val="24"/>
                <w:szCs w:val="24"/>
              </w:rPr>
              <w:t>Rating</w:t>
            </w:r>
          </w:p>
        </w:tc>
      </w:tr>
      <w:tr w:rsidR="009E2EC5" w:rsidRPr="00A81A34" w:rsidTr="009E2EC5">
        <w:trPr>
          <w:cantSplit/>
          <w:trHeight w:val="223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C95BAA" w:rsidP="00976F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7</w:t>
            </w:r>
            <w:r w:rsidR="00976F0A">
              <w:rPr>
                <w:rFonts w:ascii="Garamond" w:eastAsia="Batang" w:hAnsi="Garamond" w:cs="Times New Roman"/>
              </w:rPr>
              <w:t>4-75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5155E0" w:rsidRDefault="009E2EC5" w:rsidP="002F6454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5155E0"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Appeals Process for </w:t>
            </w:r>
            <w:r w:rsidR="002F6454" w:rsidRPr="005155E0"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District </w:t>
            </w:r>
            <w:r w:rsidRPr="005155E0">
              <w:rPr>
                <w:rFonts w:ascii="Garamond" w:eastAsia="Batang" w:hAnsi="Garamond" w:cs="Times New Roman"/>
                <w:bCs/>
                <w:sz w:val="24"/>
                <w:szCs w:val="24"/>
              </w:rPr>
              <w:t>Certified Personnel</w:t>
            </w:r>
          </w:p>
        </w:tc>
      </w:tr>
    </w:tbl>
    <w:p w:rsidR="007854EB" w:rsidRDefault="007854EB" w:rsidP="007854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Batang" w:hAnsi="Garamond" w:cs="Times New Roman"/>
        </w:rPr>
      </w:pPr>
    </w:p>
    <w:p w:rsidR="006B4B0C" w:rsidRDefault="006B4B0C" w:rsidP="007854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Batang" w:hAnsi="Garamond" w:cs="Times New Roman"/>
        </w:rPr>
      </w:pPr>
    </w:p>
    <w:p w:rsidR="00DD6D06" w:rsidRPr="00A81A34" w:rsidRDefault="00DD6D06" w:rsidP="00DD6D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0"/>
          <w:szCs w:val="20"/>
        </w:rPr>
      </w:pPr>
    </w:p>
    <w:sectPr w:rsidR="00DD6D06" w:rsidRPr="00A81A34" w:rsidSect="009E2EC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DA6" w:rsidRDefault="001E4DA6" w:rsidP="008372B8">
      <w:pPr>
        <w:spacing w:after="0" w:line="240" w:lineRule="auto"/>
      </w:pPr>
      <w:r>
        <w:separator/>
      </w:r>
    </w:p>
  </w:endnote>
  <w:endnote w:type="continuationSeparator" w:id="0">
    <w:p w:rsidR="001E4DA6" w:rsidRDefault="001E4DA6" w:rsidP="0083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836127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22F7E" w:rsidRDefault="00007F34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DA6" w:rsidRDefault="001E4DA6" w:rsidP="008372B8">
      <w:pPr>
        <w:spacing w:after="0" w:line="240" w:lineRule="auto"/>
      </w:pPr>
      <w:r>
        <w:separator/>
      </w:r>
    </w:p>
  </w:footnote>
  <w:footnote w:type="continuationSeparator" w:id="0">
    <w:p w:rsidR="001E4DA6" w:rsidRDefault="001E4DA6" w:rsidP="0083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7E" w:rsidRPr="00A81A34" w:rsidRDefault="00C22F7E" w:rsidP="00A81A34">
    <w:pPr>
      <w:pStyle w:val="Heading2"/>
      <w:numPr>
        <w:ilvl w:val="0"/>
        <w:numId w:val="0"/>
      </w:numPr>
      <w:ind w:left="360"/>
      <w:jc w:val="center"/>
      <w:rPr>
        <w:rFonts w:ascii="Garamond" w:hAnsi="Garamond"/>
      </w:rPr>
    </w:pPr>
    <w:r>
      <w:rPr>
        <w:rFonts w:ascii="Garamond" w:hAnsi="Garamond"/>
      </w:rPr>
      <w:t>Professional Growth and Effectiveness System</w:t>
    </w:r>
  </w:p>
  <w:p w:rsidR="00C22F7E" w:rsidRDefault="00C22F7E" w:rsidP="00A81A3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2A7"/>
    <w:multiLevelType w:val="hybridMultilevel"/>
    <w:tmpl w:val="60FC1C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47E79"/>
    <w:multiLevelType w:val="hybridMultilevel"/>
    <w:tmpl w:val="3B2ED678"/>
    <w:lvl w:ilvl="0" w:tplc="56A2FAB6">
      <w:start w:val="3"/>
      <w:numFmt w:val="upperRoman"/>
      <w:pStyle w:val="Heading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AEC"/>
    <w:multiLevelType w:val="hybridMultilevel"/>
    <w:tmpl w:val="F33CE218"/>
    <w:lvl w:ilvl="0" w:tplc="961A0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D324F"/>
    <w:multiLevelType w:val="hybridMultilevel"/>
    <w:tmpl w:val="230E4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C41ED"/>
    <w:multiLevelType w:val="hybridMultilevel"/>
    <w:tmpl w:val="CE5ADAE4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84ED3"/>
    <w:multiLevelType w:val="hybridMultilevel"/>
    <w:tmpl w:val="65EA2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66AC9"/>
    <w:multiLevelType w:val="hybridMultilevel"/>
    <w:tmpl w:val="9064F0C0"/>
    <w:lvl w:ilvl="0" w:tplc="91C4776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20EB0593"/>
    <w:multiLevelType w:val="hybridMultilevel"/>
    <w:tmpl w:val="C450BA34"/>
    <w:lvl w:ilvl="0" w:tplc="083400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C283D"/>
    <w:multiLevelType w:val="hybridMultilevel"/>
    <w:tmpl w:val="46080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D431C"/>
    <w:multiLevelType w:val="hybridMultilevel"/>
    <w:tmpl w:val="0C80D45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51071D8"/>
    <w:multiLevelType w:val="hybridMultilevel"/>
    <w:tmpl w:val="152482D6"/>
    <w:lvl w:ilvl="0" w:tplc="CF103238">
      <w:start w:val="1"/>
      <w:numFmt w:val="decimal"/>
      <w:lvlText w:val="%1."/>
      <w:lvlJc w:val="left"/>
      <w:pPr>
        <w:ind w:left="94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38513416"/>
    <w:multiLevelType w:val="hybridMultilevel"/>
    <w:tmpl w:val="F6B06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B7B80"/>
    <w:multiLevelType w:val="hybridMultilevel"/>
    <w:tmpl w:val="4DB2FBB2"/>
    <w:lvl w:ilvl="0" w:tplc="04090019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>
    <w:nsid w:val="38E852C1"/>
    <w:multiLevelType w:val="hybridMultilevel"/>
    <w:tmpl w:val="F0B4ECA0"/>
    <w:lvl w:ilvl="0" w:tplc="EEEC6E5A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4">
    <w:nsid w:val="39286675"/>
    <w:multiLevelType w:val="hybridMultilevel"/>
    <w:tmpl w:val="FEEC39BC"/>
    <w:lvl w:ilvl="0" w:tplc="C8028378">
      <w:start w:val="1"/>
      <w:numFmt w:val="decimal"/>
      <w:lvlText w:val="%1."/>
      <w:lvlJc w:val="left"/>
      <w:pPr>
        <w:ind w:left="2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>
    <w:nsid w:val="3B114A5C"/>
    <w:multiLevelType w:val="hybridMultilevel"/>
    <w:tmpl w:val="D652B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71D4A"/>
    <w:multiLevelType w:val="hybridMultilevel"/>
    <w:tmpl w:val="3E5A6896"/>
    <w:lvl w:ilvl="0" w:tplc="37B0D992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DE12FC9"/>
    <w:multiLevelType w:val="hybridMultilevel"/>
    <w:tmpl w:val="F0B4ECA0"/>
    <w:lvl w:ilvl="0" w:tplc="EEEC6E5A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8">
    <w:nsid w:val="42E21925"/>
    <w:multiLevelType w:val="hybridMultilevel"/>
    <w:tmpl w:val="659EC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D1EEC"/>
    <w:multiLevelType w:val="hybridMultilevel"/>
    <w:tmpl w:val="5AAA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30273"/>
    <w:multiLevelType w:val="hybridMultilevel"/>
    <w:tmpl w:val="4DB2FBB2"/>
    <w:lvl w:ilvl="0" w:tplc="04090019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>
    <w:nsid w:val="455D55FD"/>
    <w:multiLevelType w:val="hybridMultilevel"/>
    <w:tmpl w:val="F55C92E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47195EC4"/>
    <w:multiLevelType w:val="hybridMultilevel"/>
    <w:tmpl w:val="CC5A5852"/>
    <w:lvl w:ilvl="0" w:tplc="9E9E8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86EBE"/>
    <w:multiLevelType w:val="hybridMultilevel"/>
    <w:tmpl w:val="EE5AB19C"/>
    <w:lvl w:ilvl="0" w:tplc="68E6BCD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FF23118"/>
    <w:multiLevelType w:val="hybridMultilevel"/>
    <w:tmpl w:val="EAFA0AA2"/>
    <w:lvl w:ilvl="0" w:tplc="F424BE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52960022"/>
    <w:multiLevelType w:val="hybridMultilevel"/>
    <w:tmpl w:val="A93C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320A3"/>
    <w:multiLevelType w:val="hybridMultilevel"/>
    <w:tmpl w:val="D5F6E50A"/>
    <w:lvl w:ilvl="0" w:tplc="04090019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7">
    <w:nsid w:val="5D9160DA"/>
    <w:multiLevelType w:val="hybridMultilevel"/>
    <w:tmpl w:val="F0B4ECA0"/>
    <w:lvl w:ilvl="0" w:tplc="EEEC6E5A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8">
    <w:nsid w:val="5F812102"/>
    <w:multiLevelType w:val="hybridMultilevel"/>
    <w:tmpl w:val="DA822A58"/>
    <w:lvl w:ilvl="0" w:tplc="6D8A9F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60531775"/>
    <w:multiLevelType w:val="hybridMultilevel"/>
    <w:tmpl w:val="8FAC2EA8"/>
    <w:lvl w:ilvl="0" w:tplc="33F2423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0">
    <w:nsid w:val="66B04996"/>
    <w:multiLevelType w:val="hybridMultilevel"/>
    <w:tmpl w:val="C1182836"/>
    <w:lvl w:ilvl="0" w:tplc="60F299F4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95A41"/>
    <w:multiLevelType w:val="hybridMultilevel"/>
    <w:tmpl w:val="B71660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681E0A69"/>
    <w:multiLevelType w:val="hybridMultilevel"/>
    <w:tmpl w:val="215878F4"/>
    <w:lvl w:ilvl="0" w:tplc="CEF63AC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3">
    <w:nsid w:val="68DE5757"/>
    <w:multiLevelType w:val="hybridMultilevel"/>
    <w:tmpl w:val="9E6E57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D0460"/>
    <w:multiLevelType w:val="hybridMultilevel"/>
    <w:tmpl w:val="0C80D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A4710"/>
    <w:multiLevelType w:val="hybridMultilevel"/>
    <w:tmpl w:val="7152DF68"/>
    <w:lvl w:ilvl="0" w:tplc="99AAA6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F56D7D"/>
    <w:multiLevelType w:val="hybridMultilevel"/>
    <w:tmpl w:val="41A02C8A"/>
    <w:lvl w:ilvl="0" w:tplc="5B0C36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6"/>
  </w:num>
  <w:num w:numId="2">
    <w:abstractNumId w:val="27"/>
  </w:num>
  <w:num w:numId="3">
    <w:abstractNumId w:val="26"/>
  </w:num>
  <w:num w:numId="4">
    <w:abstractNumId w:val="4"/>
  </w:num>
  <w:num w:numId="5">
    <w:abstractNumId w:val="12"/>
  </w:num>
  <w:num w:numId="6">
    <w:abstractNumId w:val="20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6"/>
  </w:num>
  <w:num w:numId="12">
    <w:abstractNumId w:val="28"/>
  </w:num>
  <w:num w:numId="13">
    <w:abstractNumId w:val="16"/>
  </w:num>
  <w:num w:numId="14">
    <w:abstractNumId w:val="35"/>
  </w:num>
  <w:num w:numId="15">
    <w:abstractNumId w:val="29"/>
  </w:num>
  <w:num w:numId="16">
    <w:abstractNumId w:val="30"/>
  </w:num>
  <w:num w:numId="17">
    <w:abstractNumId w:val="25"/>
  </w:num>
  <w:num w:numId="18">
    <w:abstractNumId w:val="14"/>
  </w:num>
  <w:num w:numId="19">
    <w:abstractNumId w:val="24"/>
  </w:num>
  <w:num w:numId="20">
    <w:abstractNumId w:val="22"/>
  </w:num>
  <w:num w:numId="21">
    <w:abstractNumId w:val="2"/>
  </w:num>
  <w:num w:numId="22">
    <w:abstractNumId w:val="33"/>
  </w:num>
  <w:num w:numId="23">
    <w:abstractNumId w:val="19"/>
  </w:num>
  <w:num w:numId="24">
    <w:abstractNumId w:val="11"/>
  </w:num>
  <w:num w:numId="25">
    <w:abstractNumId w:val="18"/>
  </w:num>
  <w:num w:numId="26">
    <w:abstractNumId w:val="7"/>
  </w:num>
  <w:num w:numId="27">
    <w:abstractNumId w:val="3"/>
  </w:num>
  <w:num w:numId="28">
    <w:abstractNumId w:val="8"/>
  </w:num>
  <w:num w:numId="29">
    <w:abstractNumId w:val="15"/>
  </w:num>
  <w:num w:numId="30">
    <w:abstractNumId w:val="32"/>
  </w:num>
  <w:num w:numId="31">
    <w:abstractNumId w:val="23"/>
  </w:num>
  <w:num w:numId="32">
    <w:abstractNumId w:val="31"/>
  </w:num>
  <w:num w:numId="33">
    <w:abstractNumId w:val="0"/>
  </w:num>
  <w:num w:numId="34">
    <w:abstractNumId w:val="5"/>
  </w:num>
  <w:num w:numId="35">
    <w:abstractNumId w:val="34"/>
  </w:num>
  <w:num w:numId="36">
    <w:abstractNumId w:val="21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D6D06"/>
    <w:rsid w:val="00007F34"/>
    <w:rsid w:val="00050B63"/>
    <w:rsid w:val="00056DA6"/>
    <w:rsid w:val="00063A51"/>
    <w:rsid w:val="00074A7C"/>
    <w:rsid w:val="000943CA"/>
    <w:rsid w:val="000A487B"/>
    <w:rsid w:val="000A6DEF"/>
    <w:rsid w:val="000B08BD"/>
    <w:rsid w:val="000E36F8"/>
    <w:rsid w:val="000E37ED"/>
    <w:rsid w:val="000E4A40"/>
    <w:rsid w:val="000F62EC"/>
    <w:rsid w:val="00120346"/>
    <w:rsid w:val="001232C5"/>
    <w:rsid w:val="001265D1"/>
    <w:rsid w:val="0012799B"/>
    <w:rsid w:val="001327E2"/>
    <w:rsid w:val="001404B4"/>
    <w:rsid w:val="00165263"/>
    <w:rsid w:val="00195894"/>
    <w:rsid w:val="001B14B0"/>
    <w:rsid w:val="001B48D6"/>
    <w:rsid w:val="001D698F"/>
    <w:rsid w:val="001E0C8E"/>
    <w:rsid w:val="001E4DA6"/>
    <w:rsid w:val="001E7489"/>
    <w:rsid w:val="002020B8"/>
    <w:rsid w:val="0021552E"/>
    <w:rsid w:val="00215F73"/>
    <w:rsid w:val="00235F7E"/>
    <w:rsid w:val="00241D2B"/>
    <w:rsid w:val="00255C99"/>
    <w:rsid w:val="002560B9"/>
    <w:rsid w:val="00273429"/>
    <w:rsid w:val="00282435"/>
    <w:rsid w:val="00290A98"/>
    <w:rsid w:val="002B68DF"/>
    <w:rsid w:val="002C72E8"/>
    <w:rsid w:val="002D626E"/>
    <w:rsid w:val="002E16D1"/>
    <w:rsid w:val="002E6C19"/>
    <w:rsid w:val="002F6454"/>
    <w:rsid w:val="00310023"/>
    <w:rsid w:val="003105AA"/>
    <w:rsid w:val="003107B9"/>
    <w:rsid w:val="003131A6"/>
    <w:rsid w:val="00316D54"/>
    <w:rsid w:val="00320FFC"/>
    <w:rsid w:val="00325AFA"/>
    <w:rsid w:val="00327114"/>
    <w:rsid w:val="00340A82"/>
    <w:rsid w:val="00357680"/>
    <w:rsid w:val="00363EA9"/>
    <w:rsid w:val="0039181D"/>
    <w:rsid w:val="00392E55"/>
    <w:rsid w:val="003B325D"/>
    <w:rsid w:val="003C74A2"/>
    <w:rsid w:val="003D0D57"/>
    <w:rsid w:val="003D2B18"/>
    <w:rsid w:val="00415AC4"/>
    <w:rsid w:val="00444603"/>
    <w:rsid w:val="004563DD"/>
    <w:rsid w:val="00456E94"/>
    <w:rsid w:val="0047031B"/>
    <w:rsid w:val="00475C3F"/>
    <w:rsid w:val="00485DBE"/>
    <w:rsid w:val="00495EB3"/>
    <w:rsid w:val="004A41FB"/>
    <w:rsid w:val="004C3470"/>
    <w:rsid w:val="004D7FBF"/>
    <w:rsid w:val="004E301F"/>
    <w:rsid w:val="00504F29"/>
    <w:rsid w:val="0051270A"/>
    <w:rsid w:val="00512A53"/>
    <w:rsid w:val="005155E0"/>
    <w:rsid w:val="00525E72"/>
    <w:rsid w:val="00527BA9"/>
    <w:rsid w:val="00531AC6"/>
    <w:rsid w:val="005459CB"/>
    <w:rsid w:val="005647D1"/>
    <w:rsid w:val="00564949"/>
    <w:rsid w:val="00564E7A"/>
    <w:rsid w:val="005829DA"/>
    <w:rsid w:val="00590CA0"/>
    <w:rsid w:val="005928D4"/>
    <w:rsid w:val="005E54B0"/>
    <w:rsid w:val="00607E0F"/>
    <w:rsid w:val="00616885"/>
    <w:rsid w:val="006316CF"/>
    <w:rsid w:val="006472A1"/>
    <w:rsid w:val="00665DE1"/>
    <w:rsid w:val="006B4B0C"/>
    <w:rsid w:val="006D0420"/>
    <w:rsid w:val="006F082E"/>
    <w:rsid w:val="00705599"/>
    <w:rsid w:val="00723003"/>
    <w:rsid w:val="00731B9A"/>
    <w:rsid w:val="00736610"/>
    <w:rsid w:val="00744606"/>
    <w:rsid w:val="007520D8"/>
    <w:rsid w:val="007573D1"/>
    <w:rsid w:val="00763099"/>
    <w:rsid w:val="007854EB"/>
    <w:rsid w:val="007A7FED"/>
    <w:rsid w:val="007B02BA"/>
    <w:rsid w:val="007C7B53"/>
    <w:rsid w:val="0080129C"/>
    <w:rsid w:val="008102F2"/>
    <w:rsid w:val="0082541C"/>
    <w:rsid w:val="008372B8"/>
    <w:rsid w:val="008618B7"/>
    <w:rsid w:val="00882F7F"/>
    <w:rsid w:val="00886563"/>
    <w:rsid w:val="0088672E"/>
    <w:rsid w:val="00887D89"/>
    <w:rsid w:val="00891661"/>
    <w:rsid w:val="0089656A"/>
    <w:rsid w:val="008A38D7"/>
    <w:rsid w:val="008B0558"/>
    <w:rsid w:val="008D2B1C"/>
    <w:rsid w:val="008E32CF"/>
    <w:rsid w:val="008E7691"/>
    <w:rsid w:val="008E7AA1"/>
    <w:rsid w:val="008F7419"/>
    <w:rsid w:val="009026F3"/>
    <w:rsid w:val="009221B0"/>
    <w:rsid w:val="009432EF"/>
    <w:rsid w:val="00944BF6"/>
    <w:rsid w:val="0095217D"/>
    <w:rsid w:val="00972221"/>
    <w:rsid w:val="00976F0A"/>
    <w:rsid w:val="009974EC"/>
    <w:rsid w:val="009B6E0D"/>
    <w:rsid w:val="009D63A4"/>
    <w:rsid w:val="009E2EC5"/>
    <w:rsid w:val="009E5887"/>
    <w:rsid w:val="009F17CB"/>
    <w:rsid w:val="009F18DC"/>
    <w:rsid w:val="00A0068C"/>
    <w:rsid w:val="00A04DEB"/>
    <w:rsid w:val="00A32217"/>
    <w:rsid w:val="00A3347C"/>
    <w:rsid w:val="00A33F79"/>
    <w:rsid w:val="00A61697"/>
    <w:rsid w:val="00A81A34"/>
    <w:rsid w:val="00AA20CA"/>
    <w:rsid w:val="00AB15DF"/>
    <w:rsid w:val="00AD1EB1"/>
    <w:rsid w:val="00AD58D6"/>
    <w:rsid w:val="00B11798"/>
    <w:rsid w:val="00B210A7"/>
    <w:rsid w:val="00B35BD7"/>
    <w:rsid w:val="00B404E0"/>
    <w:rsid w:val="00B7073D"/>
    <w:rsid w:val="00B8402D"/>
    <w:rsid w:val="00BB156C"/>
    <w:rsid w:val="00BC1A1D"/>
    <w:rsid w:val="00BC39D8"/>
    <w:rsid w:val="00BE4422"/>
    <w:rsid w:val="00BF1D81"/>
    <w:rsid w:val="00BF4A50"/>
    <w:rsid w:val="00BF6A8C"/>
    <w:rsid w:val="00C026CA"/>
    <w:rsid w:val="00C22F7E"/>
    <w:rsid w:val="00C25484"/>
    <w:rsid w:val="00C32A32"/>
    <w:rsid w:val="00C34958"/>
    <w:rsid w:val="00C5731A"/>
    <w:rsid w:val="00C63EA6"/>
    <w:rsid w:val="00C95BAA"/>
    <w:rsid w:val="00CA1F75"/>
    <w:rsid w:val="00CC74DD"/>
    <w:rsid w:val="00CF2BB3"/>
    <w:rsid w:val="00D054CB"/>
    <w:rsid w:val="00D0668E"/>
    <w:rsid w:val="00D07161"/>
    <w:rsid w:val="00D525A1"/>
    <w:rsid w:val="00D56D73"/>
    <w:rsid w:val="00D74B92"/>
    <w:rsid w:val="00DA0DD6"/>
    <w:rsid w:val="00DC4435"/>
    <w:rsid w:val="00DD2BB9"/>
    <w:rsid w:val="00DD6D06"/>
    <w:rsid w:val="00E01F68"/>
    <w:rsid w:val="00E07607"/>
    <w:rsid w:val="00E133F2"/>
    <w:rsid w:val="00E22D4D"/>
    <w:rsid w:val="00E41C7A"/>
    <w:rsid w:val="00E65CF7"/>
    <w:rsid w:val="00E902DE"/>
    <w:rsid w:val="00E9456C"/>
    <w:rsid w:val="00EE16AF"/>
    <w:rsid w:val="00F12FD4"/>
    <w:rsid w:val="00F2170F"/>
    <w:rsid w:val="00F27F69"/>
    <w:rsid w:val="00F30707"/>
    <w:rsid w:val="00F41714"/>
    <w:rsid w:val="00F50A03"/>
    <w:rsid w:val="00F5600C"/>
    <w:rsid w:val="00F801D4"/>
    <w:rsid w:val="00F81B89"/>
    <w:rsid w:val="00F87023"/>
    <w:rsid w:val="00FA515B"/>
    <w:rsid w:val="00FC181B"/>
    <w:rsid w:val="00FC1E5A"/>
    <w:rsid w:val="00FC1F65"/>
    <w:rsid w:val="00FC5DAB"/>
    <w:rsid w:val="00FE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03"/>
  </w:style>
  <w:style w:type="paragraph" w:styleId="Heading1">
    <w:name w:val="heading 1"/>
    <w:basedOn w:val="Normal"/>
    <w:next w:val="Normal"/>
    <w:link w:val="Heading1Char"/>
    <w:uiPriority w:val="9"/>
    <w:qFormat/>
    <w:rsid w:val="00C5731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Batang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70F"/>
    <w:pPr>
      <w:keepNext/>
      <w:numPr>
        <w:numId w:val="7"/>
      </w:numPr>
      <w:tabs>
        <w:tab w:val="center" w:pos="4680"/>
        <w:tab w:val="right" w:pos="9360"/>
      </w:tabs>
      <w:spacing w:after="0" w:line="240" w:lineRule="auto"/>
      <w:ind w:left="360"/>
      <w:outlineLvl w:val="1"/>
    </w:pPr>
    <w:rPr>
      <w:rFonts w:ascii="Calibri" w:eastAsia="Calibri" w:hAnsi="Calibri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42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Batang" w:hAnsi="Times New Roman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31A"/>
    <w:rPr>
      <w:rFonts w:ascii="Times New Roman" w:eastAsia="Batang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0E3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B8"/>
  </w:style>
  <w:style w:type="paragraph" w:styleId="Footer">
    <w:name w:val="footer"/>
    <w:basedOn w:val="Normal"/>
    <w:link w:val="FooterChar"/>
    <w:uiPriority w:val="99"/>
    <w:unhideWhenUsed/>
    <w:rsid w:val="0083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B8"/>
  </w:style>
  <w:style w:type="character" w:customStyle="1" w:styleId="Heading2Char">
    <w:name w:val="Heading 2 Char"/>
    <w:basedOn w:val="DefaultParagraphFont"/>
    <w:link w:val="Heading2"/>
    <w:uiPriority w:val="9"/>
    <w:rsid w:val="00F2170F"/>
    <w:rPr>
      <w:rFonts w:ascii="Calibri" w:eastAsia="Calibri" w:hAnsi="Calibri" w:cs="Times New Roman"/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F30707"/>
    <w:pPr>
      <w:snapToGrid w:val="0"/>
      <w:spacing w:line="240" w:lineRule="auto"/>
    </w:pPr>
    <w:rPr>
      <w:rFonts w:ascii="Times New Roman" w:eastAsia="Times New Roman" w:hAnsi="Times New Roman"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30707"/>
    <w:rPr>
      <w:rFonts w:ascii="Times New Roman" w:eastAsia="Times New Roman" w:hAnsi="Times New Roman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D0420"/>
    <w:rPr>
      <w:rFonts w:ascii="Times New Roman" w:eastAsia="Batang" w:hAnsi="Times New Roman" w:cs="Times New Roman"/>
      <w:b/>
      <w:bCs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65CF7"/>
    <w:pPr>
      <w:snapToGrid w:val="0"/>
      <w:spacing w:line="240" w:lineRule="auto"/>
      <w:ind w:left="-90"/>
    </w:pPr>
    <w:rPr>
      <w:rFonts w:ascii="Times New Roman" w:eastAsia="Times New Roman" w:hAnsi="Times New Roman"/>
      <w:spacing w:val="-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65CF7"/>
    <w:rPr>
      <w:rFonts w:ascii="Times New Roman" w:eastAsia="Times New Roman" w:hAnsi="Times New Roman"/>
      <w:spacing w:val="-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31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Batang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70F"/>
    <w:pPr>
      <w:keepNext/>
      <w:numPr>
        <w:numId w:val="7"/>
      </w:numPr>
      <w:tabs>
        <w:tab w:val="center" w:pos="4680"/>
        <w:tab w:val="right" w:pos="9360"/>
      </w:tabs>
      <w:spacing w:after="0" w:line="240" w:lineRule="auto"/>
      <w:ind w:left="360"/>
      <w:outlineLvl w:val="1"/>
    </w:pPr>
    <w:rPr>
      <w:rFonts w:ascii="Calibri" w:eastAsia="Calibri" w:hAnsi="Calibri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42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Batang" w:hAnsi="Times New Roman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31A"/>
    <w:rPr>
      <w:rFonts w:ascii="Times New Roman" w:eastAsia="Batang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0E3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B8"/>
  </w:style>
  <w:style w:type="paragraph" w:styleId="Footer">
    <w:name w:val="footer"/>
    <w:basedOn w:val="Normal"/>
    <w:link w:val="FooterChar"/>
    <w:uiPriority w:val="99"/>
    <w:unhideWhenUsed/>
    <w:rsid w:val="0083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B8"/>
  </w:style>
  <w:style w:type="character" w:customStyle="1" w:styleId="Heading2Char">
    <w:name w:val="Heading 2 Char"/>
    <w:basedOn w:val="DefaultParagraphFont"/>
    <w:link w:val="Heading2"/>
    <w:uiPriority w:val="9"/>
    <w:rsid w:val="00F2170F"/>
    <w:rPr>
      <w:rFonts w:ascii="Calibri" w:eastAsia="Calibri" w:hAnsi="Calibri" w:cs="Times New Roman"/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F30707"/>
    <w:pPr>
      <w:snapToGrid w:val="0"/>
      <w:spacing w:line="240" w:lineRule="auto"/>
    </w:pPr>
    <w:rPr>
      <w:rFonts w:ascii="Times New Roman" w:eastAsia="Times New Roman" w:hAnsi="Times New Roman"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30707"/>
    <w:rPr>
      <w:rFonts w:ascii="Times New Roman" w:eastAsia="Times New Roman" w:hAnsi="Times New Roman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D0420"/>
    <w:rPr>
      <w:rFonts w:ascii="Times New Roman" w:eastAsia="Batang" w:hAnsi="Times New Roman" w:cs="Times New Roman"/>
      <w:b/>
      <w:bCs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65CF7"/>
    <w:pPr>
      <w:snapToGrid w:val="0"/>
      <w:spacing w:line="240" w:lineRule="auto"/>
      <w:ind w:left="-90"/>
    </w:pPr>
    <w:rPr>
      <w:rFonts w:ascii="Times New Roman" w:eastAsia="Times New Roman" w:hAnsi="Times New Roman"/>
      <w:spacing w:val="-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65CF7"/>
    <w:rPr>
      <w:rFonts w:ascii="Times New Roman" w:eastAsia="Times New Roman" w:hAnsi="Times New Roman"/>
      <w:spacing w:val="-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2014-04-25T04:00:00+00:00</Publication_x0020_Date>
    <Audience1 xmlns="3a62de7d-ba57-4f43-9dae-9623ba637be0"/>
    <_dlc_DocId xmlns="3a62de7d-ba57-4f43-9dae-9623ba637be0">KYED-463-117</_dlc_DocId>
    <_dlc_DocIdUrl xmlns="3a62de7d-ba57-4f43-9dae-9623ba637be0">
      <Url>http://education.ky.gov/teachers/PGES/_layouts/DocIdRedir.aspx?ID=KYED-463-117</Url>
      <Description>KYED-463-117</Description>
    </_dlc_DocIdUrl>
    <_dlc_DocIdPersistId xmlns="3a62de7d-ba57-4f43-9dae-9623ba637be0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03C17FF45F9A2048BEA0781CD638FD38" ma:contentTypeVersion="17" ma:contentTypeDescription="" ma:contentTypeScope="" ma:versionID="9f9b05ce9d2e031b2c8591bca225789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B741-D104-4A70-9176-F743E667DE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2.xml><?xml version="1.0" encoding="utf-8"?>
<ds:datastoreItem xmlns:ds="http://schemas.openxmlformats.org/officeDocument/2006/customXml" ds:itemID="{31E9491C-46D9-4A30-8FF6-95963AF2EA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870C13-0E37-4521-8499-E43E7C524D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8BF51A-431E-4672-A469-8438D35EA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946A61-3656-42BC-8C60-735C87A4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Amanda - Office of Next Generation Learners</dc:creator>
  <cp:lastModifiedBy>mmaples</cp:lastModifiedBy>
  <cp:revision>2</cp:revision>
  <cp:lastPrinted>2016-03-14T14:07:00Z</cp:lastPrinted>
  <dcterms:created xsi:type="dcterms:W3CDTF">2016-03-14T14:08:00Z</dcterms:created>
  <dcterms:modified xsi:type="dcterms:W3CDTF">2016-03-14T14:08:00Z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0x0101001BEB557DBE01834EAB47A683706DCD5B0003C17FF45F9A2048BEA0781CD638FD38</vt:lpwstr>
  </property>
  <property fmtid="{D5CDD505-2E9C-101B-9397-08002B2CF9AE}" pid="3" name="_dlc_DocIdItemGuid">
    <vt:lpwstr>a994912d-697a-4129-b206-abd2ece67ba8</vt:lpwstr>
  </property>
  <property fmtid="{D5CDD505-2E9C-101B-9397-08002B2CF9AE}" pid="4" name="Order">
    <vt:r8>5300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</Properties>
</file>