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72" w:type="dxa"/>
          <w:left w:w="115" w:type="dxa"/>
          <w:bottom w:w="144" w:type="dxa"/>
          <w:right w:w="115" w:type="dxa"/>
        </w:tblCellMar>
        <w:tblLook w:val="04A0" w:firstRow="1" w:lastRow="0" w:firstColumn="1" w:lastColumn="0" w:noHBand="0" w:noVBand="1"/>
      </w:tblPr>
      <w:tblGrid>
        <w:gridCol w:w="2785"/>
        <w:gridCol w:w="6565"/>
      </w:tblGrid>
      <w:tr w:rsidR="006062F8" w:rsidRPr="006E3562" w14:paraId="4287B8F1" w14:textId="77777777" w:rsidTr="71591E27">
        <w:trPr>
          <w:trHeight w:val="503"/>
          <w:tblHeader/>
        </w:trPr>
        <w:tc>
          <w:tcPr>
            <w:tcW w:w="2785" w:type="dxa"/>
            <w:shd w:val="clear" w:color="auto" w:fill="C5E0B3" w:themeFill="accent6" w:themeFillTint="66"/>
            <w:vAlign w:val="center"/>
          </w:tcPr>
          <w:p w14:paraId="5BE5735E" w14:textId="77777777" w:rsidR="001252DB" w:rsidRPr="006E3562" w:rsidRDefault="003A0F5A" w:rsidP="003A0F5A">
            <w:pPr>
              <w:jc w:val="center"/>
              <w:rPr>
                <w:b/>
                <w:sz w:val="24"/>
                <w:szCs w:val="28"/>
              </w:rPr>
            </w:pPr>
            <w:r w:rsidRPr="006E3562">
              <w:rPr>
                <w:b/>
                <w:sz w:val="24"/>
                <w:szCs w:val="28"/>
              </w:rPr>
              <w:t>Topic</w:t>
            </w:r>
          </w:p>
        </w:tc>
        <w:tc>
          <w:tcPr>
            <w:tcW w:w="6565" w:type="dxa"/>
            <w:shd w:val="clear" w:color="auto" w:fill="C5E0B3" w:themeFill="accent6" w:themeFillTint="66"/>
            <w:vAlign w:val="center"/>
          </w:tcPr>
          <w:p w14:paraId="077C3A01" w14:textId="77777777" w:rsidR="001252DB" w:rsidRPr="006E3562" w:rsidRDefault="003A0F5A" w:rsidP="003A0F5A">
            <w:pPr>
              <w:jc w:val="center"/>
              <w:rPr>
                <w:b/>
                <w:sz w:val="28"/>
              </w:rPr>
            </w:pPr>
            <w:r w:rsidRPr="006E3562">
              <w:rPr>
                <w:b/>
                <w:sz w:val="28"/>
              </w:rPr>
              <w:t>Key Concepts</w:t>
            </w:r>
          </w:p>
        </w:tc>
      </w:tr>
      <w:tr w:rsidR="006062F8" w:rsidRPr="006E3562" w14:paraId="5E620C87" w14:textId="77777777" w:rsidTr="71591E27">
        <w:trPr>
          <w:cantSplit/>
        </w:trPr>
        <w:tc>
          <w:tcPr>
            <w:tcW w:w="2785" w:type="dxa"/>
          </w:tcPr>
          <w:p w14:paraId="020BDC49" w14:textId="77777777" w:rsidR="003A4841" w:rsidRPr="006E3562" w:rsidRDefault="009E3E0E">
            <w:pPr>
              <w:rPr>
                <w:b/>
                <w:sz w:val="24"/>
                <w:szCs w:val="28"/>
              </w:rPr>
            </w:pPr>
            <w:r w:rsidRPr="006E3562">
              <w:rPr>
                <w:b/>
                <w:sz w:val="24"/>
                <w:szCs w:val="28"/>
              </w:rPr>
              <w:t>Central Premise</w:t>
            </w:r>
            <w:r w:rsidR="007F25A1" w:rsidRPr="006E3562">
              <w:rPr>
                <w:b/>
                <w:sz w:val="24"/>
                <w:szCs w:val="28"/>
              </w:rPr>
              <w:t>s</w:t>
            </w:r>
          </w:p>
        </w:tc>
        <w:tc>
          <w:tcPr>
            <w:tcW w:w="6565" w:type="dxa"/>
          </w:tcPr>
          <w:p w14:paraId="2653BE4C" w14:textId="0FC52EA9" w:rsidR="009E3E0E" w:rsidRPr="006E3562" w:rsidRDefault="009E3E0E" w:rsidP="009E3E0E">
            <w:pPr>
              <w:pStyle w:val="ListParagraph"/>
              <w:numPr>
                <w:ilvl w:val="0"/>
                <w:numId w:val="1"/>
              </w:numPr>
            </w:pPr>
            <w:r w:rsidRPr="006E3562">
              <w:t>It is in the best interest of the AR Group and OMU for Ky</w:t>
            </w:r>
            <w:r w:rsidR="007D524C" w:rsidRPr="006E3562">
              <w:t xml:space="preserve">MEA, </w:t>
            </w:r>
            <w:r w:rsidRPr="006E3562">
              <w:t>through staffing and third party contracts</w:t>
            </w:r>
            <w:r w:rsidR="007D524C" w:rsidRPr="006E3562">
              <w:t>, to perform scheduling,</w:t>
            </w:r>
            <w:r w:rsidR="00ED59C7" w:rsidRPr="006E3562">
              <w:t xml:space="preserve"> unit commitment,</w:t>
            </w:r>
            <w:r w:rsidR="007D524C" w:rsidRPr="006E3562">
              <w:t xml:space="preserve"> dispatching, short and long term resource planning, </w:t>
            </w:r>
            <w:r w:rsidRPr="006E3562">
              <w:t xml:space="preserve">market </w:t>
            </w:r>
            <w:r w:rsidR="007D524C" w:rsidRPr="006E3562">
              <w:t>interaction</w:t>
            </w:r>
            <w:r w:rsidR="009206B1">
              <w:t>, and power supply related risk management</w:t>
            </w:r>
            <w:r w:rsidR="007D524C" w:rsidRPr="006E3562">
              <w:t xml:space="preserve"> functions </w:t>
            </w:r>
            <w:r w:rsidRPr="006E3562">
              <w:t xml:space="preserve">on behalf of the </w:t>
            </w:r>
            <w:r w:rsidR="007D524C" w:rsidRPr="006E3562">
              <w:t>KyMEA Members that choose to participate in the KyMEA Energy Pool</w:t>
            </w:r>
            <w:r w:rsidRPr="006E3562">
              <w:t>.</w:t>
            </w:r>
          </w:p>
          <w:p w14:paraId="5264DFE7" w14:textId="0431A472" w:rsidR="003A4841" w:rsidRPr="006E3562" w:rsidRDefault="00ED59C7" w:rsidP="007D524C">
            <w:pPr>
              <w:pStyle w:val="ListParagraph"/>
              <w:numPr>
                <w:ilvl w:val="0"/>
                <w:numId w:val="1"/>
              </w:numPr>
            </w:pPr>
            <w:r w:rsidRPr="006E3562">
              <w:t>The following draft assumes that will r</w:t>
            </w:r>
            <w:r w:rsidR="007D524C" w:rsidRPr="006E3562">
              <w:t>ely on KyMEA for those functions in order to relieve OMU of the need to self-perform and pay directly for those same functions</w:t>
            </w:r>
            <w:r w:rsidR="009E3E0E" w:rsidRPr="006E3562">
              <w:t>.</w:t>
            </w:r>
            <w:r w:rsidRPr="006E3562">
              <w:t xml:space="preserve">  If OMU decides not to do so, then some modifications would be necessary.</w:t>
            </w:r>
          </w:p>
          <w:p w14:paraId="61D87BA8" w14:textId="77777777" w:rsidR="007F25A1" w:rsidRPr="006E3562" w:rsidRDefault="007F25A1" w:rsidP="007D524C">
            <w:pPr>
              <w:pStyle w:val="ListParagraph"/>
              <w:numPr>
                <w:ilvl w:val="0"/>
                <w:numId w:val="1"/>
              </w:numPr>
            </w:pPr>
            <w:r w:rsidRPr="006E3562">
              <w:t>OMU would plan to become an All Requirements Member of KyMEA upon retirement of ESS.</w:t>
            </w:r>
          </w:p>
        </w:tc>
      </w:tr>
      <w:tr w:rsidR="006062F8" w:rsidRPr="006E3562" w14:paraId="1A435570" w14:textId="77777777" w:rsidTr="71591E27">
        <w:trPr>
          <w:cantSplit/>
        </w:trPr>
        <w:tc>
          <w:tcPr>
            <w:tcW w:w="2785" w:type="dxa"/>
          </w:tcPr>
          <w:p w14:paraId="71F5DA77" w14:textId="77777777" w:rsidR="009E3E0E" w:rsidRPr="006E3562" w:rsidRDefault="009E3E0E" w:rsidP="00266D38">
            <w:pPr>
              <w:rPr>
                <w:b/>
                <w:sz w:val="24"/>
                <w:szCs w:val="28"/>
              </w:rPr>
            </w:pPr>
            <w:r w:rsidRPr="006E3562">
              <w:rPr>
                <w:b/>
                <w:sz w:val="24"/>
                <w:szCs w:val="28"/>
              </w:rPr>
              <w:t>Pool Participants</w:t>
            </w:r>
          </w:p>
        </w:tc>
        <w:tc>
          <w:tcPr>
            <w:tcW w:w="6565" w:type="dxa"/>
          </w:tcPr>
          <w:p w14:paraId="66E4E42D" w14:textId="15F4BDA7" w:rsidR="00ED59C7" w:rsidRPr="006E3562" w:rsidRDefault="00ED59C7" w:rsidP="00266D38">
            <w:pPr>
              <w:pStyle w:val="ListParagraph"/>
              <w:numPr>
                <w:ilvl w:val="0"/>
                <w:numId w:val="1"/>
              </w:numPr>
            </w:pPr>
            <w:r w:rsidRPr="006E3562">
              <w:t>This draft assumes there would be two Pool Participants:</w:t>
            </w:r>
          </w:p>
          <w:p w14:paraId="38C4BF11" w14:textId="69DB7465" w:rsidR="00ED59C7" w:rsidRPr="006E3562" w:rsidRDefault="00ED59C7" w:rsidP="00ED59C7">
            <w:pPr>
              <w:pStyle w:val="ListParagraph"/>
              <w:numPr>
                <w:ilvl w:val="1"/>
                <w:numId w:val="1"/>
              </w:numPr>
            </w:pPr>
            <w:r w:rsidRPr="006E3562">
              <w:t xml:space="preserve">the </w:t>
            </w:r>
            <w:r w:rsidR="009E3E0E" w:rsidRPr="006E3562">
              <w:t>KyMEA All Requirements Gro</w:t>
            </w:r>
            <w:r w:rsidRPr="006E3562">
              <w:t>up (AR Group); and</w:t>
            </w:r>
          </w:p>
          <w:p w14:paraId="057A2FC2" w14:textId="6EE2BD06" w:rsidR="009E3E0E" w:rsidRPr="006E3562" w:rsidRDefault="009E3E0E" w:rsidP="00ED59C7">
            <w:pPr>
              <w:pStyle w:val="ListParagraph"/>
              <w:numPr>
                <w:ilvl w:val="1"/>
                <w:numId w:val="1"/>
              </w:numPr>
            </w:pPr>
            <w:r w:rsidRPr="006E3562">
              <w:t xml:space="preserve">OMU.  </w:t>
            </w:r>
          </w:p>
          <w:p w14:paraId="2C70C1BB" w14:textId="12808C0C" w:rsidR="009E3E0E" w:rsidRPr="006E3562" w:rsidRDefault="009E3E0E" w:rsidP="00ED59C7">
            <w:pPr>
              <w:pStyle w:val="ListParagraph"/>
              <w:numPr>
                <w:ilvl w:val="0"/>
                <w:numId w:val="1"/>
              </w:numPr>
            </w:pPr>
            <w:r w:rsidRPr="006E3562">
              <w:t xml:space="preserve">Participation would be </w:t>
            </w:r>
            <w:r w:rsidR="00ED59C7" w:rsidRPr="006E3562">
              <w:t xml:space="preserve">open </w:t>
            </w:r>
            <w:r w:rsidRPr="006E3562">
              <w:t>to other future KyMEA Members</w:t>
            </w:r>
            <w:r w:rsidR="00ED59C7" w:rsidRPr="006E3562">
              <w:t xml:space="preserve"> and the concepts described below would be scalable to a larger number of participants</w:t>
            </w:r>
            <w:r w:rsidRPr="006E3562">
              <w:t>.</w:t>
            </w:r>
          </w:p>
        </w:tc>
      </w:tr>
      <w:tr w:rsidR="006062F8" w:rsidRPr="006E3562" w14:paraId="6AFDE042" w14:textId="77777777" w:rsidTr="71591E27">
        <w:trPr>
          <w:cantSplit/>
        </w:trPr>
        <w:tc>
          <w:tcPr>
            <w:tcW w:w="2785" w:type="dxa"/>
          </w:tcPr>
          <w:p w14:paraId="5C5043F6" w14:textId="77777777" w:rsidR="00030EA5" w:rsidRPr="006E3562" w:rsidRDefault="00030EA5">
            <w:pPr>
              <w:rPr>
                <w:b/>
                <w:sz w:val="24"/>
                <w:szCs w:val="28"/>
              </w:rPr>
            </w:pPr>
            <w:r w:rsidRPr="006E3562">
              <w:rPr>
                <w:b/>
                <w:sz w:val="24"/>
                <w:szCs w:val="28"/>
              </w:rPr>
              <w:t>Overarching Pool Concept</w:t>
            </w:r>
          </w:p>
        </w:tc>
        <w:tc>
          <w:tcPr>
            <w:tcW w:w="6565" w:type="dxa"/>
          </w:tcPr>
          <w:p w14:paraId="2F07E73C" w14:textId="3DFCFB25" w:rsidR="00ED59C7" w:rsidRPr="006E3562" w:rsidRDefault="00030EA5" w:rsidP="00ED59C7">
            <w:pPr>
              <w:pStyle w:val="ListParagraph"/>
              <w:numPr>
                <w:ilvl w:val="0"/>
                <w:numId w:val="1"/>
              </w:numPr>
            </w:pPr>
            <w:r w:rsidRPr="006E3562">
              <w:t xml:space="preserve">The pool should operate to the benefit of all </w:t>
            </w:r>
            <w:r w:rsidR="00BC32EA" w:rsidRPr="006E3562">
              <w:t>Pool Participants</w:t>
            </w:r>
            <w:r w:rsidR="00ED59C7" w:rsidRPr="006E3562">
              <w:t>.</w:t>
            </w:r>
          </w:p>
          <w:p w14:paraId="142E9DEB" w14:textId="4A988614" w:rsidR="00030EA5" w:rsidRPr="006E3562" w:rsidRDefault="00ED59C7" w:rsidP="00ED59C7">
            <w:pPr>
              <w:pStyle w:val="ListParagraph"/>
              <w:numPr>
                <w:ilvl w:val="0"/>
                <w:numId w:val="1"/>
              </w:numPr>
            </w:pPr>
            <w:r w:rsidRPr="006E3562">
              <w:t>T</w:t>
            </w:r>
            <w:r w:rsidR="00030EA5" w:rsidRPr="006E3562">
              <w:t xml:space="preserve">he benefits </w:t>
            </w:r>
            <w:r w:rsidR="005C680A" w:rsidRPr="006E3562">
              <w:t xml:space="preserve">and costs </w:t>
            </w:r>
            <w:r w:rsidR="00030EA5" w:rsidRPr="006E3562">
              <w:t>of the pool should be reasonably allocated among the participants.</w:t>
            </w:r>
          </w:p>
        </w:tc>
      </w:tr>
      <w:tr w:rsidR="006062F8" w:rsidRPr="006E3562" w14:paraId="67B3CE67" w14:textId="77777777" w:rsidTr="71591E27">
        <w:trPr>
          <w:cantSplit/>
        </w:trPr>
        <w:tc>
          <w:tcPr>
            <w:tcW w:w="2785" w:type="dxa"/>
          </w:tcPr>
          <w:p w14:paraId="073E47E8" w14:textId="77777777" w:rsidR="00816060" w:rsidRPr="006E3562" w:rsidRDefault="005C7B88">
            <w:pPr>
              <w:rPr>
                <w:b/>
                <w:sz w:val="24"/>
                <w:szCs w:val="28"/>
              </w:rPr>
            </w:pPr>
            <w:r w:rsidRPr="006E3562">
              <w:rPr>
                <w:b/>
                <w:sz w:val="24"/>
                <w:szCs w:val="28"/>
              </w:rPr>
              <w:t>Term</w:t>
            </w:r>
            <w:r w:rsidR="007D524C" w:rsidRPr="006E3562">
              <w:rPr>
                <w:b/>
                <w:sz w:val="24"/>
                <w:szCs w:val="28"/>
              </w:rPr>
              <w:t xml:space="preserve"> of Pooling Agreement</w:t>
            </w:r>
          </w:p>
        </w:tc>
        <w:tc>
          <w:tcPr>
            <w:tcW w:w="6565" w:type="dxa"/>
          </w:tcPr>
          <w:p w14:paraId="0B69414B" w14:textId="77777777" w:rsidR="002E671F" w:rsidRPr="006E3562" w:rsidRDefault="002E671F" w:rsidP="002E671F">
            <w:pPr>
              <w:pStyle w:val="ListParagraph"/>
              <w:numPr>
                <w:ilvl w:val="0"/>
                <w:numId w:val="1"/>
              </w:numPr>
            </w:pPr>
            <w:r w:rsidRPr="006E3562">
              <w:t>The term would extend from May 1, 2019 until terminated in accordance with the agreement.</w:t>
            </w:r>
          </w:p>
          <w:p w14:paraId="7400B470" w14:textId="77777777" w:rsidR="005D3E01" w:rsidRPr="006E3562" w:rsidRDefault="002E671F" w:rsidP="005D3E01">
            <w:pPr>
              <w:pStyle w:val="ListParagraph"/>
              <w:numPr>
                <w:ilvl w:val="0"/>
                <w:numId w:val="1"/>
              </w:numPr>
            </w:pPr>
            <w:r w:rsidRPr="006E3562">
              <w:t xml:space="preserve">Termination notice could be </w:t>
            </w:r>
            <w:r w:rsidR="00927DEA" w:rsidRPr="006E3562">
              <w:t>a minimum of 3</w:t>
            </w:r>
            <w:r w:rsidRPr="006E3562">
              <w:t xml:space="preserve"> </w:t>
            </w:r>
            <w:r w:rsidR="007D524C" w:rsidRPr="006E3562">
              <w:t xml:space="preserve">to 5 </w:t>
            </w:r>
            <w:r w:rsidRPr="006E3562">
              <w:t>years.</w:t>
            </w:r>
            <w:r w:rsidR="00927DEA" w:rsidRPr="006E3562">
              <w:t xml:space="preserve"> (A longer term would facilitate more effective resource planning.)</w:t>
            </w:r>
          </w:p>
          <w:p w14:paraId="36FFBC8C" w14:textId="77777777" w:rsidR="005D3E01" w:rsidRPr="006E3562" w:rsidRDefault="007D524C" w:rsidP="007D524C">
            <w:pPr>
              <w:pStyle w:val="ListParagraph"/>
              <w:numPr>
                <w:ilvl w:val="0"/>
                <w:numId w:val="1"/>
              </w:numPr>
            </w:pPr>
            <w:r w:rsidRPr="006E3562">
              <w:t xml:space="preserve">OMU’s separate participation could be terminated when </w:t>
            </w:r>
            <w:r w:rsidR="005D3E01" w:rsidRPr="006E3562">
              <w:t>OMU retires the ESS units and is provided All Requirements Service by KyMEA</w:t>
            </w:r>
            <w:r w:rsidRPr="006E3562">
              <w:t>.</w:t>
            </w:r>
          </w:p>
        </w:tc>
      </w:tr>
      <w:tr w:rsidR="006062F8" w:rsidRPr="006E3562" w14:paraId="35000A74" w14:textId="77777777" w:rsidTr="71591E27">
        <w:trPr>
          <w:cantSplit/>
        </w:trPr>
        <w:tc>
          <w:tcPr>
            <w:tcW w:w="2785" w:type="dxa"/>
          </w:tcPr>
          <w:p w14:paraId="47A0EBE7" w14:textId="77777777" w:rsidR="00816060" w:rsidRPr="006E3562" w:rsidRDefault="00816060">
            <w:pPr>
              <w:rPr>
                <w:b/>
                <w:sz w:val="24"/>
                <w:szCs w:val="28"/>
              </w:rPr>
            </w:pPr>
            <w:r w:rsidRPr="006E3562">
              <w:rPr>
                <w:b/>
                <w:sz w:val="24"/>
                <w:szCs w:val="28"/>
              </w:rPr>
              <w:lastRenderedPageBreak/>
              <w:t>Resource Planning</w:t>
            </w:r>
          </w:p>
        </w:tc>
        <w:tc>
          <w:tcPr>
            <w:tcW w:w="6565" w:type="dxa"/>
          </w:tcPr>
          <w:p w14:paraId="62B88099" w14:textId="2220AEAB" w:rsidR="000C4407" w:rsidRPr="006E3562" w:rsidRDefault="00ED59C7" w:rsidP="00816060">
            <w:pPr>
              <w:pStyle w:val="ListParagraph"/>
              <w:numPr>
                <w:ilvl w:val="0"/>
                <w:numId w:val="1"/>
              </w:numPr>
            </w:pPr>
            <w:r w:rsidRPr="006E3562">
              <w:t xml:space="preserve">Planning of </w:t>
            </w:r>
            <w:r w:rsidR="00816060" w:rsidRPr="006E3562">
              <w:t>capacity resources to ser</w:t>
            </w:r>
            <w:r w:rsidR="007D524C" w:rsidRPr="006E3562">
              <w:t xml:space="preserve">ve capacity requirements </w:t>
            </w:r>
            <w:r w:rsidRPr="006E3562">
              <w:t xml:space="preserve">would be done </w:t>
            </w:r>
            <w:r w:rsidR="006E3562" w:rsidRPr="006E3562">
              <w:t xml:space="preserve">separately </w:t>
            </w:r>
            <w:r w:rsidRPr="006E3562">
              <w:t>for OMU and the AR Group, until t</w:t>
            </w:r>
            <w:r w:rsidR="007D524C" w:rsidRPr="006E3562">
              <w:t>he retirement of ESS</w:t>
            </w:r>
            <w:r w:rsidR="006E3562">
              <w:t xml:space="preserve"> and OMU commencing All Requirements service from KyMEA</w:t>
            </w:r>
            <w:r w:rsidR="007D524C" w:rsidRPr="006E3562">
              <w:t>.</w:t>
            </w:r>
          </w:p>
          <w:p w14:paraId="10009920" w14:textId="6EEDC171" w:rsidR="00816060" w:rsidRPr="006E3562" w:rsidRDefault="009206B1" w:rsidP="00816060">
            <w:pPr>
              <w:pStyle w:val="ListParagraph"/>
              <w:numPr>
                <w:ilvl w:val="0"/>
                <w:numId w:val="1"/>
              </w:numPr>
            </w:pPr>
            <w:r>
              <w:t>In all hours, e</w:t>
            </w:r>
            <w:r w:rsidR="71591E27" w:rsidRPr="006E3562">
              <w:t xml:space="preserve">ach </w:t>
            </w:r>
            <w:r w:rsidR="00CA0109">
              <w:t xml:space="preserve">Pool </w:t>
            </w:r>
            <w:r w:rsidR="00ED59C7" w:rsidRPr="006E3562">
              <w:t xml:space="preserve">Participant would provide </w:t>
            </w:r>
            <w:r>
              <w:t>enough capacity to meet that</w:t>
            </w:r>
            <w:r w:rsidR="71591E27" w:rsidRPr="006E3562">
              <w:t xml:space="preserve"> participant</w:t>
            </w:r>
            <w:r w:rsidR="00ED59C7" w:rsidRPr="006E3562">
              <w:t>’s</w:t>
            </w:r>
            <w:r w:rsidR="71591E27" w:rsidRPr="006E3562">
              <w:t xml:space="preserve"> load, plus </w:t>
            </w:r>
            <w:r>
              <w:t xml:space="preserve">energy obligations from </w:t>
            </w:r>
            <w:r w:rsidR="71591E27" w:rsidRPr="006E3562">
              <w:t xml:space="preserve">sales </w:t>
            </w:r>
            <w:r w:rsidR="003A5C21" w:rsidRPr="006E3562">
              <w:t xml:space="preserve">from that participant’s resources </w:t>
            </w:r>
            <w:r w:rsidR="71591E27" w:rsidRPr="006E3562">
              <w:t xml:space="preserve">to others, plus reserve capacity requirements. </w:t>
            </w:r>
          </w:p>
          <w:p w14:paraId="7F065FE5" w14:textId="77777777" w:rsidR="00816060" w:rsidRPr="006E3562" w:rsidRDefault="00816060" w:rsidP="00816060">
            <w:pPr>
              <w:pStyle w:val="ListParagraph"/>
              <w:numPr>
                <w:ilvl w:val="0"/>
                <w:numId w:val="1"/>
              </w:numPr>
            </w:pPr>
            <w:r w:rsidRPr="006E3562">
              <w:t>KyMEA would provide long term planning services for AR Members</w:t>
            </w:r>
            <w:r w:rsidR="000C4407" w:rsidRPr="006E3562">
              <w:t>.</w:t>
            </w:r>
          </w:p>
          <w:p w14:paraId="1575F3B3" w14:textId="77777777" w:rsidR="00816060" w:rsidRPr="006E3562" w:rsidRDefault="00816060" w:rsidP="00816060">
            <w:pPr>
              <w:pStyle w:val="ListParagraph"/>
              <w:numPr>
                <w:ilvl w:val="0"/>
                <w:numId w:val="1"/>
              </w:numPr>
            </w:pPr>
            <w:r w:rsidRPr="006E3562">
              <w:t xml:space="preserve">KyMEA </w:t>
            </w:r>
            <w:r w:rsidR="007F25A1" w:rsidRPr="006E3562">
              <w:t xml:space="preserve">could also provide </w:t>
            </w:r>
            <w:r w:rsidRPr="006E3562">
              <w:t xml:space="preserve">long term planning services </w:t>
            </w:r>
            <w:r w:rsidR="007F25A1" w:rsidRPr="006E3562">
              <w:t xml:space="preserve">to OMU </w:t>
            </w:r>
            <w:r w:rsidRPr="006E3562">
              <w:t xml:space="preserve">prior to </w:t>
            </w:r>
            <w:r w:rsidR="007F25A1" w:rsidRPr="006E3562">
              <w:t xml:space="preserve">OMU </w:t>
            </w:r>
            <w:r w:rsidRPr="006E3562">
              <w:t>becoming an AR Member</w:t>
            </w:r>
            <w:r w:rsidR="000C4407" w:rsidRPr="006E3562">
              <w:t>.</w:t>
            </w:r>
          </w:p>
          <w:p w14:paraId="7505EF4D" w14:textId="77777777" w:rsidR="00816060" w:rsidRPr="006E3562" w:rsidRDefault="00816060" w:rsidP="00816060">
            <w:pPr>
              <w:pStyle w:val="ListParagraph"/>
              <w:numPr>
                <w:ilvl w:val="0"/>
                <w:numId w:val="1"/>
              </w:numPr>
            </w:pPr>
            <w:r w:rsidRPr="006E3562">
              <w:t>OMU would make all decisions about ESS units 1 and 2</w:t>
            </w:r>
            <w:r w:rsidR="00D822B1" w:rsidRPr="006E3562">
              <w:t xml:space="preserve"> and other capacity resources</w:t>
            </w:r>
            <w:r w:rsidR="000C4407" w:rsidRPr="006E3562">
              <w:t>.</w:t>
            </w:r>
          </w:p>
          <w:p w14:paraId="2050BE10" w14:textId="15796372" w:rsidR="00816060" w:rsidRPr="006E3562" w:rsidRDefault="00D822B1" w:rsidP="00816060">
            <w:pPr>
              <w:pStyle w:val="ListParagraph"/>
              <w:numPr>
                <w:ilvl w:val="0"/>
                <w:numId w:val="1"/>
              </w:numPr>
            </w:pPr>
            <w:r w:rsidRPr="006E3562">
              <w:t xml:space="preserve">The AR </w:t>
            </w:r>
            <w:r w:rsidR="00ED59C7" w:rsidRPr="006E3562">
              <w:t xml:space="preserve">Group </w:t>
            </w:r>
            <w:r w:rsidRPr="006E3562">
              <w:t>M</w:t>
            </w:r>
            <w:r w:rsidR="000C4407" w:rsidRPr="006E3562">
              <w:t>embers would make all decisions</w:t>
            </w:r>
            <w:r w:rsidRPr="006E3562">
              <w:t xml:space="preserve"> </w:t>
            </w:r>
            <w:r w:rsidR="007F25A1" w:rsidRPr="006E3562">
              <w:t xml:space="preserve">regarding </w:t>
            </w:r>
            <w:r w:rsidR="00F35288" w:rsidRPr="006E3562">
              <w:t>the capacity resources used to serve their loads</w:t>
            </w:r>
            <w:r w:rsidR="000C4407" w:rsidRPr="006E3562">
              <w:t>.</w:t>
            </w:r>
          </w:p>
        </w:tc>
      </w:tr>
      <w:tr w:rsidR="006062F8" w:rsidRPr="006E3562" w14:paraId="1B794387" w14:textId="77777777" w:rsidTr="71591E27">
        <w:trPr>
          <w:cantSplit/>
        </w:trPr>
        <w:tc>
          <w:tcPr>
            <w:tcW w:w="2785" w:type="dxa"/>
          </w:tcPr>
          <w:p w14:paraId="096F3087" w14:textId="77777777" w:rsidR="001252DB" w:rsidRPr="006E3562" w:rsidRDefault="001252DB" w:rsidP="00816060">
            <w:pPr>
              <w:rPr>
                <w:b/>
                <w:sz w:val="24"/>
                <w:szCs w:val="28"/>
              </w:rPr>
            </w:pPr>
            <w:r w:rsidRPr="006E3562">
              <w:rPr>
                <w:b/>
                <w:sz w:val="24"/>
                <w:szCs w:val="28"/>
              </w:rPr>
              <w:t xml:space="preserve">Unit </w:t>
            </w:r>
            <w:r w:rsidR="00816060" w:rsidRPr="006E3562">
              <w:rPr>
                <w:b/>
                <w:sz w:val="24"/>
                <w:szCs w:val="28"/>
              </w:rPr>
              <w:t>Scheduling and C</w:t>
            </w:r>
            <w:r w:rsidRPr="006E3562">
              <w:rPr>
                <w:b/>
                <w:sz w:val="24"/>
                <w:szCs w:val="28"/>
              </w:rPr>
              <w:t>ommitment</w:t>
            </w:r>
          </w:p>
        </w:tc>
        <w:tc>
          <w:tcPr>
            <w:tcW w:w="6565" w:type="dxa"/>
          </w:tcPr>
          <w:p w14:paraId="33EBA3BB" w14:textId="77777777" w:rsidR="00223383" w:rsidRPr="006E3562" w:rsidRDefault="00223383" w:rsidP="00B269DF">
            <w:pPr>
              <w:pStyle w:val="ListParagraph"/>
              <w:numPr>
                <w:ilvl w:val="0"/>
                <w:numId w:val="3"/>
              </w:numPr>
            </w:pPr>
            <w:r w:rsidRPr="006E3562">
              <w:t>For this purpose,</w:t>
            </w:r>
          </w:p>
          <w:p w14:paraId="5E52CB52" w14:textId="63CB07C6" w:rsidR="00223383" w:rsidRPr="006E3562" w:rsidRDefault="00223383" w:rsidP="00223383">
            <w:pPr>
              <w:pStyle w:val="ListParagraph"/>
              <w:numPr>
                <w:ilvl w:val="1"/>
                <w:numId w:val="3"/>
              </w:numPr>
            </w:pPr>
            <w:r w:rsidRPr="006E3562">
              <w:t>“Participant</w:t>
            </w:r>
            <w:r w:rsidR="00B269DF" w:rsidRPr="006E3562">
              <w:t xml:space="preserve"> Load” includes the requirements of the participants to serve customers on their systems, plus obligations to deliver </w:t>
            </w:r>
            <w:r w:rsidRPr="006E3562">
              <w:t xml:space="preserve">capacity and </w:t>
            </w:r>
            <w:r w:rsidR="00B269DF" w:rsidRPr="006E3562">
              <w:t>energy from the participant’s resources under bi-lateral contracts</w:t>
            </w:r>
            <w:r w:rsidRPr="006E3562">
              <w:t xml:space="preserve"> with parties that are not </w:t>
            </w:r>
            <w:r w:rsidR="00BC32EA" w:rsidRPr="006E3562">
              <w:t>Pool Participants</w:t>
            </w:r>
            <w:r w:rsidRPr="006E3562">
              <w:t xml:space="preserve"> (e.g., capacity sales on behalf of OMU of surplus capacity into the PJM market)</w:t>
            </w:r>
            <w:r w:rsidR="00B269DF" w:rsidRPr="006E3562">
              <w:t xml:space="preserve">. </w:t>
            </w:r>
          </w:p>
          <w:p w14:paraId="66241F93" w14:textId="40F9A6B9" w:rsidR="00D822B1" w:rsidRDefault="00B269DF" w:rsidP="00223383">
            <w:pPr>
              <w:pStyle w:val="ListParagraph"/>
              <w:numPr>
                <w:ilvl w:val="1"/>
                <w:numId w:val="3"/>
              </w:numPr>
            </w:pPr>
            <w:r w:rsidRPr="006E3562">
              <w:t>“</w:t>
            </w:r>
            <w:r w:rsidR="00223383" w:rsidRPr="006E3562">
              <w:t xml:space="preserve">Total </w:t>
            </w:r>
            <w:r w:rsidRPr="006E3562">
              <w:t xml:space="preserve">Pool Load” </w:t>
            </w:r>
            <w:r w:rsidR="00223383" w:rsidRPr="006E3562">
              <w:t xml:space="preserve">includes Total Participant Load </w:t>
            </w:r>
            <w:r w:rsidRPr="006E3562">
              <w:t xml:space="preserve">plus </w:t>
            </w:r>
            <w:r w:rsidR="00223383" w:rsidRPr="006E3562">
              <w:t xml:space="preserve">shorter term </w:t>
            </w:r>
            <w:r w:rsidRPr="006E3562">
              <w:t xml:space="preserve">energy sales made by the pool to </w:t>
            </w:r>
            <w:r w:rsidR="00223383" w:rsidRPr="006E3562">
              <w:t xml:space="preserve">parties </w:t>
            </w:r>
            <w:r w:rsidRPr="006E3562">
              <w:t xml:space="preserve">other than </w:t>
            </w:r>
            <w:r w:rsidR="00BC32EA" w:rsidRPr="006E3562">
              <w:t>Pool Participants</w:t>
            </w:r>
            <w:r w:rsidR="00223383" w:rsidRPr="006E3562">
              <w:t xml:space="preserve"> (“Pool Sales”)</w:t>
            </w:r>
            <w:r w:rsidR="00D822B1" w:rsidRPr="006E3562">
              <w:t>.</w:t>
            </w:r>
          </w:p>
          <w:p w14:paraId="2A649FDF" w14:textId="4CA56D0C" w:rsidR="009206B1" w:rsidRPr="006E3562" w:rsidRDefault="009206B1" w:rsidP="00223383">
            <w:pPr>
              <w:pStyle w:val="ListParagraph"/>
              <w:numPr>
                <w:ilvl w:val="1"/>
                <w:numId w:val="3"/>
              </w:numPr>
            </w:pPr>
            <w:r>
              <w:t>“Pool Resources” would include all resources purchased or owned by the Pool Participants</w:t>
            </w:r>
          </w:p>
          <w:p w14:paraId="1DA23770" w14:textId="58DBCC7A" w:rsidR="001252DB" w:rsidRPr="006E3562" w:rsidRDefault="00D822B1" w:rsidP="00132963">
            <w:pPr>
              <w:pStyle w:val="ListParagraph"/>
              <w:numPr>
                <w:ilvl w:val="0"/>
                <w:numId w:val="2"/>
              </w:numPr>
            </w:pPr>
            <w:r w:rsidRPr="006E3562">
              <w:t xml:space="preserve">KyMEA would jointly schedule </w:t>
            </w:r>
            <w:r w:rsidR="003C6147" w:rsidRPr="006E3562">
              <w:t>Pool</w:t>
            </w:r>
            <w:r w:rsidRPr="006E3562">
              <w:t xml:space="preserve"> </w:t>
            </w:r>
            <w:r w:rsidR="003C6147" w:rsidRPr="006E3562">
              <w:t>R</w:t>
            </w:r>
            <w:r w:rsidRPr="006E3562">
              <w:t xml:space="preserve">esources to serve the </w:t>
            </w:r>
            <w:r w:rsidR="00223383" w:rsidRPr="006E3562">
              <w:t xml:space="preserve">Total </w:t>
            </w:r>
            <w:r w:rsidR="003C6147" w:rsidRPr="006E3562">
              <w:t>P</w:t>
            </w:r>
            <w:r w:rsidR="00724C6B" w:rsidRPr="006E3562">
              <w:t xml:space="preserve">ool </w:t>
            </w:r>
            <w:r w:rsidR="003C6147" w:rsidRPr="006E3562">
              <w:t>L</w:t>
            </w:r>
            <w:r w:rsidR="00223383" w:rsidRPr="006E3562">
              <w:t>oad</w:t>
            </w:r>
            <w:r w:rsidRPr="006E3562">
              <w:t xml:space="preserve"> </w:t>
            </w:r>
            <w:r w:rsidR="003C6147" w:rsidRPr="006E3562">
              <w:t>based on the</w:t>
            </w:r>
            <w:r w:rsidR="002E70D6" w:rsidRPr="006E3562">
              <w:t xml:space="preserve"> variable cost of production, </w:t>
            </w:r>
            <w:r w:rsidR="00FC7ED3">
              <w:t xml:space="preserve">variable cost of energy purchases, </w:t>
            </w:r>
            <w:r w:rsidR="002E70D6" w:rsidRPr="006E3562">
              <w:t xml:space="preserve">start-up costs, and </w:t>
            </w:r>
            <w:r w:rsidR="0041223B" w:rsidRPr="006E3562">
              <w:t xml:space="preserve">contractual or technical </w:t>
            </w:r>
            <w:r w:rsidR="002E70D6" w:rsidRPr="006E3562">
              <w:t>limits on scheduling</w:t>
            </w:r>
            <w:r w:rsidR="003C6147" w:rsidRPr="006E3562">
              <w:t xml:space="preserve"> of each resource</w:t>
            </w:r>
            <w:r w:rsidR="002E70D6" w:rsidRPr="006E3562">
              <w:t xml:space="preserve">. </w:t>
            </w:r>
          </w:p>
          <w:p w14:paraId="33ACB503" w14:textId="66636821" w:rsidR="00EB4A3A" w:rsidRPr="006E3562" w:rsidRDefault="00223383" w:rsidP="00696C43">
            <w:pPr>
              <w:pStyle w:val="ListParagraph"/>
              <w:numPr>
                <w:ilvl w:val="0"/>
                <w:numId w:val="2"/>
              </w:numPr>
            </w:pPr>
            <w:r w:rsidRPr="006E3562">
              <w:t>The KyMEA “operations g</w:t>
            </w:r>
            <w:r w:rsidR="00EB4A3A" w:rsidRPr="006E3562">
              <w:t xml:space="preserve">roup” </w:t>
            </w:r>
            <w:r w:rsidR="003C6147" w:rsidRPr="006E3562">
              <w:t xml:space="preserve">would be provided the </w:t>
            </w:r>
            <w:r w:rsidR="00EB4A3A" w:rsidRPr="006E3562">
              <w:t xml:space="preserve">authority to </w:t>
            </w:r>
            <w:r w:rsidR="00696C43" w:rsidRPr="006E3562">
              <w:t>arrange</w:t>
            </w:r>
            <w:r w:rsidR="00EB4A3A" w:rsidRPr="006E3562">
              <w:t xml:space="preserve"> </w:t>
            </w:r>
            <w:r w:rsidRPr="006E3562">
              <w:t xml:space="preserve">short term </w:t>
            </w:r>
            <w:r w:rsidR="00EB4A3A" w:rsidRPr="006E3562">
              <w:t xml:space="preserve">transactions </w:t>
            </w:r>
            <w:r w:rsidR="001B7110" w:rsidRPr="006E3562">
              <w:t xml:space="preserve">commencing </w:t>
            </w:r>
            <w:r w:rsidR="007D63D6">
              <w:t xml:space="preserve">and ending </w:t>
            </w:r>
            <w:r w:rsidR="001B7110" w:rsidRPr="006E3562">
              <w:t>within the next 30 days,</w:t>
            </w:r>
            <w:r w:rsidR="00EB4A3A" w:rsidRPr="006E3562">
              <w:t xml:space="preserve"> subject to appropriate guidelines</w:t>
            </w:r>
            <w:r w:rsidR="003C6147" w:rsidRPr="006E3562">
              <w:t>.</w:t>
            </w:r>
            <w:r w:rsidR="00EB4A3A" w:rsidRPr="006E3562">
              <w:t xml:space="preserve"> </w:t>
            </w:r>
            <w:r w:rsidR="00696C43" w:rsidRPr="006E3562">
              <w:t>Arranging t</w:t>
            </w:r>
            <w:r w:rsidR="00EB4A3A" w:rsidRPr="006E3562">
              <w:t>ransaction</w:t>
            </w:r>
            <w:r w:rsidR="00DE77EA" w:rsidRPr="006E3562">
              <w:t>s</w:t>
            </w:r>
            <w:r w:rsidR="00EB4A3A" w:rsidRPr="006E3562">
              <w:t xml:space="preserve"> </w:t>
            </w:r>
            <w:r w:rsidR="001B7110" w:rsidRPr="006E3562">
              <w:t xml:space="preserve">commencing more than 30 days out </w:t>
            </w:r>
            <w:r w:rsidR="003C6147" w:rsidRPr="006E3562">
              <w:t xml:space="preserve">would </w:t>
            </w:r>
            <w:r w:rsidR="00EB4A3A" w:rsidRPr="006E3562">
              <w:t xml:space="preserve">involve </w:t>
            </w:r>
            <w:r w:rsidR="003C6147" w:rsidRPr="006E3562">
              <w:t xml:space="preserve">phone </w:t>
            </w:r>
            <w:r w:rsidR="00EB4A3A" w:rsidRPr="006E3562">
              <w:t xml:space="preserve">meetings </w:t>
            </w:r>
            <w:r w:rsidR="003C6147" w:rsidRPr="006E3562">
              <w:t xml:space="preserve">and other methods </w:t>
            </w:r>
            <w:r w:rsidR="00EB4A3A" w:rsidRPr="006E3562">
              <w:t>to implement various transaction approval processes.</w:t>
            </w:r>
          </w:p>
        </w:tc>
      </w:tr>
      <w:tr w:rsidR="006062F8" w:rsidRPr="006E3562" w14:paraId="5DAC8B7C" w14:textId="77777777" w:rsidTr="71591E27">
        <w:trPr>
          <w:cantSplit/>
        </w:trPr>
        <w:tc>
          <w:tcPr>
            <w:tcW w:w="2785" w:type="dxa"/>
          </w:tcPr>
          <w:p w14:paraId="7518A8CB" w14:textId="77777777" w:rsidR="00132963" w:rsidRPr="006E3562" w:rsidRDefault="00132963" w:rsidP="00816060">
            <w:pPr>
              <w:rPr>
                <w:b/>
                <w:sz w:val="24"/>
                <w:szCs w:val="28"/>
              </w:rPr>
            </w:pPr>
            <w:r w:rsidRPr="006E3562">
              <w:rPr>
                <w:b/>
                <w:sz w:val="24"/>
                <w:szCs w:val="28"/>
              </w:rPr>
              <w:lastRenderedPageBreak/>
              <w:t>Market Participation</w:t>
            </w:r>
          </w:p>
        </w:tc>
        <w:tc>
          <w:tcPr>
            <w:tcW w:w="6565" w:type="dxa"/>
          </w:tcPr>
          <w:p w14:paraId="3E9DA2ED" w14:textId="29AB7800" w:rsidR="00CE0CAB" w:rsidRPr="006E3562" w:rsidRDefault="00BC32EA" w:rsidP="00CE0CAB">
            <w:pPr>
              <w:pStyle w:val="ListParagraph"/>
              <w:numPr>
                <w:ilvl w:val="0"/>
                <w:numId w:val="2"/>
              </w:numPr>
            </w:pPr>
            <w:r w:rsidRPr="006E3562">
              <w:t>KyMEA w</w:t>
            </w:r>
            <w:r w:rsidR="00132963" w:rsidRPr="006E3562">
              <w:t xml:space="preserve">ould present </w:t>
            </w:r>
            <w:r w:rsidR="008C76C6" w:rsidRPr="006E3562">
              <w:t xml:space="preserve">one face to the market on behalf of </w:t>
            </w:r>
            <w:r w:rsidR="00132963" w:rsidRPr="006E3562">
              <w:t xml:space="preserve">the </w:t>
            </w:r>
            <w:r w:rsidRPr="006E3562">
              <w:t>Pool Participants</w:t>
            </w:r>
            <w:r w:rsidR="00132963" w:rsidRPr="006E3562">
              <w:t xml:space="preserve">.  </w:t>
            </w:r>
          </w:p>
          <w:p w14:paraId="116CFBFD" w14:textId="2A76235F" w:rsidR="00132963" w:rsidRPr="006E3562" w:rsidRDefault="00BC32EA" w:rsidP="00767BEB">
            <w:pPr>
              <w:pStyle w:val="ListParagraph"/>
              <w:numPr>
                <w:ilvl w:val="0"/>
                <w:numId w:val="2"/>
              </w:numPr>
            </w:pPr>
            <w:r w:rsidRPr="006E3562">
              <w:t>Pool Participants</w:t>
            </w:r>
            <w:r w:rsidR="00132963" w:rsidRPr="006E3562">
              <w:t xml:space="preserve"> would have input and approval authority for </w:t>
            </w:r>
            <w:r w:rsidR="00767BEB" w:rsidRPr="006E3562">
              <w:t xml:space="preserve">multi-month or multi-year transactions </w:t>
            </w:r>
            <w:r w:rsidR="00132963" w:rsidRPr="006E3562">
              <w:t xml:space="preserve">being made on their behalf. </w:t>
            </w:r>
          </w:p>
        </w:tc>
      </w:tr>
      <w:tr w:rsidR="006062F8" w:rsidRPr="006E3562" w14:paraId="5E0061C7" w14:textId="77777777" w:rsidTr="71591E27">
        <w:trPr>
          <w:cantSplit/>
        </w:trPr>
        <w:tc>
          <w:tcPr>
            <w:tcW w:w="2785" w:type="dxa"/>
          </w:tcPr>
          <w:p w14:paraId="25787E69" w14:textId="77777777" w:rsidR="00132963" w:rsidRPr="006E3562" w:rsidRDefault="00132963" w:rsidP="00132963">
            <w:pPr>
              <w:rPr>
                <w:b/>
                <w:sz w:val="24"/>
                <w:szCs w:val="28"/>
              </w:rPr>
            </w:pPr>
            <w:r w:rsidRPr="006E3562">
              <w:rPr>
                <w:b/>
                <w:sz w:val="24"/>
                <w:szCs w:val="28"/>
              </w:rPr>
              <w:t>Purchases of Energy from the Market</w:t>
            </w:r>
          </w:p>
        </w:tc>
        <w:tc>
          <w:tcPr>
            <w:tcW w:w="6565" w:type="dxa"/>
          </w:tcPr>
          <w:p w14:paraId="793F83B6" w14:textId="13D5E282" w:rsidR="00132963" w:rsidRPr="006E3562" w:rsidRDefault="00132963" w:rsidP="00372813">
            <w:pPr>
              <w:pStyle w:val="ListParagraph"/>
              <w:numPr>
                <w:ilvl w:val="0"/>
                <w:numId w:val="2"/>
              </w:numPr>
            </w:pPr>
            <w:r w:rsidRPr="006E3562">
              <w:t xml:space="preserve">KyMEA would </w:t>
            </w:r>
            <w:r w:rsidR="006B51B6" w:rsidRPr="006E3562">
              <w:t>make</w:t>
            </w:r>
            <w:r w:rsidRPr="006E3562">
              <w:t xml:space="preserve"> energy purchases </w:t>
            </w:r>
            <w:r w:rsidR="006B51B6" w:rsidRPr="006E3562">
              <w:t xml:space="preserve">from the market </w:t>
            </w:r>
            <w:r w:rsidRPr="006E3562">
              <w:t xml:space="preserve">to the extent economic opportunities arise or energy available from </w:t>
            </w:r>
            <w:r w:rsidR="009B4BA6" w:rsidRPr="006E3562">
              <w:t>Pool R</w:t>
            </w:r>
            <w:r w:rsidRPr="006E3562">
              <w:t>esourc</w:t>
            </w:r>
            <w:r w:rsidR="006B51B6" w:rsidRPr="006E3562">
              <w:t xml:space="preserve">es is insufficient to meet </w:t>
            </w:r>
            <w:r w:rsidR="00561EC7">
              <w:t xml:space="preserve">Total </w:t>
            </w:r>
            <w:r w:rsidR="00372813" w:rsidRPr="006E3562">
              <w:t>Pool L</w:t>
            </w:r>
            <w:r w:rsidR="006B51B6" w:rsidRPr="006E3562">
              <w:t>oad.</w:t>
            </w:r>
          </w:p>
        </w:tc>
      </w:tr>
      <w:tr w:rsidR="006062F8" w:rsidRPr="006E3562" w14:paraId="21AD2204" w14:textId="77777777" w:rsidTr="71591E27">
        <w:trPr>
          <w:cantSplit/>
        </w:trPr>
        <w:tc>
          <w:tcPr>
            <w:tcW w:w="2785" w:type="dxa"/>
          </w:tcPr>
          <w:p w14:paraId="585CC099" w14:textId="77777777" w:rsidR="00132963" w:rsidRPr="006E3562" w:rsidRDefault="00132963" w:rsidP="00816060">
            <w:pPr>
              <w:rPr>
                <w:b/>
                <w:sz w:val="24"/>
                <w:szCs w:val="28"/>
              </w:rPr>
            </w:pPr>
            <w:r w:rsidRPr="006E3562">
              <w:rPr>
                <w:b/>
                <w:sz w:val="24"/>
                <w:szCs w:val="28"/>
              </w:rPr>
              <w:t>Meeting Capacity Requirements during Outages of Resources</w:t>
            </w:r>
          </w:p>
        </w:tc>
        <w:tc>
          <w:tcPr>
            <w:tcW w:w="6565" w:type="dxa"/>
          </w:tcPr>
          <w:p w14:paraId="4BD71048" w14:textId="7962379D" w:rsidR="00372813" w:rsidRPr="006E3562" w:rsidRDefault="71591E27" w:rsidP="006B51B6">
            <w:pPr>
              <w:pStyle w:val="ListParagraph"/>
              <w:numPr>
                <w:ilvl w:val="0"/>
                <w:numId w:val="2"/>
              </w:numPr>
            </w:pPr>
            <w:r w:rsidRPr="006E3562">
              <w:t>If outages of resources cause a participant to be short of capacity, the short participant would first purchase capacity if and to the extent available from other pool members.</w:t>
            </w:r>
          </w:p>
          <w:p w14:paraId="384A3DE7" w14:textId="0F5F54D8" w:rsidR="005217CD" w:rsidRPr="006E3562" w:rsidRDefault="71591E27" w:rsidP="006B51B6">
            <w:pPr>
              <w:pStyle w:val="ListParagraph"/>
              <w:numPr>
                <w:ilvl w:val="0"/>
                <w:numId w:val="2"/>
              </w:numPr>
            </w:pPr>
            <w:r w:rsidRPr="006E3562">
              <w:t>The determination of the amount of capacity and the price of that capacity purchased from other pool members, would be developed so the cost would mirror, but be more attractive than</w:t>
            </w:r>
            <w:r w:rsidR="00561EC7">
              <w:t>,</w:t>
            </w:r>
            <w:r w:rsidRPr="006E3562">
              <w:t xml:space="preserve"> the market opportunities available.  An alternative approach would be for the short participant to pay for all energy obtained from the pool in excess of the participant’s available capacity at a multiple of CHP (the pool’s Clearing House Price).</w:t>
            </w:r>
          </w:p>
          <w:p w14:paraId="71277797" w14:textId="067D07F8" w:rsidR="00132963" w:rsidRPr="006E3562" w:rsidRDefault="71591E27" w:rsidP="00561EC7">
            <w:pPr>
              <w:pStyle w:val="ListParagraph"/>
              <w:numPr>
                <w:ilvl w:val="0"/>
                <w:numId w:val="2"/>
              </w:numPr>
            </w:pPr>
            <w:r w:rsidRPr="006E3562">
              <w:t>If capacity is not available from other pool members, short term purchases of capacity from outside the pool would be arranged by KyMEA.  The cost of that capacity would be passed through to the short participant.</w:t>
            </w:r>
          </w:p>
        </w:tc>
      </w:tr>
      <w:tr w:rsidR="006062F8" w:rsidRPr="006E3562" w14:paraId="20E831DD" w14:textId="77777777" w:rsidTr="71591E27">
        <w:trPr>
          <w:cantSplit/>
        </w:trPr>
        <w:tc>
          <w:tcPr>
            <w:tcW w:w="2785" w:type="dxa"/>
          </w:tcPr>
          <w:p w14:paraId="52F2420F" w14:textId="77777777" w:rsidR="001252DB" w:rsidRPr="006E3562" w:rsidRDefault="001252DB">
            <w:pPr>
              <w:rPr>
                <w:b/>
                <w:sz w:val="24"/>
                <w:szCs w:val="28"/>
              </w:rPr>
            </w:pPr>
            <w:r w:rsidRPr="006E3562">
              <w:rPr>
                <w:b/>
                <w:sz w:val="24"/>
                <w:szCs w:val="28"/>
              </w:rPr>
              <w:t>Marketing of Surplus Energy</w:t>
            </w:r>
          </w:p>
        </w:tc>
        <w:tc>
          <w:tcPr>
            <w:tcW w:w="6565" w:type="dxa"/>
          </w:tcPr>
          <w:p w14:paraId="52929897" w14:textId="6151C9EA" w:rsidR="001E0B13" w:rsidRPr="006E3562" w:rsidRDefault="00255454" w:rsidP="003A0F5A">
            <w:pPr>
              <w:pStyle w:val="ListParagraph"/>
              <w:numPr>
                <w:ilvl w:val="0"/>
                <w:numId w:val="2"/>
              </w:numPr>
            </w:pPr>
            <w:r w:rsidRPr="006E3562">
              <w:t xml:space="preserve">KyMEA would </w:t>
            </w:r>
            <w:r w:rsidR="005C7B88" w:rsidRPr="006E3562">
              <w:t xml:space="preserve">be responsible to </w:t>
            </w:r>
            <w:r w:rsidR="00CE0CAB" w:rsidRPr="006E3562">
              <w:t xml:space="preserve">make </w:t>
            </w:r>
            <w:r w:rsidRPr="006E3562">
              <w:t xml:space="preserve">energy sales to markets </w:t>
            </w:r>
            <w:r w:rsidR="00CE0CAB" w:rsidRPr="006E3562">
              <w:t xml:space="preserve">to the extent </w:t>
            </w:r>
            <w:r w:rsidRPr="006E3562">
              <w:t>approp</w:t>
            </w:r>
            <w:r w:rsidR="005C7B88" w:rsidRPr="006E3562">
              <w:t>riate</w:t>
            </w:r>
            <w:r w:rsidRPr="006E3562">
              <w:t>.</w:t>
            </w:r>
          </w:p>
          <w:p w14:paraId="2FAD58AA" w14:textId="1D656D0C" w:rsidR="001252DB" w:rsidRPr="006E3562" w:rsidRDefault="001E0B13" w:rsidP="003A0F5A">
            <w:pPr>
              <w:pStyle w:val="ListParagraph"/>
              <w:numPr>
                <w:ilvl w:val="0"/>
                <w:numId w:val="2"/>
              </w:numPr>
            </w:pPr>
            <w:r w:rsidRPr="006E3562">
              <w:t xml:space="preserve">The after-the-fact energy accounting would determine the payments to the </w:t>
            </w:r>
            <w:r w:rsidR="00BC32EA" w:rsidRPr="006E3562">
              <w:t>Pool Participants</w:t>
            </w:r>
            <w:r w:rsidRPr="006E3562">
              <w:t xml:space="preserve"> related to market sales of energy.</w:t>
            </w:r>
            <w:r w:rsidR="005C7B88" w:rsidRPr="006E3562">
              <w:t xml:space="preserve">  </w:t>
            </w:r>
          </w:p>
        </w:tc>
      </w:tr>
      <w:tr w:rsidR="006062F8" w:rsidRPr="006E3562" w14:paraId="56BDE46A" w14:textId="77777777" w:rsidTr="71591E27">
        <w:trPr>
          <w:cantSplit/>
        </w:trPr>
        <w:tc>
          <w:tcPr>
            <w:tcW w:w="2785" w:type="dxa"/>
          </w:tcPr>
          <w:p w14:paraId="65FADA5B" w14:textId="77777777" w:rsidR="001252DB" w:rsidRPr="006E3562" w:rsidRDefault="001252DB">
            <w:pPr>
              <w:rPr>
                <w:b/>
                <w:sz w:val="24"/>
                <w:szCs w:val="28"/>
              </w:rPr>
            </w:pPr>
            <w:r w:rsidRPr="006E3562">
              <w:rPr>
                <w:b/>
                <w:sz w:val="24"/>
                <w:szCs w:val="28"/>
              </w:rPr>
              <w:t>Marketing of Surplus Capacity</w:t>
            </w:r>
          </w:p>
        </w:tc>
        <w:tc>
          <w:tcPr>
            <w:tcW w:w="6565" w:type="dxa"/>
          </w:tcPr>
          <w:p w14:paraId="6FE8E405" w14:textId="77777777" w:rsidR="00255454" w:rsidRPr="006E3562" w:rsidRDefault="00255454" w:rsidP="005C7B88">
            <w:pPr>
              <w:pStyle w:val="ListParagraph"/>
              <w:numPr>
                <w:ilvl w:val="0"/>
                <w:numId w:val="2"/>
              </w:numPr>
            </w:pPr>
            <w:r w:rsidRPr="006E3562">
              <w:t>To the extent OMU’s or the AR Group’s capacity resources exceed their respective total projected capacity requirements (annual peak load plus adequate reserves), KyMEA would</w:t>
            </w:r>
            <w:r w:rsidR="008218B2" w:rsidRPr="006E3562">
              <w:t xml:space="preserve"> </w:t>
            </w:r>
            <w:r w:rsidRPr="006E3562">
              <w:t xml:space="preserve">market </w:t>
            </w:r>
            <w:r w:rsidR="005C7B88" w:rsidRPr="006E3562">
              <w:t>such “</w:t>
            </w:r>
            <w:r w:rsidRPr="006E3562">
              <w:t>Surplus Capacity</w:t>
            </w:r>
            <w:r w:rsidR="005C7B88" w:rsidRPr="006E3562">
              <w:t>”</w:t>
            </w:r>
            <w:r w:rsidRPr="006E3562">
              <w:t xml:space="preserve"> on behalf of the </w:t>
            </w:r>
            <w:r w:rsidR="005C7B88" w:rsidRPr="006E3562">
              <w:t>applicable</w:t>
            </w:r>
            <w:r w:rsidRPr="006E3562">
              <w:t xml:space="preserve"> </w:t>
            </w:r>
            <w:r w:rsidR="00584EC7" w:rsidRPr="006E3562">
              <w:t>pool participant</w:t>
            </w:r>
            <w:r w:rsidRPr="006E3562">
              <w:t>.</w:t>
            </w:r>
          </w:p>
          <w:p w14:paraId="23F7BB1B" w14:textId="77777777" w:rsidR="00E25230" w:rsidRPr="006E3562" w:rsidRDefault="00E25230" w:rsidP="005C7B88">
            <w:pPr>
              <w:pStyle w:val="ListParagraph"/>
              <w:numPr>
                <w:ilvl w:val="0"/>
                <w:numId w:val="2"/>
              </w:numPr>
            </w:pPr>
            <w:r w:rsidRPr="006E3562">
              <w:t>KyMEA would also market capacity for shorter terms to the extent opportunities present.</w:t>
            </w:r>
          </w:p>
          <w:p w14:paraId="08C6BA9C" w14:textId="77777777" w:rsidR="001252DB" w:rsidRPr="006E3562" w:rsidRDefault="00E032E3" w:rsidP="00584EC7">
            <w:pPr>
              <w:pStyle w:val="ListParagraph"/>
              <w:numPr>
                <w:ilvl w:val="0"/>
                <w:numId w:val="2"/>
              </w:numPr>
            </w:pPr>
            <w:r w:rsidRPr="006E3562">
              <w:t xml:space="preserve">Capacity revenues </w:t>
            </w:r>
            <w:r w:rsidR="005C7B88" w:rsidRPr="006E3562">
              <w:t>and risks related to sales of Surplus Capacity would</w:t>
            </w:r>
            <w:r w:rsidR="00584EC7" w:rsidRPr="006E3562">
              <w:t xml:space="preserve"> be allocated to the applicable </w:t>
            </w:r>
            <w:r w:rsidR="00E25230" w:rsidRPr="006E3562">
              <w:t>pool participant</w:t>
            </w:r>
            <w:r w:rsidR="00584EC7" w:rsidRPr="006E3562">
              <w:t xml:space="preserve"> for which the sale is made</w:t>
            </w:r>
            <w:r w:rsidR="00E25230" w:rsidRPr="006E3562">
              <w:t>.</w:t>
            </w:r>
          </w:p>
        </w:tc>
      </w:tr>
      <w:tr w:rsidR="006062F8" w:rsidRPr="006E3562" w14:paraId="7AE6CD09" w14:textId="77777777" w:rsidTr="71591E27">
        <w:trPr>
          <w:cantSplit/>
        </w:trPr>
        <w:tc>
          <w:tcPr>
            <w:tcW w:w="2785" w:type="dxa"/>
          </w:tcPr>
          <w:p w14:paraId="792CF2C4" w14:textId="77777777" w:rsidR="001252DB" w:rsidRPr="006E3562" w:rsidRDefault="001252DB">
            <w:pPr>
              <w:rPr>
                <w:b/>
                <w:sz w:val="24"/>
                <w:szCs w:val="28"/>
              </w:rPr>
            </w:pPr>
            <w:r w:rsidRPr="006E3562">
              <w:rPr>
                <w:b/>
                <w:sz w:val="24"/>
                <w:szCs w:val="28"/>
              </w:rPr>
              <w:lastRenderedPageBreak/>
              <w:t xml:space="preserve">Reserve Sharing </w:t>
            </w:r>
          </w:p>
        </w:tc>
        <w:tc>
          <w:tcPr>
            <w:tcW w:w="6565" w:type="dxa"/>
          </w:tcPr>
          <w:p w14:paraId="777BA0E0" w14:textId="5FC85704" w:rsidR="00BB01D3" w:rsidRPr="006E3562" w:rsidRDefault="00584EC7" w:rsidP="00BB01D3">
            <w:pPr>
              <w:pStyle w:val="ListParagraph"/>
              <w:numPr>
                <w:ilvl w:val="0"/>
                <w:numId w:val="2"/>
              </w:numPr>
            </w:pPr>
            <w:r w:rsidRPr="006E3562">
              <w:t>T</w:t>
            </w:r>
            <w:r w:rsidR="00BB01D3" w:rsidRPr="006E3562">
              <w:t xml:space="preserve">he reserve capacity provided by </w:t>
            </w:r>
            <w:r w:rsidRPr="006E3562">
              <w:t>each participant</w:t>
            </w:r>
            <w:r w:rsidR="00BB01D3" w:rsidRPr="006E3562">
              <w:t xml:space="preserve"> would be available for dispatch to serve the combined loads of the </w:t>
            </w:r>
            <w:r w:rsidR="00BC32EA" w:rsidRPr="006E3562">
              <w:t>Pool Participants</w:t>
            </w:r>
            <w:r w:rsidR="00BB01D3" w:rsidRPr="006E3562">
              <w:t xml:space="preserve">, subject to appropriate energy accounting provisions.  </w:t>
            </w:r>
          </w:p>
          <w:p w14:paraId="5F5BACA1" w14:textId="6E9A8044" w:rsidR="001252DB" w:rsidRPr="006E3562" w:rsidRDefault="00BB01D3" w:rsidP="003A0F5A">
            <w:pPr>
              <w:pStyle w:val="ListParagraph"/>
              <w:numPr>
                <w:ilvl w:val="0"/>
                <w:numId w:val="2"/>
              </w:numPr>
            </w:pPr>
            <w:r w:rsidRPr="006E3562">
              <w:t xml:space="preserve">There would be no obligation of OMU or the AR Group to </w:t>
            </w:r>
            <w:r w:rsidR="00AB305B">
              <w:t xml:space="preserve">make long term </w:t>
            </w:r>
            <w:r w:rsidRPr="006E3562">
              <w:t xml:space="preserve">purchase </w:t>
            </w:r>
            <w:r w:rsidR="00AB305B">
              <w:t xml:space="preserve">of </w:t>
            </w:r>
            <w:r w:rsidRPr="006E3562">
              <w:t>reserve, peaking, or surplus capacity from each other</w:t>
            </w:r>
            <w:r w:rsidR="0065179A" w:rsidRPr="006E3562">
              <w:t>.   Nothing herein is intended to preclude such transactions from being agreed to from time to time</w:t>
            </w:r>
            <w:r w:rsidRPr="006E3562">
              <w:t>.</w:t>
            </w:r>
          </w:p>
        </w:tc>
      </w:tr>
      <w:tr w:rsidR="006062F8" w:rsidRPr="006E3562" w14:paraId="6C95E895" w14:textId="77777777" w:rsidTr="71591E27">
        <w:trPr>
          <w:cantSplit/>
        </w:trPr>
        <w:tc>
          <w:tcPr>
            <w:tcW w:w="2785" w:type="dxa"/>
          </w:tcPr>
          <w:p w14:paraId="314DCEFE" w14:textId="77777777" w:rsidR="001252DB" w:rsidRPr="006E3562" w:rsidRDefault="001252DB" w:rsidP="00584EC7">
            <w:pPr>
              <w:rPr>
                <w:b/>
                <w:sz w:val="24"/>
                <w:szCs w:val="28"/>
              </w:rPr>
            </w:pPr>
            <w:r w:rsidRPr="006E3562">
              <w:rPr>
                <w:b/>
                <w:sz w:val="24"/>
                <w:szCs w:val="28"/>
              </w:rPr>
              <w:t xml:space="preserve">Energy </w:t>
            </w:r>
            <w:r w:rsidR="002E671F" w:rsidRPr="006E3562">
              <w:rPr>
                <w:b/>
                <w:sz w:val="24"/>
                <w:szCs w:val="28"/>
              </w:rPr>
              <w:t>accounting</w:t>
            </w:r>
            <w:r w:rsidRPr="006E3562">
              <w:rPr>
                <w:b/>
                <w:sz w:val="24"/>
                <w:szCs w:val="28"/>
              </w:rPr>
              <w:t xml:space="preserve"> methodology </w:t>
            </w:r>
          </w:p>
        </w:tc>
        <w:tc>
          <w:tcPr>
            <w:tcW w:w="6565" w:type="dxa"/>
          </w:tcPr>
          <w:p w14:paraId="321421D7" w14:textId="75828EAC" w:rsidR="00CE0389" w:rsidRPr="006E3562" w:rsidRDefault="00CE0389" w:rsidP="00576AE8">
            <w:pPr>
              <w:pStyle w:val="ListParagraph"/>
              <w:numPr>
                <w:ilvl w:val="0"/>
                <w:numId w:val="3"/>
              </w:numPr>
            </w:pPr>
            <w:r w:rsidRPr="006E3562">
              <w:t xml:space="preserve">On an after-the-fact basis, an hourly accounting would be done to determine the cost to the </w:t>
            </w:r>
            <w:r w:rsidR="00BC32EA" w:rsidRPr="006E3562">
              <w:t>Pool Participants</w:t>
            </w:r>
            <w:r w:rsidRPr="006E3562">
              <w:t xml:space="preserve"> of serving their load and the revenue (credits) due to the participants that are providing energy to the pool.</w:t>
            </w:r>
          </w:p>
          <w:p w14:paraId="465F3821" w14:textId="72552E27" w:rsidR="00CE0389" w:rsidRPr="006E3562" w:rsidRDefault="00FF2131" w:rsidP="002342D4">
            <w:pPr>
              <w:pStyle w:val="ListParagraph"/>
              <w:numPr>
                <w:ilvl w:val="0"/>
                <w:numId w:val="3"/>
              </w:numPr>
            </w:pPr>
            <w:r w:rsidRPr="006E3562">
              <w:t>The p</w:t>
            </w:r>
            <w:r w:rsidR="00CE0389" w:rsidRPr="006E3562">
              <w:t xml:space="preserve">ool’s Clearing House Price (CHP) would be determined as the incremental cost of energy used in the hour to serve the </w:t>
            </w:r>
            <w:r w:rsidR="00AB305B">
              <w:t>Total Pool L</w:t>
            </w:r>
            <w:r w:rsidR="00CE0389" w:rsidRPr="006E3562">
              <w:t xml:space="preserve">oad.  CHP would </w:t>
            </w:r>
            <w:r w:rsidR="00B277E7" w:rsidRPr="006E3562">
              <w:t xml:space="preserve">be based on resources that are being scheduled, </w:t>
            </w:r>
            <w:r w:rsidR="00CE0389" w:rsidRPr="006E3562">
              <w:t xml:space="preserve">not </w:t>
            </w:r>
            <w:r w:rsidR="00584EC7" w:rsidRPr="006E3562">
              <w:t>on</w:t>
            </w:r>
            <w:r w:rsidR="00CE0389" w:rsidRPr="006E3562">
              <w:t xml:space="preserve"> resource</w:t>
            </w:r>
            <w:r w:rsidR="00B277E7" w:rsidRPr="006E3562">
              <w:t>s that are operating at minimum</w:t>
            </w:r>
            <w:r w:rsidR="00CE0389" w:rsidRPr="006E3562">
              <w:t xml:space="preserve"> or a maximum output</w:t>
            </w:r>
            <w:r w:rsidR="00AB305B">
              <w:t xml:space="preserve"> and would likely be for the last 10MW of so of load served</w:t>
            </w:r>
            <w:r w:rsidR="00CE0389" w:rsidRPr="006E3562">
              <w:t>.</w:t>
            </w:r>
          </w:p>
          <w:p w14:paraId="78DE188C" w14:textId="2CDA2420" w:rsidR="001252DB" w:rsidRDefault="00FF2131" w:rsidP="00584EC7">
            <w:pPr>
              <w:pStyle w:val="ListParagraph"/>
              <w:numPr>
                <w:ilvl w:val="0"/>
                <w:numId w:val="3"/>
              </w:numPr>
            </w:pPr>
            <w:r w:rsidRPr="006E3562">
              <w:t xml:space="preserve">If energy sales are being made </w:t>
            </w:r>
            <w:r w:rsidR="00724C6B" w:rsidRPr="006E3562">
              <w:t xml:space="preserve">by the pool </w:t>
            </w:r>
            <w:r w:rsidR="00AB305B">
              <w:t xml:space="preserve">to parties that are not Pool Participants </w:t>
            </w:r>
            <w:r w:rsidR="00724C6B" w:rsidRPr="006E3562">
              <w:t>(usually day-ahead</w:t>
            </w:r>
            <w:r w:rsidR="00584EC7" w:rsidRPr="006E3562">
              <w:t xml:space="preserve"> or weekend-ahead</w:t>
            </w:r>
            <w:r w:rsidR="00724C6B" w:rsidRPr="006E3562">
              <w:t>)</w:t>
            </w:r>
            <w:r w:rsidR="00584EC7" w:rsidRPr="006E3562">
              <w:t>, the benefit of those pool</w:t>
            </w:r>
            <w:r w:rsidRPr="006E3562">
              <w:t xml:space="preserve"> sale</w:t>
            </w:r>
            <w:r w:rsidR="00584EC7" w:rsidRPr="006E3562">
              <w:t>s</w:t>
            </w:r>
            <w:r w:rsidRPr="006E3562">
              <w:t xml:space="preserve"> would be </w:t>
            </w:r>
            <w:r w:rsidR="005F0C1D" w:rsidRPr="006E3562">
              <w:t>allocated</w:t>
            </w:r>
            <w:r w:rsidRPr="006E3562">
              <w:t xml:space="preserve"> </w:t>
            </w:r>
            <w:r w:rsidR="007E12F7">
              <w:t>primarily (e.g., 80%)</w:t>
            </w:r>
            <w:r w:rsidRPr="006E3562">
              <w:t xml:space="preserve"> to the participant(s) whose resource</w:t>
            </w:r>
            <w:r w:rsidR="00B269DF" w:rsidRPr="006E3562">
              <w:t>(s)</w:t>
            </w:r>
            <w:r w:rsidR="005F0C1D" w:rsidRPr="006E3562">
              <w:t xml:space="preserve"> </w:t>
            </w:r>
            <w:r w:rsidR="00B269DF" w:rsidRPr="006E3562">
              <w:t>produced energy in excess of</w:t>
            </w:r>
            <w:r w:rsidR="00584EC7" w:rsidRPr="006E3562">
              <w:t xml:space="preserve"> their </w:t>
            </w:r>
            <w:r w:rsidR="0096400B">
              <w:t>Participant</w:t>
            </w:r>
            <w:r w:rsidR="005F0C1D" w:rsidRPr="006E3562">
              <w:t xml:space="preserve"> </w:t>
            </w:r>
            <w:r w:rsidR="00584EC7" w:rsidRPr="006E3562">
              <w:t>L</w:t>
            </w:r>
            <w:r w:rsidR="005F0C1D" w:rsidRPr="006E3562">
              <w:t xml:space="preserve">oad </w:t>
            </w:r>
            <w:r w:rsidRPr="006E3562">
              <w:t xml:space="preserve">and </w:t>
            </w:r>
            <w:r w:rsidR="007E12F7">
              <w:t>the remainder (e.g.,</w:t>
            </w:r>
            <w:r w:rsidR="0096400B">
              <w:t xml:space="preserve"> </w:t>
            </w:r>
            <w:r w:rsidRPr="006E3562">
              <w:t>20%</w:t>
            </w:r>
            <w:r w:rsidR="007E12F7">
              <w:t>)</w:t>
            </w:r>
            <w:r w:rsidRPr="006E3562">
              <w:t xml:space="preserve"> to </w:t>
            </w:r>
            <w:r w:rsidR="00B269DF" w:rsidRPr="006E3562">
              <w:t>the participants buying ener</w:t>
            </w:r>
            <w:r w:rsidR="003C3EB3" w:rsidRPr="006E3562">
              <w:t xml:space="preserve">gy from the pool to meet their </w:t>
            </w:r>
            <w:r w:rsidR="007E12F7">
              <w:t>Participant</w:t>
            </w:r>
            <w:bookmarkStart w:id="0" w:name="_GoBack"/>
            <w:bookmarkEnd w:id="0"/>
            <w:r w:rsidR="007E12F7">
              <w:t xml:space="preserve"> </w:t>
            </w:r>
            <w:r w:rsidR="003C3EB3" w:rsidRPr="006E3562">
              <w:t>L</w:t>
            </w:r>
            <w:r w:rsidR="00B269DF" w:rsidRPr="006E3562">
              <w:t>oad</w:t>
            </w:r>
            <w:r w:rsidR="007D63D6">
              <w:t>.</w:t>
            </w:r>
          </w:p>
          <w:p w14:paraId="10D424E9" w14:textId="332341FD" w:rsidR="007D63D6" w:rsidRPr="006E3562" w:rsidRDefault="00712385" w:rsidP="00712385">
            <w:pPr>
              <w:pStyle w:val="ListParagraph"/>
              <w:numPr>
                <w:ilvl w:val="0"/>
                <w:numId w:val="3"/>
              </w:numPr>
            </w:pPr>
            <w:r>
              <w:t>Generally, n</w:t>
            </w:r>
            <w:r w:rsidR="007D63D6">
              <w:t>et sellers to the pool would be credited at the CHP for the energy provide</w:t>
            </w:r>
            <w:r>
              <w:t>d to the pool</w:t>
            </w:r>
            <w:r w:rsidR="007D63D6">
              <w:t xml:space="preserve"> and net purchasers would be charged </w:t>
            </w:r>
            <w:r>
              <w:t xml:space="preserve">at the </w:t>
            </w:r>
            <w:r w:rsidR="007D63D6">
              <w:t>CHP for the energy received</w:t>
            </w:r>
            <w:r>
              <w:t xml:space="preserve"> from the pool</w:t>
            </w:r>
            <w:r w:rsidR="007D63D6">
              <w:t>.</w:t>
            </w:r>
          </w:p>
        </w:tc>
      </w:tr>
      <w:tr w:rsidR="006062F8" w:rsidRPr="006E3562" w14:paraId="2054D5C7" w14:textId="77777777" w:rsidTr="71591E27">
        <w:trPr>
          <w:cantSplit/>
        </w:trPr>
        <w:tc>
          <w:tcPr>
            <w:tcW w:w="2785" w:type="dxa"/>
          </w:tcPr>
          <w:p w14:paraId="1F56102E" w14:textId="77777777" w:rsidR="00B91859" w:rsidRPr="006E3562" w:rsidRDefault="00B91859" w:rsidP="002E671F">
            <w:pPr>
              <w:rPr>
                <w:b/>
                <w:sz w:val="24"/>
                <w:szCs w:val="28"/>
              </w:rPr>
            </w:pPr>
            <w:r w:rsidRPr="006E3562">
              <w:rPr>
                <w:b/>
                <w:sz w:val="24"/>
                <w:szCs w:val="28"/>
              </w:rPr>
              <w:t>Contracts with the Market</w:t>
            </w:r>
          </w:p>
        </w:tc>
        <w:tc>
          <w:tcPr>
            <w:tcW w:w="6565" w:type="dxa"/>
          </w:tcPr>
          <w:p w14:paraId="0ECE8A4B" w14:textId="2DCBE0A3" w:rsidR="00B91859" w:rsidRPr="006E3562" w:rsidRDefault="00B91859" w:rsidP="00B91859">
            <w:pPr>
              <w:pStyle w:val="ListParagraph"/>
              <w:numPr>
                <w:ilvl w:val="0"/>
                <w:numId w:val="3"/>
              </w:numPr>
            </w:pPr>
            <w:r w:rsidRPr="006E3562">
              <w:t xml:space="preserve">The means of contracting for market purchases and sales </w:t>
            </w:r>
            <w:r w:rsidR="00AB305B">
              <w:t>would</w:t>
            </w:r>
            <w:r w:rsidRPr="006E3562">
              <w:t xml:space="preserve"> be accomplished in a manner </w:t>
            </w:r>
            <w:r w:rsidR="00AB305B">
              <w:t>such</w:t>
            </w:r>
            <w:r w:rsidRPr="006E3562">
              <w:t xml:space="preserve"> that credit related requirements are borne by the appropriate </w:t>
            </w:r>
            <w:r w:rsidR="00AB305B">
              <w:t>Pool P</w:t>
            </w:r>
            <w:r w:rsidRPr="006E3562">
              <w:t xml:space="preserve">articipant. </w:t>
            </w:r>
          </w:p>
          <w:p w14:paraId="37512B3F" w14:textId="77777777" w:rsidR="00B91859" w:rsidRPr="006E3562" w:rsidRDefault="00B91859" w:rsidP="00B91859">
            <w:pPr>
              <w:pStyle w:val="ListParagraph"/>
              <w:numPr>
                <w:ilvl w:val="0"/>
                <w:numId w:val="3"/>
              </w:numPr>
            </w:pPr>
            <w:r w:rsidRPr="006E3562">
              <w:t>For instance, to the extent practical, purchases from and sales to the market would be made under separate contracts</w:t>
            </w:r>
            <w:r w:rsidR="0045627B" w:rsidRPr="006E3562">
              <w:t xml:space="preserve"> to facilitate this result</w:t>
            </w:r>
            <w:r w:rsidRPr="006E3562">
              <w:t xml:space="preserve">. </w:t>
            </w:r>
          </w:p>
          <w:p w14:paraId="7EA3B879" w14:textId="5B2187EA" w:rsidR="00B91859" w:rsidRPr="006E3562" w:rsidRDefault="00B91859" w:rsidP="00B91859">
            <w:pPr>
              <w:pStyle w:val="ListParagraph"/>
              <w:numPr>
                <w:ilvl w:val="0"/>
                <w:numId w:val="3"/>
              </w:numPr>
            </w:pPr>
            <w:r w:rsidRPr="006E3562">
              <w:t xml:space="preserve">This </w:t>
            </w:r>
            <w:r w:rsidR="0045627B" w:rsidRPr="006E3562">
              <w:t xml:space="preserve">approach </w:t>
            </w:r>
            <w:r w:rsidRPr="006E3562">
              <w:t xml:space="preserve">would also facilitate settlement </w:t>
            </w:r>
            <w:r w:rsidR="005C680A" w:rsidRPr="006E3562">
              <w:t>procedures that would avoid undue</w:t>
            </w:r>
            <w:r w:rsidRPr="006E3562">
              <w:t xml:space="preserve"> cash flow im</w:t>
            </w:r>
            <w:r w:rsidR="00AB305B">
              <w:t>pacts on any Pool P</w:t>
            </w:r>
            <w:r w:rsidRPr="006E3562">
              <w:t>articipant.</w:t>
            </w:r>
          </w:p>
        </w:tc>
      </w:tr>
      <w:tr w:rsidR="006E3562" w:rsidRPr="006E3562" w14:paraId="1F15F51F" w14:textId="77777777" w:rsidTr="71591E27">
        <w:trPr>
          <w:cantSplit/>
        </w:trPr>
        <w:tc>
          <w:tcPr>
            <w:tcW w:w="2785" w:type="dxa"/>
          </w:tcPr>
          <w:p w14:paraId="29162B7A" w14:textId="77777777" w:rsidR="00880A16" w:rsidRPr="006E3562" w:rsidRDefault="00880A16" w:rsidP="002E671F">
            <w:pPr>
              <w:rPr>
                <w:b/>
                <w:sz w:val="24"/>
                <w:szCs w:val="28"/>
              </w:rPr>
            </w:pPr>
            <w:r w:rsidRPr="006E3562">
              <w:rPr>
                <w:b/>
                <w:sz w:val="24"/>
                <w:szCs w:val="28"/>
              </w:rPr>
              <w:t xml:space="preserve">Pool Settlement </w:t>
            </w:r>
          </w:p>
        </w:tc>
        <w:tc>
          <w:tcPr>
            <w:tcW w:w="6565" w:type="dxa"/>
          </w:tcPr>
          <w:p w14:paraId="75D14BEA" w14:textId="65819610" w:rsidR="00880A16" w:rsidRPr="006E3562" w:rsidRDefault="71591E27" w:rsidP="00576AE8">
            <w:pPr>
              <w:pStyle w:val="ListParagraph"/>
              <w:numPr>
                <w:ilvl w:val="0"/>
                <w:numId w:val="3"/>
              </w:numPr>
            </w:pPr>
            <w:r w:rsidRPr="006E3562">
              <w:t>The pool settlement would be consistent with the market to prevent creating und</w:t>
            </w:r>
            <w:r w:rsidR="005C680A" w:rsidRPr="006E3562">
              <w:t>ue</w:t>
            </w:r>
            <w:r w:rsidR="00AB305B">
              <w:t xml:space="preserve"> cash flow issues for any Pool P</w:t>
            </w:r>
            <w:r w:rsidRPr="006E3562">
              <w:t>articipant.</w:t>
            </w:r>
          </w:p>
          <w:p w14:paraId="2D68DF83" w14:textId="77777777" w:rsidR="00880A16" w:rsidRPr="006E3562" w:rsidRDefault="00B66928" w:rsidP="0045627B">
            <w:pPr>
              <w:pStyle w:val="ListParagraph"/>
              <w:numPr>
                <w:ilvl w:val="0"/>
                <w:numId w:val="3"/>
              </w:numPr>
            </w:pPr>
            <w:r w:rsidRPr="006E3562">
              <w:t>The</w:t>
            </w:r>
            <w:r w:rsidR="00880A16" w:rsidRPr="006E3562">
              <w:t xml:space="preserve"> initial settlement </w:t>
            </w:r>
            <w:r w:rsidR="0045627B" w:rsidRPr="006E3562">
              <w:t>is expected to be</w:t>
            </w:r>
            <w:r w:rsidR="00880A16" w:rsidRPr="006E3562">
              <w:t xml:space="preserve"> an estimate</w:t>
            </w:r>
            <w:r w:rsidR="00F37467" w:rsidRPr="006E3562">
              <w:t xml:space="preserve"> that would</w:t>
            </w:r>
            <w:r w:rsidR="0045627B" w:rsidRPr="006E3562">
              <w:t xml:space="preserve"> involve relatively minor true</w:t>
            </w:r>
            <w:r w:rsidR="00F37467" w:rsidRPr="006E3562">
              <w:t>-ups in following periods.</w:t>
            </w:r>
          </w:p>
        </w:tc>
      </w:tr>
      <w:tr w:rsidR="00623593" w:rsidRPr="006E3562" w14:paraId="0A7D1B2E" w14:textId="77777777" w:rsidTr="71591E27">
        <w:trPr>
          <w:cantSplit/>
        </w:trPr>
        <w:tc>
          <w:tcPr>
            <w:tcW w:w="2785" w:type="dxa"/>
          </w:tcPr>
          <w:p w14:paraId="111D71FF" w14:textId="4BB63953" w:rsidR="00623593" w:rsidRPr="006E3562" w:rsidRDefault="00623593" w:rsidP="002E671F">
            <w:pPr>
              <w:rPr>
                <w:b/>
                <w:sz w:val="24"/>
                <w:szCs w:val="28"/>
              </w:rPr>
            </w:pPr>
            <w:r w:rsidRPr="006E3562">
              <w:rPr>
                <w:b/>
                <w:sz w:val="24"/>
                <w:szCs w:val="28"/>
              </w:rPr>
              <w:lastRenderedPageBreak/>
              <w:t>Operating Committee</w:t>
            </w:r>
          </w:p>
        </w:tc>
        <w:tc>
          <w:tcPr>
            <w:tcW w:w="6565" w:type="dxa"/>
          </w:tcPr>
          <w:p w14:paraId="709B6676" w14:textId="77777777" w:rsidR="00623593" w:rsidRDefault="00623593" w:rsidP="00576AE8">
            <w:pPr>
              <w:pStyle w:val="ListParagraph"/>
              <w:numPr>
                <w:ilvl w:val="0"/>
                <w:numId w:val="3"/>
              </w:numPr>
            </w:pPr>
            <w:r w:rsidRPr="006E3562">
              <w:t xml:space="preserve">An Operating Committee of representatives from all </w:t>
            </w:r>
            <w:r w:rsidR="00BC32EA" w:rsidRPr="006E3562">
              <w:t>Pool Participants</w:t>
            </w:r>
            <w:r w:rsidRPr="006E3562">
              <w:t xml:space="preserve"> would meet monthly to review pool transactions and procedures and develop and adapt pool procedures as necessary.</w:t>
            </w:r>
          </w:p>
          <w:p w14:paraId="31AB0F77" w14:textId="6BA310F1" w:rsidR="00821392" w:rsidRPr="006E3562" w:rsidRDefault="00821392" w:rsidP="00576AE8">
            <w:pPr>
              <w:pStyle w:val="ListParagraph"/>
              <w:numPr>
                <w:ilvl w:val="0"/>
                <w:numId w:val="3"/>
              </w:numPr>
            </w:pPr>
            <w:r>
              <w:t>Decisions of the Operating committee would be based on consensus.</w:t>
            </w:r>
          </w:p>
        </w:tc>
      </w:tr>
    </w:tbl>
    <w:p w14:paraId="4E883607" w14:textId="77777777" w:rsidR="00E31235" w:rsidRPr="006E3562" w:rsidRDefault="00E31235"/>
    <w:sectPr w:rsidR="00E31235" w:rsidRPr="006E35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C1D5" w14:textId="77777777" w:rsidR="003E7115" w:rsidRDefault="003E7115" w:rsidP="00816060">
      <w:pPr>
        <w:spacing w:after="0" w:line="240" w:lineRule="auto"/>
      </w:pPr>
      <w:r>
        <w:separator/>
      </w:r>
    </w:p>
  </w:endnote>
  <w:endnote w:type="continuationSeparator" w:id="0">
    <w:p w14:paraId="2213AD3E" w14:textId="77777777" w:rsidR="003E7115" w:rsidRDefault="003E7115" w:rsidP="0081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38D5" w14:textId="77777777" w:rsidR="003E7115" w:rsidRDefault="003E7115" w:rsidP="00816060">
      <w:pPr>
        <w:spacing w:after="0" w:line="240" w:lineRule="auto"/>
      </w:pPr>
      <w:r>
        <w:separator/>
      </w:r>
    </w:p>
  </w:footnote>
  <w:footnote w:type="continuationSeparator" w:id="0">
    <w:p w14:paraId="1352E870" w14:textId="77777777" w:rsidR="003E7115" w:rsidRDefault="003E7115" w:rsidP="00816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2B4D" w14:textId="77777777" w:rsidR="00816060" w:rsidRPr="00816060" w:rsidRDefault="005D3E01" w:rsidP="005D3E01">
    <w:pPr>
      <w:pStyle w:val="Header"/>
      <w:jc w:val="right"/>
      <w:rPr>
        <w:b/>
        <w:sz w:val="32"/>
      </w:rPr>
    </w:pPr>
    <w:r>
      <w:rPr>
        <w:b/>
        <w:noProof/>
        <w:sz w:val="32"/>
      </w:rPr>
      <w:drawing>
        <wp:anchor distT="0" distB="0" distL="114300" distR="114300" simplePos="0" relativeHeight="251658240" behindDoc="0" locked="0" layoutInCell="1" allowOverlap="1" wp14:anchorId="636059EA" wp14:editId="31933E60">
          <wp:simplePos x="0" y="0"/>
          <wp:positionH relativeFrom="column">
            <wp:posOffset>57150</wp:posOffset>
          </wp:positionH>
          <wp:positionV relativeFrom="page">
            <wp:posOffset>276225</wp:posOffset>
          </wp:positionV>
          <wp:extent cx="1628775" cy="7867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C nFront_LLC_Process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786765"/>
                  </a:xfrm>
                  <a:prstGeom prst="rect">
                    <a:avLst/>
                  </a:prstGeom>
                </pic:spPr>
              </pic:pic>
            </a:graphicData>
          </a:graphic>
          <wp14:sizeRelH relativeFrom="margin">
            <wp14:pctWidth>0</wp14:pctWidth>
          </wp14:sizeRelH>
          <wp14:sizeRelV relativeFrom="margin">
            <wp14:pctHeight>0</wp14:pctHeight>
          </wp14:sizeRelV>
        </wp:anchor>
      </w:drawing>
    </w:r>
    <w:r w:rsidR="00816060" w:rsidRPr="00816060">
      <w:rPr>
        <w:b/>
        <w:sz w:val="32"/>
      </w:rPr>
      <w:t>KyMEA Energy Pool Concepts</w:t>
    </w:r>
  </w:p>
  <w:p w14:paraId="57B65B38" w14:textId="158ECB88" w:rsidR="005D3E01" w:rsidRDefault="00C11992" w:rsidP="005D3E01">
    <w:pPr>
      <w:pStyle w:val="Header"/>
      <w:jc w:val="right"/>
      <w:rPr>
        <w:b/>
        <w:i/>
      </w:rPr>
    </w:pPr>
    <w:r>
      <w:rPr>
        <w:b/>
        <w:i/>
      </w:rPr>
      <w:t>DRAFT of 2/22</w:t>
    </w:r>
    <w:r w:rsidR="005D3E01" w:rsidRPr="005D3E01">
      <w:rPr>
        <w:b/>
        <w:i/>
      </w:rPr>
      <w:t>/2016</w:t>
    </w:r>
  </w:p>
  <w:p w14:paraId="2222E39E" w14:textId="77777777" w:rsidR="00C11992" w:rsidRDefault="00C11992" w:rsidP="005D3E01">
    <w:pPr>
      <w:pStyle w:val="Header"/>
      <w:jc w:val="right"/>
      <w:rPr>
        <w:b/>
        <w:i/>
      </w:rPr>
    </w:pPr>
  </w:p>
  <w:p w14:paraId="0DDEE84E" w14:textId="77777777" w:rsidR="005D3E01" w:rsidRPr="005D3E01" w:rsidRDefault="005D3E01" w:rsidP="005D3E01">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8AF"/>
    <w:multiLevelType w:val="hybridMultilevel"/>
    <w:tmpl w:val="1172BE7A"/>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B1D8C"/>
    <w:multiLevelType w:val="hybridMultilevel"/>
    <w:tmpl w:val="940026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8C6807"/>
    <w:multiLevelType w:val="hybridMultilevel"/>
    <w:tmpl w:val="52005A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B"/>
    <w:rsid w:val="00030EA5"/>
    <w:rsid w:val="000A2F6B"/>
    <w:rsid w:val="000C4407"/>
    <w:rsid w:val="000F1CEC"/>
    <w:rsid w:val="0011318D"/>
    <w:rsid w:val="001252DB"/>
    <w:rsid w:val="00132963"/>
    <w:rsid w:val="00154CA0"/>
    <w:rsid w:val="001A22F5"/>
    <w:rsid w:val="001B7110"/>
    <w:rsid w:val="001E0B13"/>
    <w:rsid w:val="00223383"/>
    <w:rsid w:val="00255454"/>
    <w:rsid w:val="002A538A"/>
    <w:rsid w:val="002E671F"/>
    <w:rsid w:val="002E70D6"/>
    <w:rsid w:val="00315AC4"/>
    <w:rsid w:val="00372813"/>
    <w:rsid w:val="003A0F5A"/>
    <w:rsid w:val="003A4841"/>
    <w:rsid w:val="003A5C21"/>
    <w:rsid w:val="003C3EB3"/>
    <w:rsid w:val="003C6147"/>
    <w:rsid w:val="003C7105"/>
    <w:rsid w:val="003E6AFB"/>
    <w:rsid w:val="003E7115"/>
    <w:rsid w:val="0041223B"/>
    <w:rsid w:val="00424AEC"/>
    <w:rsid w:val="00430F33"/>
    <w:rsid w:val="00436E68"/>
    <w:rsid w:val="0045627B"/>
    <w:rsid w:val="00503E28"/>
    <w:rsid w:val="005217CD"/>
    <w:rsid w:val="005318C8"/>
    <w:rsid w:val="00561EC7"/>
    <w:rsid w:val="00576AE8"/>
    <w:rsid w:val="00584EC7"/>
    <w:rsid w:val="005C680A"/>
    <w:rsid w:val="005C7B88"/>
    <w:rsid w:val="005D3E01"/>
    <w:rsid w:val="005F0C1D"/>
    <w:rsid w:val="006062F8"/>
    <w:rsid w:val="00623593"/>
    <w:rsid w:val="00633D89"/>
    <w:rsid w:val="00637281"/>
    <w:rsid w:val="0065179A"/>
    <w:rsid w:val="00696C43"/>
    <w:rsid w:val="006B51B6"/>
    <w:rsid w:val="006E3562"/>
    <w:rsid w:val="00712385"/>
    <w:rsid w:val="0072363F"/>
    <w:rsid w:val="00724C6B"/>
    <w:rsid w:val="00767BEB"/>
    <w:rsid w:val="007D524C"/>
    <w:rsid w:val="007D63D6"/>
    <w:rsid w:val="007E12F7"/>
    <w:rsid w:val="007F25A1"/>
    <w:rsid w:val="00816060"/>
    <w:rsid w:val="00821392"/>
    <w:rsid w:val="008218B2"/>
    <w:rsid w:val="00880A16"/>
    <w:rsid w:val="008C76C6"/>
    <w:rsid w:val="009206B1"/>
    <w:rsid w:val="00927DEA"/>
    <w:rsid w:val="00932253"/>
    <w:rsid w:val="00935FEB"/>
    <w:rsid w:val="0096400B"/>
    <w:rsid w:val="00980510"/>
    <w:rsid w:val="009B4BA6"/>
    <w:rsid w:val="009E3E0E"/>
    <w:rsid w:val="00A45A50"/>
    <w:rsid w:val="00AB305B"/>
    <w:rsid w:val="00AE3905"/>
    <w:rsid w:val="00B06D6A"/>
    <w:rsid w:val="00B23F4D"/>
    <w:rsid w:val="00B269DF"/>
    <w:rsid w:val="00B277E7"/>
    <w:rsid w:val="00B47AA2"/>
    <w:rsid w:val="00B66928"/>
    <w:rsid w:val="00B91859"/>
    <w:rsid w:val="00BB01D3"/>
    <w:rsid w:val="00BC32EA"/>
    <w:rsid w:val="00C11992"/>
    <w:rsid w:val="00C66ADB"/>
    <w:rsid w:val="00CA0109"/>
    <w:rsid w:val="00CE0389"/>
    <w:rsid w:val="00CE0CAB"/>
    <w:rsid w:val="00D822B1"/>
    <w:rsid w:val="00DE77EA"/>
    <w:rsid w:val="00E032E3"/>
    <w:rsid w:val="00E25230"/>
    <w:rsid w:val="00E31235"/>
    <w:rsid w:val="00E83B90"/>
    <w:rsid w:val="00EB4A3A"/>
    <w:rsid w:val="00ED59C7"/>
    <w:rsid w:val="00EE523B"/>
    <w:rsid w:val="00F35288"/>
    <w:rsid w:val="00F37467"/>
    <w:rsid w:val="00F66AED"/>
    <w:rsid w:val="00F67001"/>
    <w:rsid w:val="00FC7ED3"/>
    <w:rsid w:val="00FE5BA2"/>
    <w:rsid w:val="00FF2131"/>
    <w:rsid w:val="7159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44F0F1"/>
  <w15:chartTrackingRefBased/>
  <w15:docId w15:val="{E1FF749A-B651-45EC-909B-F266F6FB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60"/>
  </w:style>
  <w:style w:type="paragraph" w:styleId="Footer">
    <w:name w:val="footer"/>
    <w:basedOn w:val="Normal"/>
    <w:link w:val="FooterChar"/>
    <w:uiPriority w:val="99"/>
    <w:unhideWhenUsed/>
    <w:rsid w:val="0081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60"/>
  </w:style>
  <w:style w:type="paragraph" w:styleId="ListParagraph">
    <w:name w:val="List Paragraph"/>
    <w:basedOn w:val="Normal"/>
    <w:uiPriority w:val="34"/>
    <w:qFormat/>
    <w:rsid w:val="0081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FCB5981B6164AA47525A2C48DA5E1" ma:contentTypeVersion="3" ma:contentTypeDescription="Create a new document." ma:contentTypeScope="" ma:versionID="6a3d2ced46b2f7623e9f7e6f4a6970ac">
  <xsd:schema xmlns:xsd="http://www.w3.org/2001/XMLSchema" xmlns:xs="http://www.w3.org/2001/XMLSchema" xmlns:p="http://schemas.microsoft.com/office/2006/metadata/properties" xmlns:ns2="444fad00-ec21-46cc-a133-d70aaec15ab6" targetNamespace="http://schemas.microsoft.com/office/2006/metadata/properties" ma:root="true" ma:fieldsID="4fc9f1496f4b793c1bbe8029f81632fa" ns2:_="">
    <xsd:import namespace="444fad00-ec21-46cc-a133-d70aaec15ab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ad00-ec21-46cc-a133-d70aaec15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450B0-2A92-4C28-AD1D-79103DA45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ad00-ec21-46cc-a133-d70aaec1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3F65A-2219-4B46-B2F7-EF43523FC5A9}">
  <ds:schemaRefs>
    <ds:schemaRef ds:uri="http://schemas.microsoft.com/sharepoint/v3/contenttype/forms"/>
  </ds:schemaRefs>
</ds:datastoreItem>
</file>

<file path=customXml/itemProps3.xml><?xml version="1.0" encoding="utf-8"?>
<ds:datastoreItem xmlns:ds="http://schemas.openxmlformats.org/officeDocument/2006/customXml" ds:itemID="{AFBA03E4-C526-49EB-9B04-B7FD1AE02FFA}">
  <ds:schemaRefs>
    <ds:schemaRef ds:uri="http://purl.org/dc/dcmitype/"/>
    <ds:schemaRef ds:uri="444fad00-ec21-46cc-a133-d70aaec15ab6"/>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Painter</dc:creator>
  <cp:keywords/>
  <dc:description/>
  <cp:lastModifiedBy>John Painter</cp:lastModifiedBy>
  <cp:revision>5</cp:revision>
  <dcterms:created xsi:type="dcterms:W3CDTF">2016-02-22T20:51:00Z</dcterms:created>
  <dcterms:modified xsi:type="dcterms:W3CDTF">2016-02-22T21:10:00Z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0x010100B23FCB5981B6164AA47525A2C48DA5E1</vt:lpwstr>
  </property>
</Properties>
</file>