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2545"/>
        <w:gridCol w:w="10025"/>
      </w:tblGrid>
      <w:tr w:rsidR="00D31DBB" w:rsidRPr="00B60FC5" w14:paraId="4204E01D" w14:textId="77777777" w:rsidTr="00D2386D">
        <w:trPr>
          <w:cantSplit/>
          <w:tblHeader/>
        </w:trPr>
        <w:tc>
          <w:tcPr>
            <w:tcW w:w="475" w:type="dxa"/>
            <w:shd w:val="clear" w:color="auto" w:fill="F7CAAC" w:themeFill="accent2" w:themeFillTint="66"/>
            <w:vAlign w:val="center"/>
          </w:tcPr>
          <w:p w14:paraId="0086E358" w14:textId="77777777" w:rsidR="00D31DBB" w:rsidRPr="00B60FC5" w:rsidRDefault="00D31DBB" w:rsidP="005F579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51CC61DD" w14:textId="77777777" w:rsidR="00D31DBB" w:rsidRPr="00B60FC5" w:rsidRDefault="00D31DBB" w:rsidP="005F579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B60FC5">
              <w:rPr>
                <w:rFonts w:asciiTheme="minorHAnsi" w:hAnsiTheme="minorHAnsi"/>
                <w:b/>
                <w:sz w:val="32"/>
              </w:rPr>
              <w:t>Element</w:t>
            </w:r>
          </w:p>
        </w:tc>
        <w:tc>
          <w:tcPr>
            <w:tcW w:w="10025" w:type="dxa"/>
            <w:shd w:val="clear" w:color="auto" w:fill="F7CAAC" w:themeFill="accent2" w:themeFillTint="66"/>
            <w:vAlign w:val="center"/>
          </w:tcPr>
          <w:p w14:paraId="28D32C49" w14:textId="5F278F3F" w:rsidR="00D31DBB" w:rsidRPr="00B60FC5" w:rsidRDefault="00D31DBB" w:rsidP="009875D0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B60FC5">
              <w:rPr>
                <w:rFonts w:asciiTheme="minorHAnsi" w:hAnsiTheme="minorHAnsi"/>
                <w:b/>
                <w:sz w:val="32"/>
              </w:rPr>
              <w:t>Contract Provision Concepts</w:t>
            </w:r>
          </w:p>
        </w:tc>
      </w:tr>
      <w:tr w:rsidR="00CE17E3" w:rsidRPr="00B2597C" w14:paraId="785327EE" w14:textId="77777777" w:rsidTr="00CE17E3">
        <w:trPr>
          <w:cantSplit/>
        </w:trPr>
        <w:tc>
          <w:tcPr>
            <w:tcW w:w="475" w:type="dxa"/>
            <w:shd w:val="clear" w:color="auto" w:fill="auto"/>
          </w:tcPr>
          <w:p w14:paraId="1B595609" w14:textId="52D3E893" w:rsidR="00CE17E3" w:rsidRPr="00B2597C" w:rsidRDefault="00CE17E3" w:rsidP="00260B9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shd w:val="clear" w:color="auto" w:fill="auto"/>
          </w:tcPr>
          <w:p w14:paraId="61B274CE" w14:textId="7F2B2CE1" w:rsidR="00CE17E3" w:rsidRPr="00B2597C" w:rsidRDefault="00CE17E3" w:rsidP="00B860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Potential Functional Areas</w:t>
            </w:r>
            <w:r w:rsidR="00B8603E">
              <w:rPr>
                <w:rFonts w:asciiTheme="minorHAnsi" w:hAnsiTheme="minorHAnsi"/>
              </w:rPr>
              <w:t xml:space="preserve"> of Agreement</w:t>
            </w:r>
          </w:p>
        </w:tc>
        <w:tc>
          <w:tcPr>
            <w:tcW w:w="10025" w:type="dxa"/>
            <w:shd w:val="clear" w:color="auto" w:fill="auto"/>
          </w:tcPr>
          <w:p w14:paraId="5728CBA2" w14:textId="6956B859" w:rsidR="00CE17E3" w:rsidRDefault="00CE17E3" w:rsidP="00D2386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Power Sales – expected to be for a combined cycle resource</w:t>
            </w:r>
          </w:p>
          <w:p w14:paraId="5318F1BF" w14:textId="58FD72D2" w:rsidR="00CE17E3" w:rsidRDefault="00CE17E3" w:rsidP="00D2386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 Pooling </w:t>
            </w:r>
          </w:p>
          <w:p w14:paraId="7EFF1BCD" w14:textId="4C3810AB" w:rsidR="00CE17E3" w:rsidRDefault="00CE17E3" w:rsidP="00D2386D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Management Services </w:t>
            </w:r>
          </w:p>
          <w:p w14:paraId="2A266313" w14:textId="17C28472" w:rsidR="00CE17E3" w:rsidRDefault="00CE17E3" w:rsidP="00DB67A8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</w:rPr>
            </w:pPr>
            <w:r w:rsidRPr="00B8603E">
              <w:rPr>
                <w:rFonts w:asciiTheme="minorHAnsi" w:hAnsiTheme="minorHAnsi"/>
              </w:rPr>
              <w:t>All Requirement</w:t>
            </w:r>
            <w:r w:rsidR="008A3327">
              <w:rPr>
                <w:rFonts w:asciiTheme="minorHAnsi" w:hAnsiTheme="minorHAnsi"/>
              </w:rPr>
              <w:t>s</w:t>
            </w:r>
            <w:r w:rsidRPr="00B8603E">
              <w:rPr>
                <w:rFonts w:asciiTheme="minorHAnsi" w:hAnsiTheme="minorHAnsi"/>
              </w:rPr>
              <w:t xml:space="preserve"> Service </w:t>
            </w:r>
          </w:p>
          <w:p w14:paraId="3FE6D01A" w14:textId="1940559A" w:rsidR="00B8603E" w:rsidRDefault="00B8603E" w:rsidP="00B8603E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Participation</w:t>
            </w:r>
            <w:r w:rsidR="007761E7">
              <w:rPr>
                <w:rFonts w:asciiTheme="minorHAnsi" w:hAnsiTheme="minorHAnsi"/>
              </w:rPr>
              <w:t xml:space="preserve"> </w:t>
            </w:r>
          </w:p>
          <w:p w14:paraId="0CD1383D" w14:textId="77777777" w:rsidR="00B8603E" w:rsidRPr="00B8603E" w:rsidRDefault="00B8603E" w:rsidP="00B8603E">
            <w:pPr>
              <w:rPr>
                <w:rFonts w:asciiTheme="minorHAnsi" w:hAnsiTheme="minorHAnsi"/>
              </w:rPr>
            </w:pPr>
          </w:p>
          <w:p w14:paraId="0D964EED" w14:textId="77777777" w:rsidR="007761E7" w:rsidRDefault="00CE17E3" w:rsidP="007761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parties</w:t>
            </w:r>
            <w:r w:rsidR="00B8603E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agreements in these areas could be contained on one or </w:t>
            </w:r>
            <w:r w:rsidR="00B8603E">
              <w:rPr>
                <w:rFonts w:asciiTheme="minorHAnsi" w:hAnsiTheme="minorHAnsi"/>
              </w:rPr>
              <w:t>multiple contracts</w:t>
            </w:r>
            <w:r>
              <w:rPr>
                <w:rFonts w:asciiTheme="minorHAnsi" w:hAnsiTheme="minorHAnsi"/>
              </w:rPr>
              <w:t xml:space="preserve">. If </w:t>
            </w:r>
            <w:r w:rsidR="00B8603E">
              <w:rPr>
                <w:rFonts w:asciiTheme="minorHAnsi" w:hAnsiTheme="minorHAnsi"/>
              </w:rPr>
              <w:t>multiple contracts</w:t>
            </w:r>
            <w:r>
              <w:rPr>
                <w:rFonts w:asciiTheme="minorHAnsi" w:hAnsiTheme="minorHAnsi"/>
              </w:rPr>
              <w:t xml:space="preserve">, the </w:t>
            </w:r>
            <w:r w:rsidR="00B8603E">
              <w:rPr>
                <w:rFonts w:asciiTheme="minorHAnsi" w:hAnsiTheme="minorHAnsi"/>
              </w:rPr>
              <w:t xml:space="preserve">contracts </w:t>
            </w:r>
            <w:r>
              <w:rPr>
                <w:rFonts w:asciiTheme="minorHAnsi" w:hAnsiTheme="minorHAnsi"/>
              </w:rPr>
              <w:t>would be interdependent to certain extents.</w:t>
            </w:r>
            <w:r w:rsidR="00B860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 instance, an agreement addressing functional area 1 would make little sense from KyMEA’s perspective</w:t>
            </w:r>
          </w:p>
          <w:p w14:paraId="463B54BE" w14:textId="77777777" w:rsidR="007761E7" w:rsidRPr="007761E7" w:rsidRDefault="007761E7" w:rsidP="007761E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</w:t>
            </w:r>
            <w:r w:rsidR="00CE17E3" w:rsidRPr="007761E7">
              <w:rPr>
                <w:rFonts w:asciiTheme="minorHAnsi" w:hAnsiTheme="minorHAnsi"/>
              </w:rPr>
              <w:t>ithout an agreement in functional area 3</w:t>
            </w:r>
            <w:r>
              <w:rPr>
                <w:rFonts w:asciiTheme="minorHAnsi" w:hAnsiTheme="minorHAnsi"/>
              </w:rPr>
              <w:t xml:space="preserve"> and</w:t>
            </w:r>
          </w:p>
          <w:p w14:paraId="1637DE2D" w14:textId="08C18686" w:rsidR="00CE17E3" w:rsidRPr="007761E7" w:rsidRDefault="007761E7" w:rsidP="007761E7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</w:t>
            </w:r>
            <w:r w:rsidR="00CE17E3" w:rsidRPr="007761E7">
              <w:rPr>
                <w:rFonts w:asciiTheme="minorHAnsi" w:hAnsiTheme="minorHAnsi"/>
              </w:rPr>
              <w:t>robably some form of an agreement in functional area 2.</w:t>
            </w:r>
          </w:p>
        </w:tc>
      </w:tr>
      <w:tr w:rsidR="00D2386D" w:rsidRPr="005F579F" w14:paraId="476BF506" w14:textId="77777777" w:rsidTr="00D31DBB">
        <w:trPr>
          <w:cantSplit/>
          <w:trHeight w:val="28"/>
        </w:trPr>
        <w:tc>
          <w:tcPr>
            <w:tcW w:w="13045" w:type="dxa"/>
            <w:gridSpan w:val="3"/>
            <w:shd w:val="clear" w:color="auto" w:fill="A8D08D" w:themeFill="accent6" w:themeFillTint="99"/>
          </w:tcPr>
          <w:p w14:paraId="2D0EA33B" w14:textId="6E499F8C" w:rsidR="00D2386D" w:rsidRPr="005F579F" w:rsidRDefault="007761E7" w:rsidP="007761E7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Unit Power Sales</w:t>
            </w:r>
          </w:p>
        </w:tc>
      </w:tr>
      <w:tr w:rsidR="00D2386D" w:rsidRPr="00B2597C" w14:paraId="1769114E" w14:textId="77777777" w:rsidTr="00D31DBB">
        <w:trPr>
          <w:cantSplit/>
        </w:trPr>
        <w:tc>
          <w:tcPr>
            <w:tcW w:w="475" w:type="dxa"/>
            <w:shd w:val="clear" w:color="auto" w:fill="auto"/>
          </w:tcPr>
          <w:p w14:paraId="50169692" w14:textId="69E64F80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0D9B374F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Term</w:t>
            </w:r>
          </w:p>
        </w:tc>
        <w:tc>
          <w:tcPr>
            <w:tcW w:w="10025" w:type="dxa"/>
            <w:shd w:val="clear" w:color="auto" w:fill="auto"/>
          </w:tcPr>
          <w:p w14:paraId="16A58421" w14:textId="49815C8A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term would follow the term of any agreement entered into by KyMEA to obtain access to the resources on behalf of KyMEA (KyMEA’s PPA for OMU).  </w:t>
            </w:r>
          </w:p>
          <w:p w14:paraId="549DBD08" w14:textId="77777777" w:rsidR="00D2386D" w:rsidRDefault="00D2386D" w:rsidP="00D2386D">
            <w:pPr>
              <w:rPr>
                <w:rFonts w:asciiTheme="minorHAnsi" w:hAnsiTheme="minorHAnsi"/>
              </w:rPr>
            </w:pPr>
          </w:p>
          <w:p w14:paraId="2DACE512" w14:textId="78495C77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Combined Cycle Proposer 1 has proposed a minimum term of 10 years commencing at some date between the commercial operation of the project and December 31, 2023.</w:t>
            </w:r>
          </w:p>
        </w:tc>
      </w:tr>
      <w:tr w:rsidR="00D2386D" w:rsidRPr="00B2597C" w14:paraId="0101CB49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34C9AB6A" w14:textId="4269C4F5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37C1BF53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Nature of service</w:t>
            </w:r>
          </w:p>
        </w:tc>
        <w:tc>
          <w:tcPr>
            <w:tcW w:w="10025" w:type="dxa"/>
            <w:shd w:val="clear" w:color="auto" w:fill="auto"/>
          </w:tcPr>
          <w:p w14:paraId="552FB50B" w14:textId="3DFE75DD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unit power sales agreement mirroring KyMEA’s PPA for OMU.</w:t>
            </w:r>
          </w:p>
        </w:tc>
      </w:tr>
      <w:tr w:rsidR="00D2386D" w:rsidRPr="00B2597C" w14:paraId="1A5DDD13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238E298A" w14:textId="5862E08B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1FDC4CAE" w14:textId="5CE17E64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Rates and Charges</w:t>
            </w:r>
          </w:p>
        </w:tc>
        <w:tc>
          <w:tcPr>
            <w:tcW w:w="10025" w:type="dxa"/>
            <w:shd w:val="clear" w:color="auto" w:fill="auto"/>
          </w:tcPr>
          <w:p w14:paraId="617675DE" w14:textId="706FDFBD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 xml:space="preserve"> would directly assign </w:t>
            </w:r>
            <w:r>
              <w:rPr>
                <w:rFonts w:asciiTheme="minorHAnsi" w:hAnsiTheme="minorHAnsi"/>
              </w:rPr>
              <w:t xml:space="preserve">to OMU </w:t>
            </w:r>
            <w:r w:rsidRPr="00B2597C">
              <w:rPr>
                <w:rFonts w:asciiTheme="minorHAnsi" w:hAnsiTheme="minorHAnsi"/>
              </w:rPr>
              <w:t xml:space="preserve">the actual costs of </w:t>
            </w:r>
            <w:r>
              <w:rPr>
                <w:rFonts w:asciiTheme="minorHAnsi" w:hAnsiTheme="minorHAnsi"/>
              </w:rPr>
              <w:t xml:space="preserve">the capacity resources, energy, </w:t>
            </w:r>
            <w:r w:rsidRPr="00B2597C">
              <w:rPr>
                <w:rFonts w:asciiTheme="minorHAnsi" w:hAnsiTheme="minorHAnsi"/>
              </w:rPr>
              <w:t xml:space="preserve">transmission and </w:t>
            </w:r>
            <w:r>
              <w:rPr>
                <w:rFonts w:asciiTheme="minorHAnsi" w:hAnsiTheme="minorHAnsi"/>
              </w:rPr>
              <w:t>other costs incurred by KyMEA to deliver the resource capacity and energy to OMU</w:t>
            </w:r>
            <w:r w:rsidRPr="00B2597C">
              <w:rPr>
                <w:rFonts w:asciiTheme="minorHAnsi" w:hAnsiTheme="minorHAnsi"/>
              </w:rPr>
              <w:t xml:space="preserve"> load.</w:t>
            </w:r>
          </w:p>
        </w:tc>
      </w:tr>
      <w:tr w:rsidR="00D2386D" w:rsidRPr="00B2597C" w14:paraId="457C016A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3A6EB711" w14:textId="7EF1E840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4471C9A3" w14:textId="7F346E74" w:rsidR="00D2386D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Billing and payment</w:t>
            </w:r>
            <w:r>
              <w:rPr>
                <w:rFonts w:asciiTheme="minorHAnsi" w:hAnsiTheme="minorHAnsi"/>
              </w:rPr>
              <w:t xml:space="preserve"> and other provisions</w:t>
            </w:r>
          </w:p>
        </w:tc>
        <w:tc>
          <w:tcPr>
            <w:tcW w:w="10025" w:type="dxa"/>
            <w:shd w:val="clear" w:color="auto" w:fill="auto"/>
          </w:tcPr>
          <w:p w14:paraId="5C515079" w14:textId="7F5FB57D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OMU’s obligations would mirror obligations under the KyMEA PPA for OMU. </w:t>
            </w:r>
          </w:p>
        </w:tc>
      </w:tr>
      <w:tr w:rsidR="00D2386D" w:rsidRPr="00B2597C" w14:paraId="30187276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0E84A2D6" w14:textId="12ADAEEB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545" w:type="dxa"/>
            <w:shd w:val="clear" w:color="auto" w:fill="auto"/>
          </w:tcPr>
          <w:p w14:paraId="1167A91D" w14:textId="5F1A291A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Considerations</w:t>
            </w:r>
          </w:p>
        </w:tc>
        <w:tc>
          <w:tcPr>
            <w:tcW w:w="10025" w:type="dxa"/>
            <w:shd w:val="clear" w:color="auto" w:fill="auto"/>
          </w:tcPr>
          <w:p w14:paraId="50CF67F2" w14:textId="28BAB811" w:rsidR="00D2386D" w:rsidRDefault="00D2386D" w:rsidP="007761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agreement would provide for KyMEA </w:t>
            </w:r>
            <w:r w:rsidR="007761E7">
              <w:rPr>
                <w:rFonts w:asciiTheme="minorHAnsi" w:hAnsiTheme="minorHAnsi"/>
              </w:rPr>
              <w:t>and OMU</w:t>
            </w:r>
            <w:r>
              <w:rPr>
                <w:rFonts w:asciiTheme="minorHAnsi" w:hAnsiTheme="minorHAnsi"/>
              </w:rPr>
              <w:t xml:space="preserve"> to exercise any option to purchase a share of the resource from which the power is provided.  </w:t>
            </w:r>
            <w:r w:rsidR="007761E7">
              <w:rPr>
                <w:rFonts w:asciiTheme="minorHAnsi" w:hAnsiTheme="minorHAnsi"/>
              </w:rPr>
              <w:t xml:space="preserve">If OMU would be interested in continuing to use the capacity and energy from the resource, </w:t>
            </w:r>
            <w:r>
              <w:rPr>
                <w:rFonts w:asciiTheme="minorHAnsi" w:hAnsiTheme="minorHAnsi"/>
              </w:rPr>
              <w:t>KyMEA would have the obligation to assign that right to OMU</w:t>
            </w:r>
            <w:r w:rsidR="007761E7">
              <w:rPr>
                <w:rFonts w:asciiTheme="minorHAnsi" w:hAnsiTheme="minorHAnsi"/>
              </w:rPr>
              <w:t xml:space="preserve"> or KyMEA and OMU could enter a Unit Participation Agreement under which KyMEA could purchase the asset share and OMU could receive the capacity and energy and commit to a take or pay obligation for the resource.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C4A8F" w:rsidRPr="00B2597C" w14:paraId="5AE530AE" w14:textId="77777777" w:rsidTr="00266D38">
        <w:trPr>
          <w:cantSplit/>
          <w:trHeight w:val="53"/>
        </w:trPr>
        <w:tc>
          <w:tcPr>
            <w:tcW w:w="475" w:type="dxa"/>
            <w:shd w:val="clear" w:color="auto" w:fill="auto"/>
          </w:tcPr>
          <w:p w14:paraId="279C3C8D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14:paraId="2FCBB5FB" w14:textId="59838594" w:rsidR="001C4A8F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KyMEA covenants</w:t>
            </w:r>
            <w:r>
              <w:rPr>
                <w:rFonts w:asciiTheme="minorHAnsi" w:hAnsiTheme="minorHAnsi"/>
              </w:rPr>
              <w:t xml:space="preserve"> Unique to the Area</w:t>
            </w:r>
          </w:p>
        </w:tc>
        <w:tc>
          <w:tcPr>
            <w:tcW w:w="10025" w:type="dxa"/>
            <w:shd w:val="clear" w:color="auto" w:fill="auto"/>
          </w:tcPr>
          <w:p w14:paraId="6D04595D" w14:textId="77777777" w:rsidR="001C4A8F" w:rsidRDefault="001C4A8F" w:rsidP="00266D38">
            <w:pPr>
              <w:rPr>
                <w:rFonts w:asciiTheme="minorHAnsi" w:hAnsiTheme="minorHAnsi"/>
              </w:rPr>
            </w:pPr>
          </w:p>
        </w:tc>
      </w:tr>
      <w:tr w:rsidR="001C4A8F" w:rsidRPr="00B2597C" w14:paraId="661F6F40" w14:textId="77777777" w:rsidTr="00B60FC5">
        <w:trPr>
          <w:cantSplit/>
          <w:trHeight w:val="1853"/>
        </w:trPr>
        <w:tc>
          <w:tcPr>
            <w:tcW w:w="475" w:type="dxa"/>
            <w:shd w:val="clear" w:color="auto" w:fill="auto"/>
          </w:tcPr>
          <w:p w14:paraId="258972A2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14:paraId="24FF6827" w14:textId="46CEFECF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Covenants and Credit Requirements Unique to this Area</w:t>
            </w:r>
          </w:p>
        </w:tc>
        <w:tc>
          <w:tcPr>
            <w:tcW w:w="10025" w:type="dxa"/>
            <w:shd w:val="clear" w:color="auto" w:fill="auto"/>
          </w:tcPr>
          <w:p w14:paraId="754B5597" w14:textId="77777777" w:rsidR="001C4A8F" w:rsidRDefault="001C4A8F" w:rsidP="00266D38">
            <w:pPr>
              <w:rPr>
                <w:rFonts w:asciiTheme="minorHAnsi" w:hAnsiTheme="minorHAnsi"/>
              </w:rPr>
            </w:pPr>
          </w:p>
        </w:tc>
      </w:tr>
      <w:tr w:rsidR="00D2386D" w:rsidRPr="005F579F" w14:paraId="4CA1A564" w14:textId="77777777" w:rsidTr="00D31DBB">
        <w:trPr>
          <w:cantSplit/>
        </w:trPr>
        <w:tc>
          <w:tcPr>
            <w:tcW w:w="13045" w:type="dxa"/>
            <w:gridSpan w:val="3"/>
            <w:shd w:val="clear" w:color="auto" w:fill="B4C6E7" w:themeFill="accent5" w:themeFillTint="66"/>
          </w:tcPr>
          <w:p w14:paraId="5AC939B1" w14:textId="65F8CDEA" w:rsidR="00D2386D" w:rsidRPr="005F579F" w:rsidRDefault="00D2386D" w:rsidP="00D2386D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</w:t>
            </w:r>
            <w:r w:rsidR="00EB5BDF">
              <w:rPr>
                <w:rFonts w:asciiTheme="minorHAnsi" w:hAnsiTheme="minorHAnsi"/>
                <w:b/>
                <w:sz w:val="32"/>
              </w:rPr>
              <w:t>ooling</w:t>
            </w:r>
          </w:p>
        </w:tc>
      </w:tr>
      <w:tr w:rsidR="00D2386D" w:rsidRPr="00B2597C" w14:paraId="2031FBC3" w14:textId="77777777" w:rsidTr="00B60FC5">
        <w:trPr>
          <w:cantSplit/>
          <w:trHeight w:val="2213"/>
        </w:trPr>
        <w:tc>
          <w:tcPr>
            <w:tcW w:w="13045" w:type="dxa"/>
            <w:gridSpan w:val="3"/>
            <w:shd w:val="clear" w:color="auto" w:fill="auto"/>
          </w:tcPr>
          <w:p w14:paraId="52805461" w14:textId="4AEF1A37" w:rsidR="00D2386D" w:rsidRDefault="00D2386D" w:rsidP="00D23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see the document titled “KyMEA Pool Concepts.”</w:t>
            </w:r>
          </w:p>
        </w:tc>
      </w:tr>
      <w:tr w:rsidR="00D2386D" w:rsidRPr="005F579F" w14:paraId="03F05F89" w14:textId="77777777" w:rsidTr="00D31DBB">
        <w:trPr>
          <w:cantSplit/>
        </w:trPr>
        <w:tc>
          <w:tcPr>
            <w:tcW w:w="13045" w:type="dxa"/>
            <w:gridSpan w:val="3"/>
            <w:shd w:val="clear" w:color="auto" w:fill="FFC000" w:themeFill="accent4"/>
          </w:tcPr>
          <w:p w14:paraId="6F6684CF" w14:textId="69E04794" w:rsidR="00D2386D" w:rsidRPr="005F579F" w:rsidRDefault="00D2386D" w:rsidP="00D2386D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403B80">
              <w:rPr>
                <w:rFonts w:asciiTheme="minorHAnsi" w:hAnsiTheme="minorHAnsi"/>
                <w:b/>
                <w:sz w:val="32"/>
              </w:rPr>
              <w:lastRenderedPageBreak/>
              <w:t>Management</w:t>
            </w:r>
            <w:r w:rsidR="00EB5BDF">
              <w:rPr>
                <w:rFonts w:asciiTheme="minorHAnsi" w:hAnsiTheme="minorHAnsi"/>
                <w:b/>
                <w:sz w:val="32"/>
              </w:rPr>
              <w:t xml:space="preserve"> Services</w:t>
            </w:r>
          </w:p>
        </w:tc>
      </w:tr>
      <w:tr w:rsidR="00D2386D" w:rsidRPr="00B2597C" w14:paraId="21E02BF6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131B0C09" w14:textId="1F4CFA52" w:rsidR="00D2386D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0FA97F27" w14:textId="4AC66638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Term</w:t>
            </w:r>
            <w:r w:rsidR="0069081E">
              <w:rPr>
                <w:rFonts w:asciiTheme="minorHAnsi" w:hAnsiTheme="minorHAnsi"/>
              </w:rPr>
              <w:t xml:space="preserve"> and Obligations to Provide Services</w:t>
            </w:r>
          </w:p>
        </w:tc>
        <w:tc>
          <w:tcPr>
            <w:tcW w:w="10025" w:type="dxa"/>
            <w:shd w:val="clear" w:color="auto" w:fill="auto"/>
          </w:tcPr>
          <w:p w14:paraId="3D58D40A" w14:textId="2B963534" w:rsidR="0069081E" w:rsidRDefault="007761E7" w:rsidP="00D2386D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Obligations related to </w:t>
            </w:r>
            <w:r w:rsidR="00D2386D" w:rsidRPr="00685628">
              <w:rPr>
                <w:rFonts w:asciiTheme="minorHAnsi" w:hAnsiTheme="minorHAnsi"/>
              </w:rPr>
              <w:t xml:space="preserve">Management Services Agreement would </w:t>
            </w:r>
            <w:r w:rsidR="0069081E">
              <w:rPr>
                <w:rFonts w:asciiTheme="minorHAnsi" w:hAnsiTheme="minorHAnsi"/>
              </w:rPr>
              <w:t>be effective upon execution</w:t>
            </w:r>
            <w:r>
              <w:rPr>
                <w:rFonts w:asciiTheme="minorHAnsi" w:hAnsiTheme="minorHAnsi"/>
              </w:rPr>
              <w:t xml:space="preserve"> of the agreement</w:t>
            </w:r>
            <w:r w:rsidR="0069081E">
              <w:rPr>
                <w:rFonts w:asciiTheme="minorHAnsi" w:hAnsiTheme="minorHAnsi"/>
              </w:rPr>
              <w:t xml:space="preserve">. </w:t>
            </w:r>
          </w:p>
          <w:p w14:paraId="15C28023" w14:textId="08F5ADF4" w:rsidR="00D2386D" w:rsidRPr="00685628" w:rsidRDefault="0069081E" w:rsidP="00D2386D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agreement would specify that transitional activities would commence in FY2018</w:t>
            </w:r>
            <w:r w:rsidR="00D2386D" w:rsidRPr="00685628">
              <w:rPr>
                <w:rFonts w:asciiTheme="minorHAnsi" w:hAnsiTheme="minorHAnsi"/>
              </w:rPr>
              <w:t xml:space="preserve"> </w:t>
            </w:r>
            <w:r w:rsidR="007761E7">
              <w:rPr>
                <w:rFonts w:asciiTheme="minorHAnsi" w:hAnsiTheme="minorHAnsi"/>
              </w:rPr>
              <w:t xml:space="preserve">as deemed necessary by the Board </w:t>
            </w:r>
            <w:r w:rsidR="00D2386D" w:rsidRPr="00685628">
              <w:rPr>
                <w:rFonts w:asciiTheme="minorHAnsi" w:hAnsiTheme="minorHAnsi"/>
              </w:rPr>
              <w:t xml:space="preserve">to support staff development and organization effort. </w:t>
            </w:r>
          </w:p>
          <w:p w14:paraId="441D14E5" w14:textId="231D0609" w:rsidR="00D2386D" w:rsidRPr="00685628" w:rsidRDefault="00D2386D" w:rsidP="00D2386D">
            <w:pPr>
              <w:spacing w:after="120"/>
              <w:rPr>
                <w:rFonts w:asciiTheme="minorHAnsi" w:hAnsiTheme="minorHAnsi"/>
              </w:rPr>
            </w:pPr>
            <w:r w:rsidRPr="00685628">
              <w:rPr>
                <w:rFonts w:asciiTheme="minorHAnsi" w:hAnsiTheme="minorHAnsi"/>
              </w:rPr>
              <w:t>Services would begin as the organization is prepared to provide the services</w:t>
            </w:r>
            <w:r w:rsidR="007761E7">
              <w:rPr>
                <w:rFonts w:asciiTheme="minorHAnsi" w:hAnsiTheme="minorHAnsi"/>
              </w:rPr>
              <w:t xml:space="preserve"> upon mutual agreement of the parties</w:t>
            </w:r>
            <w:r w:rsidRPr="00685628">
              <w:rPr>
                <w:rFonts w:asciiTheme="minorHAnsi" w:hAnsiTheme="minorHAnsi"/>
              </w:rPr>
              <w:t xml:space="preserve">, but </w:t>
            </w:r>
            <w:r w:rsidR="007761E7">
              <w:rPr>
                <w:rFonts w:asciiTheme="minorHAnsi" w:hAnsiTheme="minorHAnsi"/>
              </w:rPr>
              <w:t xml:space="preserve">KyMEA would be obligated to be in a position to provide services </w:t>
            </w:r>
            <w:r w:rsidRPr="00685628">
              <w:rPr>
                <w:rFonts w:asciiTheme="minorHAnsi" w:hAnsiTheme="minorHAnsi"/>
              </w:rPr>
              <w:t xml:space="preserve">no later than May 1, 2019. </w:t>
            </w:r>
          </w:p>
          <w:p w14:paraId="747FB263" w14:textId="17C0E83F" w:rsidR="00D2386D" w:rsidRPr="00685628" w:rsidRDefault="00D2386D" w:rsidP="007761E7">
            <w:pPr>
              <w:spacing w:after="120"/>
              <w:rPr>
                <w:rFonts w:asciiTheme="minorHAnsi" w:hAnsiTheme="minorHAnsi"/>
              </w:rPr>
            </w:pPr>
            <w:r w:rsidRPr="00685628">
              <w:rPr>
                <w:rFonts w:asciiTheme="minorHAnsi" w:hAnsiTheme="minorHAnsi"/>
              </w:rPr>
              <w:t xml:space="preserve">The term would extend for a minimum of 5 years after May 1, 2019 to June 1, 2024, but would follow the term of the </w:t>
            </w:r>
            <w:r>
              <w:rPr>
                <w:rFonts w:asciiTheme="minorHAnsi" w:hAnsiTheme="minorHAnsi"/>
              </w:rPr>
              <w:t xml:space="preserve">any </w:t>
            </w:r>
            <w:r w:rsidR="0069081E">
              <w:rPr>
                <w:rFonts w:asciiTheme="minorHAnsi" w:hAnsiTheme="minorHAnsi"/>
              </w:rPr>
              <w:t xml:space="preserve">KyMEA </w:t>
            </w:r>
            <w:r>
              <w:rPr>
                <w:rFonts w:asciiTheme="minorHAnsi" w:hAnsiTheme="minorHAnsi"/>
              </w:rPr>
              <w:t>Pooling</w:t>
            </w:r>
            <w:r w:rsidR="0069081E">
              <w:rPr>
                <w:rFonts w:asciiTheme="minorHAnsi" w:hAnsiTheme="minorHAnsi"/>
              </w:rPr>
              <w:t xml:space="preserve"> or</w:t>
            </w:r>
            <w:r w:rsidRPr="00685628">
              <w:rPr>
                <w:rFonts w:asciiTheme="minorHAnsi" w:hAnsiTheme="minorHAnsi"/>
              </w:rPr>
              <w:t xml:space="preserve"> Unit Power Sales Agreements</w:t>
            </w:r>
            <w:r w:rsidR="0069081E">
              <w:rPr>
                <w:rFonts w:asciiTheme="minorHAnsi" w:hAnsiTheme="minorHAnsi"/>
              </w:rPr>
              <w:t xml:space="preserve"> in effect with OMU</w:t>
            </w:r>
            <w:r w:rsidR="007761E7">
              <w:rPr>
                <w:rFonts w:asciiTheme="minorHAnsi" w:hAnsiTheme="minorHAnsi"/>
              </w:rPr>
              <w:t xml:space="preserve">.  (Should this also apply to </w:t>
            </w:r>
            <w:r>
              <w:rPr>
                <w:rFonts w:asciiTheme="minorHAnsi" w:hAnsiTheme="minorHAnsi"/>
              </w:rPr>
              <w:t>3</w:t>
            </w:r>
            <w:r w:rsidRPr="00D31DBB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Party Services Agreement </w:t>
            </w:r>
            <w:r w:rsidR="0069081E">
              <w:rPr>
                <w:rFonts w:asciiTheme="minorHAnsi" w:hAnsiTheme="minorHAnsi"/>
              </w:rPr>
              <w:t xml:space="preserve">entered into by </w:t>
            </w:r>
            <w:r w:rsidR="007761E7">
              <w:rPr>
                <w:rFonts w:asciiTheme="minorHAnsi" w:hAnsiTheme="minorHAnsi"/>
              </w:rPr>
              <w:t>KyMEA to provide service to OMU?)</w:t>
            </w:r>
          </w:p>
        </w:tc>
      </w:tr>
      <w:tr w:rsidR="00D2386D" w:rsidRPr="00B2597C" w14:paraId="53B7490A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61F5E225" w14:textId="13CB69EA" w:rsidR="00D2386D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30F18593" w14:textId="1C9F2A6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Nature of service</w:t>
            </w:r>
          </w:p>
        </w:tc>
        <w:tc>
          <w:tcPr>
            <w:tcW w:w="10025" w:type="dxa"/>
            <w:shd w:val="clear" w:color="auto" w:fill="auto"/>
          </w:tcPr>
          <w:p w14:paraId="2DE0402A" w14:textId="5E9A7B7F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services provide</w:t>
            </w:r>
            <w:r w:rsidR="007761E7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would include:</w:t>
            </w:r>
          </w:p>
          <w:p w14:paraId="0F0A68EC" w14:textId="77777777" w:rsidR="00D2386D" w:rsidRDefault="00D2386D" w:rsidP="006908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</w:rPr>
            </w:pPr>
            <w:r w:rsidRPr="00333D61">
              <w:rPr>
                <w:rFonts w:asciiTheme="minorHAnsi" w:hAnsiTheme="minorHAnsi"/>
              </w:rPr>
              <w:t>Short term power supply planning and marketing</w:t>
            </w:r>
            <w:r>
              <w:rPr>
                <w:rFonts w:asciiTheme="minorHAnsi" w:hAnsiTheme="minorHAnsi"/>
              </w:rPr>
              <w:t>;</w:t>
            </w:r>
          </w:p>
          <w:p w14:paraId="4C81C339" w14:textId="7E0ACE1E" w:rsidR="00D2386D" w:rsidRDefault="007761E7" w:rsidP="006908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s</w:t>
            </w:r>
            <w:r w:rsidR="00D2386D">
              <w:rPr>
                <w:rFonts w:asciiTheme="minorHAnsi" w:hAnsiTheme="minorHAnsi"/>
              </w:rPr>
              <w:t>cheduling;</w:t>
            </w:r>
          </w:p>
          <w:p w14:paraId="4E6429D5" w14:textId="716FD430" w:rsidR="00D2386D" w:rsidRDefault="00D2386D" w:rsidP="006908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Billing and settlement; and </w:t>
            </w:r>
          </w:p>
          <w:p w14:paraId="3C9E33F7" w14:textId="0020864A" w:rsidR="00D2386D" w:rsidRDefault="00D2386D" w:rsidP="0069081E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</w:rPr>
            </w:pPr>
            <w:r w:rsidRPr="00333D61">
              <w:rPr>
                <w:rFonts w:asciiTheme="minorHAnsi" w:hAnsiTheme="minorHAnsi"/>
              </w:rPr>
              <w:t>Potentially, long term power supply planning.</w:t>
            </w:r>
          </w:p>
        </w:tc>
      </w:tr>
      <w:tr w:rsidR="00D2386D" w:rsidRPr="00B2597C" w14:paraId="75587795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33F04C99" w14:textId="16637231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545" w:type="dxa"/>
            <w:shd w:val="clear" w:color="auto" w:fill="auto"/>
          </w:tcPr>
          <w:p w14:paraId="24B74FCB" w14:textId="7A73484E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Rates and Charges</w:t>
            </w:r>
          </w:p>
        </w:tc>
        <w:tc>
          <w:tcPr>
            <w:tcW w:w="10025" w:type="dxa"/>
            <w:shd w:val="clear" w:color="auto" w:fill="auto"/>
          </w:tcPr>
          <w:p w14:paraId="5AC51CA0" w14:textId="2C001168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would allocate</w:t>
            </w:r>
            <w:r w:rsidRPr="00B2597C">
              <w:rPr>
                <w:rFonts w:asciiTheme="minorHAnsi" w:hAnsiTheme="minorHAnsi"/>
              </w:rPr>
              <w:t xml:space="preserve"> to OMU the costs </w:t>
            </w:r>
            <w:r>
              <w:rPr>
                <w:rFonts w:asciiTheme="minorHAnsi" w:hAnsiTheme="minorHAnsi"/>
              </w:rPr>
              <w:t>of KyMEA</w:t>
            </w:r>
            <w:r w:rsidRPr="00B2597C">
              <w:rPr>
                <w:rFonts w:asciiTheme="minorHAnsi" w:hAnsiTheme="minorHAnsi"/>
              </w:rPr>
              <w:t xml:space="preserve"> administrative </w:t>
            </w:r>
            <w:r w:rsidR="0069081E">
              <w:rPr>
                <w:rFonts w:asciiTheme="minorHAnsi" w:hAnsiTheme="minorHAnsi"/>
              </w:rPr>
              <w:t xml:space="preserve">and management functions in a manner </w:t>
            </w:r>
            <w:r w:rsidRPr="00B2597C">
              <w:rPr>
                <w:rFonts w:asciiTheme="minorHAnsi" w:hAnsiTheme="minorHAnsi"/>
              </w:rPr>
              <w:t xml:space="preserve">consistent with </w:t>
            </w:r>
            <w:r w:rsidR="0069081E">
              <w:rPr>
                <w:rFonts w:asciiTheme="minorHAnsi" w:hAnsiTheme="minorHAnsi"/>
              </w:rPr>
              <w:t>Normal Ratemaking Practices</w:t>
            </w:r>
            <w:r>
              <w:rPr>
                <w:rFonts w:asciiTheme="minorHAnsi" w:hAnsiTheme="minorHAnsi"/>
              </w:rPr>
              <w:t>. Accordingly, certain costs would be allocated based on:</w:t>
            </w:r>
          </w:p>
          <w:p w14:paraId="25208FF0" w14:textId="4BAF1B5B" w:rsidR="00D2386D" w:rsidRDefault="00D2386D" w:rsidP="00D2386D">
            <w:pPr>
              <w:pStyle w:val="ListParagraph"/>
              <w:numPr>
                <w:ilvl w:val="0"/>
                <w:numId w:val="40"/>
              </w:numPr>
              <w:spacing w:after="0"/>
              <w:ind w:left="7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Capacity or demand managed;</w:t>
            </w:r>
          </w:p>
          <w:p w14:paraId="5EF0C495" w14:textId="1BC0B37F" w:rsidR="00D2386D" w:rsidRDefault="00D2386D" w:rsidP="00D2386D">
            <w:pPr>
              <w:pStyle w:val="ListParagraph"/>
              <w:numPr>
                <w:ilvl w:val="0"/>
                <w:numId w:val="40"/>
              </w:numPr>
              <w:spacing w:after="0"/>
              <w:ind w:left="7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Energy supplied; or </w:t>
            </w:r>
          </w:p>
          <w:p w14:paraId="2A7A92E7" w14:textId="19A8858C" w:rsidR="00D2386D" w:rsidRDefault="00D2386D" w:rsidP="00D2386D">
            <w:pPr>
              <w:pStyle w:val="ListParagraph"/>
              <w:numPr>
                <w:ilvl w:val="0"/>
                <w:numId w:val="40"/>
              </w:numPr>
              <w:spacing w:after="0"/>
              <w:ind w:left="7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assignment</w:t>
            </w:r>
            <w:r w:rsidR="0069081E">
              <w:rPr>
                <w:rFonts w:asciiTheme="minorHAnsi" w:hAnsiTheme="minorHAnsi"/>
              </w:rPr>
              <w:t>.</w:t>
            </w:r>
          </w:p>
          <w:p w14:paraId="55998FB5" w14:textId="483A7CE7" w:rsidR="00D2386D" w:rsidRDefault="00D2386D" w:rsidP="00D2386D">
            <w:pPr>
              <w:rPr>
                <w:rFonts w:asciiTheme="minorHAnsi" w:hAnsiTheme="minorHAnsi"/>
              </w:rPr>
            </w:pPr>
          </w:p>
          <w:p w14:paraId="277CD9CB" w14:textId="3AD1346E" w:rsidR="00D2386D" w:rsidRPr="008D4680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KyMEA Board would establish </w:t>
            </w:r>
            <w:r w:rsidR="001C4A8F">
              <w:rPr>
                <w:rFonts w:asciiTheme="minorHAnsi" w:hAnsiTheme="minorHAnsi"/>
              </w:rPr>
              <w:t xml:space="preserve">allocation methods and </w:t>
            </w:r>
            <w:r>
              <w:rPr>
                <w:rFonts w:asciiTheme="minorHAnsi" w:hAnsiTheme="minorHAnsi"/>
              </w:rPr>
              <w:t>rates and charges for Management Services.</w:t>
            </w:r>
          </w:p>
        </w:tc>
      </w:tr>
      <w:tr w:rsidR="00D2386D" w:rsidRPr="00B2597C" w14:paraId="557BB1DC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5901F601" w14:textId="31158D6D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3B476FA9" w14:textId="3D4645F0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Billing and payment</w:t>
            </w:r>
            <w:r>
              <w:rPr>
                <w:rFonts w:asciiTheme="minorHAnsi" w:hAnsiTheme="minorHAnsi"/>
              </w:rPr>
              <w:t xml:space="preserve"> and other provisions</w:t>
            </w:r>
          </w:p>
        </w:tc>
        <w:tc>
          <w:tcPr>
            <w:tcW w:w="10025" w:type="dxa"/>
            <w:shd w:val="clear" w:color="auto" w:fill="auto"/>
          </w:tcPr>
          <w:p w14:paraId="3E93846E" w14:textId="1B7B3F68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Billing would be on a monthly basis following the same procedures for all KyMEA Members as established by the Board.</w:t>
            </w:r>
          </w:p>
        </w:tc>
      </w:tr>
      <w:tr w:rsidR="00D2386D" w:rsidRPr="00B2597C" w14:paraId="1A79C0A7" w14:textId="77777777" w:rsidTr="00CE17E3">
        <w:trPr>
          <w:cantSplit/>
          <w:trHeight w:val="53"/>
        </w:trPr>
        <w:tc>
          <w:tcPr>
            <w:tcW w:w="475" w:type="dxa"/>
            <w:shd w:val="clear" w:color="auto" w:fill="auto"/>
          </w:tcPr>
          <w:p w14:paraId="7D36712A" w14:textId="22CC4282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14:paraId="2CA05C6F" w14:textId="1541E9E4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Considerations</w:t>
            </w:r>
          </w:p>
        </w:tc>
        <w:tc>
          <w:tcPr>
            <w:tcW w:w="10025" w:type="dxa"/>
            <w:shd w:val="clear" w:color="auto" w:fill="auto"/>
          </w:tcPr>
          <w:p w14:paraId="1F06D1B0" w14:textId="534AF9E8" w:rsidR="00D2386D" w:rsidRDefault="00D2386D" w:rsidP="00D2386D">
            <w:pPr>
              <w:rPr>
                <w:rFonts w:asciiTheme="minorHAnsi" w:hAnsiTheme="minorHAnsi"/>
              </w:rPr>
            </w:pPr>
          </w:p>
        </w:tc>
      </w:tr>
      <w:tr w:rsidR="001C4A8F" w:rsidRPr="00B2597C" w14:paraId="5A8FE9E2" w14:textId="77777777" w:rsidTr="00CE17E3">
        <w:trPr>
          <w:cantSplit/>
          <w:trHeight w:val="53"/>
        </w:trPr>
        <w:tc>
          <w:tcPr>
            <w:tcW w:w="475" w:type="dxa"/>
            <w:shd w:val="clear" w:color="auto" w:fill="auto"/>
          </w:tcPr>
          <w:p w14:paraId="38C9CB0E" w14:textId="28E5EE6C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14:paraId="307FA0D8" w14:textId="2ABD9BAB" w:rsidR="001C4A8F" w:rsidRDefault="001C4A8F" w:rsidP="001C4A8F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KyMEA covenants</w:t>
            </w:r>
            <w:r>
              <w:rPr>
                <w:rFonts w:asciiTheme="minorHAnsi" w:hAnsiTheme="minorHAnsi"/>
              </w:rPr>
              <w:t xml:space="preserve"> Unique to the Area</w:t>
            </w:r>
          </w:p>
        </w:tc>
        <w:tc>
          <w:tcPr>
            <w:tcW w:w="10025" w:type="dxa"/>
            <w:shd w:val="clear" w:color="auto" w:fill="auto"/>
          </w:tcPr>
          <w:p w14:paraId="5681D52C" w14:textId="77777777" w:rsidR="001C4A8F" w:rsidRPr="00B8603E" w:rsidRDefault="001C4A8F" w:rsidP="001C4A8F">
            <w:pPr>
              <w:rPr>
                <w:rFonts w:asciiTheme="minorHAnsi" w:hAnsiTheme="minorHAnsi"/>
              </w:rPr>
            </w:pPr>
            <w:r w:rsidRPr="00B8603E">
              <w:rPr>
                <w:rFonts w:asciiTheme="minorHAnsi" w:hAnsiTheme="minorHAnsi"/>
              </w:rPr>
              <w:t>Provide additional services as authorized by the Board and desired by OMU, such as planning, engineering, financing, project development and construction, and other member services.</w:t>
            </w:r>
          </w:p>
          <w:p w14:paraId="2B4A4042" w14:textId="77777777" w:rsidR="001C4A8F" w:rsidRDefault="001C4A8F" w:rsidP="001C4A8F">
            <w:pPr>
              <w:rPr>
                <w:rFonts w:asciiTheme="minorHAnsi" w:hAnsiTheme="minorHAnsi"/>
              </w:rPr>
            </w:pPr>
          </w:p>
        </w:tc>
      </w:tr>
      <w:tr w:rsidR="001C4A8F" w:rsidRPr="00B2597C" w14:paraId="5DFA5FE6" w14:textId="77777777" w:rsidTr="00B60FC5">
        <w:trPr>
          <w:cantSplit/>
          <w:trHeight w:val="2312"/>
        </w:trPr>
        <w:tc>
          <w:tcPr>
            <w:tcW w:w="475" w:type="dxa"/>
            <w:shd w:val="clear" w:color="auto" w:fill="auto"/>
          </w:tcPr>
          <w:p w14:paraId="426B4425" w14:textId="17F87E41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14:paraId="28220D4B" w14:textId="5CDF9D81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Covenants and Credit Requirements Unique to this Area</w:t>
            </w:r>
          </w:p>
        </w:tc>
        <w:tc>
          <w:tcPr>
            <w:tcW w:w="10025" w:type="dxa"/>
            <w:shd w:val="clear" w:color="auto" w:fill="auto"/>
          </w:tcPr>
          <w:p w14:paraId="3D64C585" w14:textId="77777777" w:rsidR="001C4A8F" w:rsidRDefault="001C4A8F" w:rsidP="001C4A8F">
            <w:pPr>
              <w:rPr>
                <w:rFonts w:asciiTheme="minorHAnsi" w:hAnsiTheme="minorHAnsi"/>
              </w:rPr>
            </w:pPr>
          </w:p>
        </w:tc>
      </w:tr>
      <w:tr w:rsidR="00D2386D" w:rsidRPr="005F579F" w14:paraId="45BF33C6" w14:textId="46DBF75D" w:rsidTr="00D31DBB">
        <w:trPr>
          <w:cantSplit/>
        </w:trPr>
        <w:tc>
          <w:tcPr>
            <w:tcW w:w="13045" w:type="dxa"/>
            <w:gridSpan w:val="3"/>
            <w:shd w:val="clear" w:color="auto" w:fill="DBDBDB" w:themeFill="accent3" w:themeFillTint="66"/>
          </w:tcPr>
          <w:p w14:paraId="3D83CE48" w14:textId="08177BA7" w:rsidR="00D2386D" w:rsidRPr="005F579F" w:rsidRDefault="00D2386D" w:rsidP="00D2386D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lastRenderedPageBreak/>
              <w:t>All Requirements Services</w:t>
            </w:r>
          </w:p>
        </w:tc>
      </w:tr>
      <w:tr w:rsidR="00D2386D" w:rsidRPr="00B2597C" w14:paraId="0D1CE5D0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4D47145D" w14:textId="1EADBE10" w:rsidR="00D2386D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3AE50FDF" w14:textId="2FCB6A4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Term</w:t>
            </w:r>
          </w:p>
        </w:tc>
        <w:tc>
          <w:tcPr>
            <w:tcW w:w="10025" w:type="dxa"/>
            <w:shd w:val="clear" w:color="auto" w:fill="auto"/>
          </w:tcPr>
          <w:p w14:paraId="009EC0EC" w14:textId="3DA59DE9" w:rsidR="00D2386D" w:rsidRDefault="004C271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would commence upon retirement of ESS 2.  Cancelation provisions would be 10 years.  Upon cancellation, OMU would be obligated to meet </w:t>
            </w:r>
          </w:p>
        </w:tc>
      </w:tr>
      <w:tr w:rsidR="00D2386D" w:rsidRPr="00B2597C" w14:paraId="1C1F129C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5017CBB6" w14:textId="5CFD81EF" w:rsidR="00D2386D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3BEED4B1" w14:textId="4DF2A414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Nature of service</w:t>
            </w:r>
          </w:p>
        </w:tc>
        <w:tc>
          <w:tcPr>
            <w:tcW w:w="10025" w:type="dxa"/>
            <w:shd w:val="clear" w:color="auto" w:fill="auto"/>
          </w:tcPr>
          <w:p w14:paraId="54626064" w14:textId="6CC02EE8" w:rsidR="00D2386D" w:rsidRDefault="004C271D" w:rsidP="004C271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Same All Requirements Ser</w:t>
            </w:r>
            <w:r w:rsidR="001C4A8F">
              <w:rPr>
                <w:rFonts w:asciiTheme="minorHAnsi" w:hAnsiTheme="minorHAnsi"/>
              </w:rPr>
              <w:t>vice c</w:t>
            </w:r>
            <w:r>
              <w:rPr>
                <w:rFonts w:asciiTheme="minorHAnsi" w:hAnsiTheme="minorHAnsi"/>
              </w:rPr>
              <w:t>ontract provisions applicable to other KyMEA Members.</w:t>
            </w:r>
          </w:p>
        </w:tc>
      </w:tr>
      <w:tr w:rsidR="00D2386D" w:rsidRPr="00B2597C" w14:paraId="443ABD7C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305B6C68" w14:textId="321A95F5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3E5AA5A0" w14:textId="13EE7C1E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Rates and Charges</w:t>
            </w:r>
          </w:p>
        </w:tc>
        <w:tc>
          <w:tcPr>
            <w:tcW w:w="10025" w:type="dxa"/>
            <w:shd w:val="clear" w:color="auto" w:fill="auto"/>
          </w:tcPr>
          <w:p w14:paraId="3690CEC8" w14:textId="4734F826" w:rsidR="00D2386D" w:rsidRDefault="00D2386D" w:rsidP="00D2386D">
            <w:pPr>
              <w:rPr>
                <w:rFonts w:asciiTheme="minorHAnsi" w:hAnsiTheme="minorHAnsi"/>
              </w:rPr>
            </w:pPr>
          </w:p>
        </w:tc>
      </w:tr>
      <w:tr w:rsidR="00D2386D" w:rsidRPr="00B2597C" w14:paraId="3994BA1D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0EE612F2" w14:textId="628C9B76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2B7195EC" w14:textId="5B7DD141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Billing and payment</w:t>
            </w:r>
            <w:r>
              <w:rPr>
                <w:rFonts w:asciiTheme="minorHAnsi" w:hAnsiTheme="minorHAnsi"/>
              </w:rPr>
              <w:t xml:space="preserve"> and other provisions</w:t>
            </w:r>
          </w:p>
        </w:tc>
        <w:tc>
          <w:tcPr>
            <w:tcW w:w="10025" w:type="dxa"/>
            <w:shd w:val="clear" w:color="auto" w:fill="auto"/>
          </w:tcPr>
          <w:p w14:paraId="3F914791" w14:textId="63F5AA21" w:rsidR="00D2386D" w:rsidRDefault="00D2386D" w:rsidP="00D2386D">
            <w:pPr>
              <w:rPr>
                <w:rFonts w:asciiTheme="minorHAnsi" w:hAnsiTheme="minorHAnsi"/>
              </w:rPr>
            </w:pPr>
          </w:p>
        </w:tc>
      </w:tr>
      <w:tr w:rsidR="00D2386D" w:rsidRPr="00B2597C" w14:paraId="3028DE46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57699B33" w14:textId="4A561879" w:rsidR="00D2386D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14:paraId="0973D922" w14:textId="05C0BDEA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Considerations</w:t>
            </w:r>
          </w:p>
        </w:tc>
        <w:tc>
          <w:tcPr>
            <w:tcW w:w="10025" w:type="dxa"/>
            <w:shd w:val="clear" w:color="auto" w:fill="auto"/>
          </w:tcPr>
          <w:p w14:paraId="3C5DAC84" w14:textId="3F13346B" w:rsidR="00D2386D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would be require</w:t>
            </w:r>
            <w:r w:rsidR="00DF718D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to provide at least 4 years notice prior to commencing All Requirements Service from KyMEA.</w:t>
            </w:r>
          </w:p>
        </w:tc>
      </w:tr>
      <w:tr w:rsidR="001C4A8F" w:rsidRPr="00B2597C" w14:paraId="7871F0DE" w14:textId="77777777" w:rsidTr="00D31DBB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794130C9" w14:textId="131E5470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14:paraId="54F9876E" w14:textId="095105DC" w:rsidR="001C4A8F" w:rsidRDefault="001C4A8F" w:rsidP="001C4A8F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KyMEA covenants</w:t>
            </w:r>
            <w:r>
              <w:rPr>
                <w:rFonts w:asciiTheme="minorHAnsi" w:hAnsiTheme="minorHAnsi"/>
              </w:rPr>
              <w:t xml:space="preserve"> Unique to the Area</w:t>
            </w:r>
          </w:p>
        </w:tc>
        <w:tc>
          <w:tcPr>
            <w:tcW w:w="10025" w:type="dxa"/>
            <w:shd w:val="clear" w:color="auto" w:fill="auto"/>
          </w:tcPr>
          <w:p w14:paraId="03CD5CE8" w14:textId="58EB2944" w:rsidR="001C4A8F" w:rsidRDefault="001C4A8F" w:rsidP="001C4A8F">
            <w:pPr>
              <w:rPr>
                <w:rFonts w:asciiTheme="minorHAnsi" w:hAnsiTheme="minorHAnsi"/>
              </w:rPr>
            </w:pPr>
            <w:r w:rsidRPr="00153BFD">
              <w:rPr>
                <w:rFonts w:asciiTheme="minorHAnsi" w:hAnsiTheme="minorHAnsi"/>
              </w:rPr>
              <w:t xml:space="preserve">Acquire and supply economical, dependable, and environmentally responsible resources </w:t>
            </w:r>
          </w:p>
        </w:tc>
      </w:tr>
      <w:tr w:rsidR="001C4A8F" w:rsidRPr="00B2597C" w14:paraId="6D8A2EE7" w14:textId="77777777" w:rsidTr="00B60FC5">
        <w:trPr>
          <w:cantSplit/>
          <w:trHeight w:val="2402"/>
        </w:trPr>
        <w:tc>
          <w:tcPr>
            <w:tcW w:w="475" w:type="dxa"/>
            <w:shd w:val="clear" w:color="auto" w:fill="auto"/>
          </w:tcPr>
          <w:p w14:paraId="381C2E99" w14:textId="3E010ECF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14:paraId="2C347927" w14:textId="1D43B3A9" w:rsidR="001C4A8F" w:rsidRPr="00B2597C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Covenants and Credit Requirements Unique to this Area</w:t>
            </w:r>
          </w:p>
        </w:tc>
        <w:tc>
          <w:tcPr>
            <w:tcW w:w="10025" w:type="dxa"/>
            <w:shd w:val="clear" w:color="auto" w:fill="auto"/>
          </w:tcPr>
          <w:p w14:paraId="74189146" w14:textId="77777777" w:rsidR="001C4A8F" w:rsidRDefault="001C4A8F" w:rsidP="001C4A8F">
            <w:pPr>
              <w:rPr>
                <w:rFonts w:asciiTheme="minorHAnsi" w:hAnsiTheme="minorHAnsi"/>
              </w:rPr>
            </w:pPr>
          </w:p>
        </w:tc>
      </w:tr>
      <w:tr w:rsidR="001C4A8F" w:rsidRPr="005F579F" w14:paraId="58C1F2F2" w14:textId="77777777" w:rsidTr="00266D38">
        <w:trPr>
          <w:cantSplit/>
          <w:trHeight w:val="28"/>
        </w:trPr>
        <w:tc>
          <w:tcPr>
            <w:tcW w:w="13045" w:type="dxa"/>
            <w:gridSpan w:val="3"/>
            <w:shd w:val="clear" w:color="auto" w:fill="A8D08D" w:themeFill="accent6" w:themeFillTint="99"/>
          </w:tcPr>
          <w:p w14:paraId="75A1BC4E" w14:textId="683AFCAB" w:rsidR="001C4A8F" w:rsidRPr="005F579F" w:rsidRDefault="001C4A8F" w:rsidP="001C4A8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lastRenderedPageBreak/>
              <w:t>Unit Participation</w:t>
            </w:r>
          </w:p>
        </w:tc>
      </w:tr>
      <w:tr w:rsidR="001C4A8F" w:rsidRPr="00B2597C" w14:paraId="5DAD00DB" w14:textId="77777777" w:rsidTr="00266D38">
        <w:trPr>
          <w:cantSplit/>
        </w:trPr>
        <w:tc>
          <w:tcPr>
            <w:tcW w:w="475" w:type="dxa"/>
            <w:shd w:val="clear" w:color="auto" w:fill="auto"/>
          </w:tcPr>
          <w:p w14:paraId="23921C6F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3759A518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Term</w:t>
            </w:r>
          </w:p>
        </w:tc>
        <w:tc>
          <w:tcPr>
            <w:tcW w:w="10025" w:type="dxa"/>
            <w:shd w:val="clear" w:color="auto" w:fill="auto"/>
          </w:tcPr>
          <w:p w14:paraId="01B37C1C" w14:textId="22A1A38C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term extend for the estimated useful life of the asset, but not less than the life of the Bonds issued by KyMEA to purchase the asset.  </w:t>
            </w:r>
          </w:p>
        </w:tc>
      </w:tr>
      <w:tr w:rsidR="001C4A8F" w:rsidRPr="00B2597C" w14:paraId="477B2590" w14:textId="77777777" w:rsidTr="00266D38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5106C4BA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0BB5E505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Nature of service</w:t>
            </w:r>
          </w:p>
        </w:tc>
        <w:tc>
          <w:tcPr>
            <w:tcW w:w="10025" w:type="dxa"/>
            <w:shd w:val="clear" w:color="auto" w:fill="auto"/>
          </w:tcPr>
          <w:p w14:paraId="5C1FB54D" w14:textId="554D0DD0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Rights and obligations relative to the asset that are parallel to ownership rights and obligations.</w:t>
            </w:r>
          </w:p>
        </w:tc>
      </w:tr>
      <w:tr w:rsidR="001C4A8F" w:rsidRPr="00B2597C" w14:paraId="4BF57633" w14:textId="77777777" w:rsidTr="00266D38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5A5CCFF1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35A22718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Rates and Charges</w:t>
            </w:r>
          </w:p>
        </w:tc>
        <w:tc>
          <w:tcPr>
            <w:tcW w:w="10025" w:type="dxa"/>
            <w:shd w:val="clear" w:color="auto" w:fill="auto"/>
          </w:tcPr>
          <w:p w14:paraId="28C295B1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 xml:space="preserve"> would directly assign </w:t>
            </w:r>
            <w:r>
              <w:rPr>
                <w:rFonts w:asciiTheme="minorHAnsi" w:hAnsiTheme="minorHAnsi"/>
              </w:rPr>
              <w:t xml:space="preserve">to OMU </w:t>
            </w:r>
            <w:r w:rsidRPr="00B2597C">
              <w:rPr>
                <w:rFonts w:asciiTheme="minorHAnsi" w:hAnsiTheme="minorHAnsi"/>
              </w:rPr>
              <w:t xml:space="preserve">the actual costs of </w:t>
            </w:r>
            <w:r>
              <w:rPr>
                <w:rFonts w:asciiTheme="minorHAnsi" w:hAnsiTheme="minorHAnsi"/>
              </w:rPr>
              <w:t xml:space="preserve">the capacity resources, energy, </w:t>
            </w:r>
            <w:r w:rsidRPr="00B2597C">
              <w:rPr>
                <w:rFonts w:asciiTheme="minorHAnsi" w:hAnsiTheme="minorHAnsi"/>
              </w:rPr>
              <w:t xml:space="preserve">transmission and </w:t>
            </w:r>
            <w:r>
              <w:rPr>
                <w:rFonts w:asciiTheme="minorHAnsi" w:hAnsiTheme="minorHAnsi"/>
              </w:rPr>
              <w:t>other costs incurred by KyMEA to deliver the resource capacity and energy to OMU</w:t>
            </w:r>
            <w:r w:rsidRPr="00B2597C">
              <w:rPr>
                <w:rFonts w:asciiTheme="minorHAnsi" w:hAnsiTheme="minorHAnsi"/>
              </w:rPr>
              <w:t xml:space="preserve"> load.</w:t>
            </w:r>
          </w:p>
        </w:tc>
      </w:tr>
      <w:tr w:rsidR="001C4A8F" w:rsidRPr="00B2597C" w14:paraId="397D6537" w14:textId="77777777" w:rsidTr="00266D38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22C466A2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63A2221A" w14:textId="77777777" w:rsidR="001C4A8F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Billing and payment</w:t>
            </w:r>
            <w:r>
              <w:rPr>
                <w:rFonts w:asciiTheme="minorHAnsi" w:hAnsiTheme="minorHAnsi"/>
              </w:rPr>
              <w:t xml:space="preserve"> and other provisions</w:t>
            </w:r>
          </w:p>
        </w:tc>
        <w:tc>
          <w:tcPr>
            <w:tcW w:w="10025" w:type="dxa"/>
            <w:shd w:val="clear" w:color="auto" w:fill="auto"/>
          </w:tcPr>
          <w:p w14:paraId="5E0323B3" w14:textId="3556522A" w:rsidR="001C4A8F" w:rsidRDefault="001C4A8F" w:rsidP="001C4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Similar to obligations under the cost based unit power sales agreement.   </w:t>
            </w:r>
          </w:p>
        </w:tc>
      </w:tr>
      <w:tr w:rsidR="001C4A8F" w:rsidRPr="00B2597C" w14:paraId="34F04D95" w14:textId="77777777" w:rsidTr="00266D38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1AA0CAFF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14:paraId="25984E36" w14:textId="77777777" w:rsidR="001C4A8F" w:rsidRPr="00B2597C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Considerations</w:t>
            </w:r>
          </w:p>
        </w:tc>
        <w:tc>
          <w:tcPr>
            <w:tcW w:w="10025" w:type="dxa"/>
            <w:shd w:val="clear" w:color="auto" w:fill="auto"/>
          </w:tcPr>
          <w:p w14:paraId="5EFD4296" w14:textId="4B9AEDBF" w:rsidR="001C4A8F" w:rsidRDefault="001C4A8F" w:rsidP="00266D38">
            <w:pPr>
              <w:rPr>
                <w:rFonts w:asciiTheme="minorHAnsi" w:hAnsiTheme="minorHAnsi"/>
              </w:rPr>
            </w:pPr>
          </w:p>
        </w:tc>
      </w:tr>
      <w:tr w:rsidR="001C4A8F" w:rsidRPr="00B2597C" w14:paraId="5B94C0ED" w14:textId="77777777" w:rsidTr="00266D38">
        <w:trPr>
          <w:cantSplit/>
          <w:trHeight w:val="53"/>
        </w:trPr>
        <w:tc>
          <w:tcPr>
            <w:tcW w:w="475" w:type="dxa"/>
            <w:shd w:val="clear" w:color="auto" w:fill="auto"/>
          </w:tcPr>
          <w:p w14:paraId="01DD25D9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14:paraId="1C01ABB5" w14:textId="77777777" w:rsidR="001C4A8F" w:rsidRDefault="001C4A8F" w:rsidP="00266D38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KyMEA covenants</w:t>
            </w:r>
            <w:r>
              <w:rPr>
                <w:rFonts w:asciiTheme="minorHAnsi" w:hAnsiTheme="minorHAnsi"/>
              </w:rPr>
              <w:t xml:space="preserve"> Unique to the Area</w:t>
            </w:r>
          </w:p>
        </w:tc>
        <w:tc>
          <w:tcPr>
            <w:tcW w:w="10025" w:type="dxa"/>
            <w:shd w:val="clear" w:color="auto" w:fill="auto"/>
          </w:tcPr>
          <w:p w14:paraId="32E02268" w14:textId="77777777" w:rsidR="001C4A8F" w:rsidRDefault="001C4A8F" w:rsidP="00266D38">
            <w:pPr>
              <w:rPr>
                <w:rFonts w:asciiTheme="minorHAnsi" w:hAnsiTheme="minorHAnsi"/>
              </w:rPr>
            </w:pPr>
          </w:p>
        </w:tc>
      </w:tr>
      <w:tr w:rsidR="001C4A8F" w:rsidRPr="00B2597C" w14:paraId="2C6D2B93" w14:textId="77777777" w:rsidTr="00B60FC5">
        <w:trPr>
          <w:cantSplit/>
          <w:trHeight w:val="2213"/>
        </w:trPr>
        <w:tc>
          <w:tcPr>
            <w:tcW w:w="475" w:type="dxa"/>
            <w:shd w:val="clear" w:color="auto" w:fill="auto"/>
          </w:tcPr>
          <w:p w14:paraId="74BA396F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14:paraId="273A4266" w14:textId="77777777" w:rsidR="001C4A8F" w:rsidRDefault="001C4A8F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Covenants and Credit Requirements Unique to this Area</w:t>
            </w:r>
          </w:p>
        </w:tc>
        <w:tc>
          <w:tcPr>
            <w:tcW w:w="10025" w:type="dxa"/>
            <w:shd w:val="clear" w:color="auto" w:fill="auto"/>
          </w:tcPr>
          <w:p w14:paraId="6F76FF08" w14:textId="77777777" w:rsidR="006342AD" w:rsidRDefault="006342AD" w:rsidP="00B60FC5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/>
              </w:rPr>
            </w:pPr>
            <w:r w:rsidRPr="006342AD">
              <w:rPr>
                <w:rFonts w:asciiTheme="minorHAnsi" w:hAnsiTheme="minorHAnsi"/>
              </w:rPr>
              <w:t>OMU would commit to take or pay obligations with respect to its share of the resource.</w:t>
            </w:r>
          </w:p>
          <w:p w14:paraId="01120C44" w14:textId="7D42D54C" w:rsidR="001C4A8F" w:rsidRPr="006342AD" w:rsidRDefault="006342AD" w:rsidP="00B60FC5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KyMEA purchases a share of the asset for providing service to OMU, KyMEA would likely also do the same for service to the AR Group.  According, OMU would commit to a step up to not more that 15% to 25% of its ownership share should another project participant default on payment of its obligations under the participations agreement.</w:t>
            </w:r>
            <w:r w:rsidR="00B60FC5">
              <w:rPr>
                <w:rFonts w:asciiTheme="minorHAnsi" w:hAnsiTheme="minorHAnsi"/>
              </w:rPr>
              <w:t xml:space="preserve"> (Necessary for KyMEA to finance the project.)</w:t>
            </w:r>
          </w:p>
        </w:tc>
      </w:tr>
      <w:tr w:rsidR="00CE17E3" w:rsidRPr="005F579F" w14:paraId="48FAA9F5" w14:textId="77777777" w:rsidTr="00266D38">
        <w:trPr>
          <w:cantSplit/>
        </w:trPr>
        <w:tc>
          <w:tcPr>
            <w:tcW w:w="13045" w:type="dxa"/>
            <w:gridSpan w:val="3"/>
            <w:shd w:val="clear" w:color="auto" w:fill="DBDBDB" w:themeFill="accent3" w:themeFillTint="66"/>
          </w:tcPr>
          <w:p w14:paraId="77CB2FEE" w14:textId="2B548A4D" w:rsidR="00CE17E3" w:rsidRPr="005F579F" w:rsidRDefault="00CE17E3" w:rsidP="00CE17E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lastRenderedPageBreak/>
              <w:t>Provisions Applicable to All</w:t>
            </w:r>
            <w:r w:rsidRPr="00403B80">
              <w:rPr>
                <w:rFonts w:asciiTheme="minorHAnsi" w:hAnsiTheme="minorHAnsi"/>
                <w:b/>
                <w:sz w:val="32"/>
              </w:rPr>
              <w:t xml:space="preserve"> Agreement</w:t>
            </w: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</w:tr>
      <w:tr w:rsidR="00D2386D" w:rsidRPr="00B2597C" w14:paraId="273114FA" w14:textId="77777777" w:rsidTr="00D31DBB">
        <w:trPr>
          <w:cantSplit/>
        </w:trPr>
        <w:tc>
          <w:tcPr>
            <w:tcW w:w="475" w:type="dxa"/>
            <w:shd w:val="clear" w:color="auto" w:fill="auto"/>
          </w:tcPr>
          <w:p w14:paraId="6DA4B481" w14:textId="05B85A12" w:rsidR="00D2386D" w:rsidRPr="00B2597C" w:rsidRDefault="00B8603E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2ADA5A8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KyMEA covenants</w:t>
            </w:r>
          </w:p>
        </w:tc>
        <w:tc>
          <w:tcPr>
            <w:tcW w:w="10025" w:type="dxa"/>
            <w:shd w:val="clear" w:color="auto" w:fill="auto"/>
          </w:tcPr>
          <w:p w14:paraId="7AF4FC6A" w14:textId="646F283A" w:rsidR="00D2386D" w:rsidRPr="00B2597C" w:rsidRDefault="00D2386D" w:rsidP="00B60F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Specifically provide no conflict with existing </w:t>
            </w:r>
            <w:r w:rsidR="00B60FC5">
              <w:rPr>
                <w:rFonts w:asciiTheme="minorHAnsi" w:hAnsiTheme="minorHAnsi"/>
              </w:rPr>
              <w:t xml:space="preserve">OMU </w:t>
            </w:r>
            <w:r>
              <w:rPr>
                <w:rFonts w:asciiTheme="minorHAnsi" w:hAnsiTheme="minorHAnsi"/>
              </w:rPr>
              <w:t>Bond covenants</w:t>
            </w:r>
          </w:p>
        </w:tc>
      </w:tr>
      <w:tr w:rsidR="00B8603E" w:rsidRPr="00B2597C" w14:paraId="1161F9BF" w14:textId="77777777" w:rsidTr="00266D38">
        <w:trPr>
          <w:cantSplit/>
          <w:trHeight w:val="440"/>
        </w:trPr>
        <w:tc>
          <w:tcPr>
            <w:tcW w:w="475" w:type="dxa"/>
            <w:shd w:val="clear" w:color="auto" w:fill="auto"/>
          </w:tcPr>
          <w:p w14:paraId="7E1BDC5F" w14:textId="2B8FA194" w:rsidR="00B8603E" w:rsidRDefault="00B8603E" w:rsidP="00B860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0DE21589" w14:textId="4D5E723D" w:rsidR="00B8603E" w:rsidRDefault="00B8603E" w:rsidP="00266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 Covenants and Credit Requirements</w:t>
            </w:r>
          </w:p>
        </w:tc>
        <w:tc>
          <w:tcPr>
            <w:tcW w:w="10025" w:type="dxa"/>
            <w:shd w:val="clear" w:color="auto" w:fill="auto"/>
          </w:tcPr>
          <w:p w14:paraId="3560E756" w14:textId="77777777" w:rsidR="00B8603E" w:rsidRPr="00B2597C" w:rsidRDefault="00B8603E" w:rsidP="00266D38">
            <w:pPr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 xml:space="preserve"> to maintain retail electric rates sufficient to meet its obligations to </w:t>
            </w: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>, pay all other operating expenses, meet all other obligations payable from its net electric revenues, and make any other payments required by law</w:t>
            </w:r>
            <w:r>
              <w:rPr>
                <w:rFonts w:asciiTheme="minorHAnsi" w:hAnsiTheme="minorHAnsi"/>
              </w:rPr>
              <w:t>.</w:t>
            </w:r>
          </w:p>
          <w:p w14:paraId="61979B6B" w14:textId="77777777" w:rsidR="00B8603E" w:rsidRPr="00B2597C" w:rsidRDefault="00B8603E" w:rsidP="00266D38">
            <w:pPr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 xml:space="preserve"> shall take no action that would interfere with </w:t>
            </w: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>’s ability to meet its financing obligations or to qualify for tax-exempt financing.</w:t>
            </w:r>
          </w:p>
          <w:p w14:paraId="10323529" w14:textId="50969EA1" w:rsidR="00B8603E" w:rsidRDefault="00B8603E" w:rsidP="00266D38">
            <w:pPr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 xml:space="preserve"> </w:t>
            </w:r>
            <w:r w:rsidR="00B60FC5">
              <w:rPr>
                <w:rFonts w:asciiTheme="minorHAnsi" w:hAnsiTheme="minorHAnsi"/>
              </w:rPr>
              <w:t>payment obligations</w:t>
            </w:r>
            <w:r w:rsidRPr="00B2597C">
              <w:rPr>
                <w:rFonts w:asciiTheme="minorHAnsi" w:hAnsiTheme="minorHAnsi"/>
              </w:rPr>
              <w:t xml:space="preserve"> to be treated as an operating expense to be paid from </w:t>
            </w: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 xml:space="preserve">’s utility’s revenues and other sources, but shall not constitute a general obligation of the </w:t>
            </w: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>.</w:t>
            </w:r>
          </w:p>
          <w:p w14:paraId="712E1ED6" w14:textId="77777777" w:rsidR="00B8603E" w:rsidRDefault="00B8603E" w:rsidP="00266D38">
            <w:pPr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OMU</w:t>
            </w:r>
            <w:r w:rsidRPr="00B2597C">
              <w:rPr>
                <w:rFonts w:asciiTheme="minorHAnsi" w:hAnsiTheme="minorHAnsi"/>
              </w:rPr>
              <w:t>’s debt and other obligations to third parties shall not be superior to its obligation t</w:t>
            </w:r>
            <w:r>
              <w:rPr>
                <w:rFonts w:asciiTheme="minorHAnsi" w:hAnsiTheme="minorHAnsi"/>
              </w:rPr>
              <w:t>o payment of operating expenses, except for existing superior obligations.</w:t>
            </w:r>
          </w:p>
        </w:tc>
      </w:tr>
      <w:tr w:rsidR="00D2386D" w:rsidRPr="00B2597C" w14:paraId="5343B9E0" w14:textId="77777777" w:rsidTr="00B8603E">
        <w:trPr>
          <w:cantSplit/>
          <w:trHeight w:val="512"/>
        </w:trPr>
        <w:tc>
          <w:tcPr>
            <w:tcW w:w="475" w:type="dxa"/>
            <w:shd w:val="clear" w:color="auto" w:fill="auto"/>
          </w:tcPr>
          <w:p w14:paraId="13551CA1" w14:textId="07953452" w:rsidR="00D2386D" w:rsidRPr="00B2597C" w:rsidRDefault="00B8603E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4337F686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Amendment of contract</w:t>
            </w:r>
          </w:p>
        </w:tc>
        <w:tc>
          <w:tcPr>
            <w:tcW w:w="10025" w:type="dxa"/>
            <w:shd w:val="clear" w:color="auto" w:fill="auto"/>
          </w:tcPr>
          <w:p w14:paraId="54F948B2" w14:textId="542DAA9B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 xml:space="preserve">Only by written instrument signed by </w:t>
            </w:r>
            <w:r>
              <w:rPr>
                <w:rFonts w:asciiTheme="minorHAnsi" w:hAnsiTheme="minorHAnsi"/>
              </w:rPr>
              <w:t>KyMEA</w:t>
            </w:r>
            <w:r w:rsidRPr="00B2597C">
              <w:rPr>
                <w:rFonts w:asciiTheme="minorHAnsi" w:hAnsiTheme="minorHAnsi"/>
              </w:rPr>
              <w:t xml:space="preserve"> and OMU.</w:t>
            </w:r>
          </w:p>
        </w:tc>
      </w:tr>
      <w:tr w:rsidR="00D2386D" w:rsidRPr="00B2597C" w14:paraId="6E62798D" w14:textId="77777777" w:rsidTr="00D31DBB">
        <w:trPr>
          <w:cantSplit/>
        </w:trPr>
        <w:tc>
          <w:tcPr>
            <w:tcW w:w="475" w:type="dxa"/>
            <w:shd w:val="clear" w:color="auto" w:fill="auto"/>
          </w:tcPr>
          <w:p w14:paraId="1FBB48FA" w14:textId="1A634A7E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6EEB5F08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Post-termination liability</w:t>
            </w:r>
          </w:p>
        </w:tc>
        <w:tc>
          <w:tcPr>
            <w:tcW w:w="10025" w:type="dxa"/>
            <w:shd w:val="clear" w:color="auto" w:fill="auto"/>
          </w:tcPr>
          <w:p w14:paraId="56A9A94B" w14:textId="4EB27E07" w:rsidR="00D2386D" w:rsidRPr="00B2597C" w:rsidRDefault="00B8603E" w:rsidP="00B860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OMU would remain </w:t>
            </w:r>
            <w:r w:rsidRPr="00B2597C">
              <w:rPr>
                <w:rFonts w:asciiTheme="minorHAnsi" w:hAnsiTheme="minorHAnsi"/>
              </w:rPr>
              <w:t>liable for all unfulfilled obligations incurred prior to giving notice of termination.</w:t>
            </w:r>
          </w:p>
        </w:tc>
      </w:tr>
      <w:tr w:rsidR="00D2386D" w:rsidRPr="00B2597C" w14:paraId="3D8DE557" w14:textId="77777777" w:rsidTr="00D31DBB">
        <w:trPr>
          <w:cantSplit/>
        </w:trPr>
        <w:tc>
          <w:tcPr>
            <w:tcW w:w="475" w:type="dxa"/>
            <w:shd w:val="clear" w:color="auto" w:fill="auto"/>
          </w:tcPr>
          <w:p w14:paraId="52DE1779" w14:textId="563FF650" w:rsidR="00D2386D" w:rsidRPr="00B2597C" w:rsidRDefault="00D2386D" w:rsidP="00D23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545" w:type="dxa"/>
            <w:shd w:val="clear" w:color="auto" w:fill="auto"/>
          </w:tcPr>
          <w:p w14:paraId="2D376389" w14:textId="77777777" w:rsidR="00D2386D" w:rsidRPr="00B2597C" w:rsidRDefault="00D2386D" w:rsidP="00D2386D">
            <w:p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Miscellaneous</w:t>
            </w:r>
          </w:p>
        </w:tc>
        <w:tc>
          <w:tcPr>
            <w:tcW w:w="10025" w:type="dxa"/>
            <w:shd w:val="clear" w:color="auto" w:fill="auto"/>
          </w:tcPr>
          <w:p w14:paraId="40F24BCC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Metering</w:t>
            </w:r>
          </w:p>
          <w:p w14:paraId="2A52A076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Power factor</w:t>
            </w:r>
          </w:p>
          <w:p w14:paraId="3EE2900E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Right of access</w:t>
            </w:r>
          </w:p>
          <w:p w14:paraId="14BD43FA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Uncontrollable forces</w:t>
            </w:r>
          </w:p>
          <w:p w14:paraId="3BE58DF6" w14:textId="77777777" w:rsidR="00D2386D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Operating standards</w:t>
            </w:r>
          </w:p>
          <w:p w14:paraId="7083DC6C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Dispute resolution</w:t>
            </w:r>
          </w:p>
          <w:p w14:paraId="0DAC1512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Cooperation and exchange of information</w:t>
            </w:r>
          </w:p>
          <w:p w14:paraId="1DB11481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Assignment of contract</w:t>
            </w:r>
          </w:p>
          <w:p w14:paraId="2D6C5ED9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Representations as to validity and legality of contract</w:t>
            </w:r>
          </w:p>
          <w:p w14:paraId="317F7756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Waiver</w:t>
            </w:r>
          </w:p>
          <w:p w14:paraId="0211E32E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Severability</w:t>
            </w:r>
          </w:p>
          <w:p w14:paraId="03451363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Applicable law (Kentucky)</w:t>
            </w:r>
          </w:p>
          <w:p w14:paraId="0C056EDF" w14:textId="77777777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Non-discrimination among Members</w:t>
            </w:r>
          </w:p>
          <w:p w14:paraId="477B2A70" w14:textId="5AE9AB59" w:rsidR="00D2386D" w:rsidRPr="00B2597C" w:rsidRDefault="00D2386D" w:rsidP="00D2386D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2597C">
              <w:rPr>
                <w:rFonts w:asciiTheme="minorHAnsi" w:hAnsiTheme="minorHAnsi"/>
              </w:rPr>
              <w:t>Indemnification and limitation on damages</w:t>
            </w:r>
          </w:p>
        </w:tc>
      </w:tr>
    </w:tbl>
    <w:p w14:paraId="07A3FF18" w14:textId="77777777" w:rsidR="00A437C6" w:rsidRPr="00B2597C" w:rsidRDefault="00A437C6" w:rsidP="005F579F">
      <w:pPr>
        <w:rPr>
          <w:rFonts w:asciiTheme="minorHAnsi" w:hAnsiTheme="minorHAnsi"/>
        </w:rPr>
      </w:pPr>
    </w:p>
    <w:sectPr w:rsidR="00A437C6" w:rsidRPr="00B2597C" w:rsidSect="00CD2D30">
      <w:headerReference w:type="default" r:id="rId11"/>
      <w:footerReference w:type="default" r:id="rId12"/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1E36" w14:textId="77777777" w:rsidR="00C566A2" w:rsidRDefault="00C566A2" w:rsidP="00C356CE">
      <w:r>
        <w:separator/>
      </w:r>
    </w:p>
  </w:endnote>
  <w:endnote w:type="continuationSeparator" w:id="0">
    <w:p w14:paraId="0744658C" w14:textId="77777777" w:rsidR="00C566A2" w:rsidRDefault="00C566A2" w:rsidP="00C3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53C4" w14:textId="0A27D601" w:rsidR="00C356CE" w:rsidRDefault="00C356CE" w:rsidP="00C356C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DD5">
      <w:rPr>
        <w:noProof/>
      </w:rPr>
      <w:t>2</w:t>
    </w:r>
    <w:r>
      <w:rPr>
        <w:noProof/>
      </w:rPr>
      <w:fldChar w:fldCharType="end"/>
    </w:r>
    <w:r>
      <w:t xml:space="preserve"> | </w:t>
    </w:r>
    <w:r w:rsidRPr="00C356CE">
      <w:rPr>
        <w:color w:val="7F7F7F"/>
        <w:spacing w:val="60"/>
      </w:rPr>
      <w:t>Page</w:t>
    </w:r>
  </w:p>
  <w:p w14:paraId="6107449E" w14:textId="5C2ADF89" w:rsidR="00C356CE" w:rsidRDefault="00C35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DEFF2" w14:textId="77777777" w:rsidR="00C566A2" w:rsidRDefault="00C566A2" w:rsidP="00C356CE">
      <w:r>
        <w:separator/>
      </w:r>
    </w:p>
  </w:footnote>
  <w:footnote w:type="continuationSeparator" w:id="0">
    <w:p w14:paraId="325B680A" w14:textId="77777777" w:rsidR="00C566A2" w:rsidRDefault="00C566A2" w:rsidP="00C3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AD0E" w14:textId="07421314" w:rsidR="005A3290" w:rsidRDefault="00B5554C" w:rsidP="00EC31CF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9DE2D9" wp14:editId="11A1E315">
          <wp:simplePos x="0" y="0"/>
          <wp:positionH relativeFrom="column">
            <wp:posOffset>114300</wp:posOffset>
          </wp:positionH>
          <wp:positionV relativeFrom="page">
            <wp:posOffset>381000</wp:posOffset>
          </wp:positionV>
          <wp:extent cx="1557020" cy="752475"/>
          <wp:effectExtent l="0" t="0" r="5080" b="9525"/>
          <wp:wrapTight wrapText="bothSides">
            <wp:wrapPolygon edited="0">
              <wp:start x="0" y="0"/>
              <wp:lineTo x="0" y="21327"/>
              <wp:lineTo x="21406" y="21327"/>
              <wp:lineTo x="214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C nFront_LLC_Process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97C">
      <w:rPr>
        <w:rFonts w:asciiTheme="minorHAnsi" w:hAnsiTheme="minorHAnsi"/>
        <w:b/>
        <w:sz w:val="28"/>
        <w:szCs w:val="28"/>
      </w:rPr>
      <w:t xml:space="preserve"> </w:t>
    </w:r>
    <w:r w:rsidR="005A3290" w:rsidRPr="00B2597C">
      <w:rPr>
        <w:rFonts w:asciiTheme="minorHAnsi" w:hAnsiTheme="minorHAnsi"/>
        <w:b/>
        <w:sz w:val="28"/>
        <w:szCs w:val="28"/>
      </w:rPr>
      <w:t xml:space="preserve">Concepts for KyMEA </w:t>
    </w:r>
    <w:r w:rsidR="00EC31CF">
      <w:rPr>
        <w:rFonts w:asciiTheme="minorHAnsi" w:hAnsiTheme="minorHAnsi"/>
        <w:b/>
        <w:sz w:val="28"/>
        <w:szCs w:val="28"/>
      </w:rPr>
      <w:t xml:space="preserve">- </w:t>
    </w:r>
    <w:r w:rsidR="005A3290" w:rsidRPr="00B2597C">
      <w:rPr>
        <w:rFonts w:asciiTheme="minorHAnsi" w:hAnsiTheme="minorHAnsi"/>
        <w:b/>
        <w:sz w:val="28"/>
        <w:szCs w:val="28"/>
      </w:rPr>
      <w:t>OMU</w:t>
    </w:r>
    <w:r w:rsidR="00EC31CF">
      <w:rPr>
        <w:rFonts w:asciiTheme="minorHAnsi" w:hAnsiTheme="minorHAnsi"/>
        <w:b/>
        <w:sz w:val="28"/>
        <w:szCs w:val="28"/>
      </w:rPr>
      <w:t xml:space="preserve"> </w:t>
    </w:r>
    <w:r w:rsidR="00260B95">
      <w:rPr>
        <w:rFonts w:asciiTheme="minorHAnsi" w:hAnsiTheme="minorHAnsi"/>
        <w:b/>
        <w:sz w:val="28"/>
        <w:szCs w:val="28"/>
      </w:rPr>
      <w:t>Agreements</w:t>
    </w:r>
  </w:p>
  <w:p w14:paraId="77CC8E5D" w14:textId="33596345" w:rsidR="00260B95" w:rsidRDefault="00B5554C" w:rsidP="00C356CE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Draft of </w:t>
    </w:r>
    <w:r w:rsidR="00260B95">
      <w:rPr>
        <w:rFonts w:asciiTheme="minorHAnsi" w:hAnsiTheme="minorHAnsi"/>
      </w:rPr>
      <w:t>2/</w:t>
    </w:r>
    <w:r>
      <w:rPr>
        <w:rFonts w:asciiTheme="minorHAnsi" w:hAnsiTheme="minorHAnsi"/>
      </w:rPr>
      <w:t>22</w:t>
    </w:r>
    <w:r w:rsidR="00260B95">
      <w:rPr>
        <w:rFonts w:asciiTheme="minorHAnsi" w:hAnsiTheme="minorHAnsi"/>
      </w:rPr>
      <w:t>/2016</w:t>
    </w:r>
  </w:p>
  <w:p w14:paraId="0F6E9951" w14:textId="63D1AC51" w:rsidR="005A3290" w:rsidRDefault="005A3290" w:rsidP="00C356CE">
    <w:pPr>
      <w:pStyle w:val="Header"/>
      <w:jc w:val="right"/>
      <w:rPr>
        <w:rFonts w:asciiTheme="minorHAnsi" w:hAnsiTheme="minorHAnsi"/>
      </w:rPr>
    </w:pPr>
  </w:p>
  <w:p w14:paraId="50B7B0FC" w14:textId="6196F5F3" w:rsidR="00B5554C" w:rsidRPr="00B2597C" w:rsidRDefault="00B5554C" w:rsidP="00C356CE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816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3A26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B35EB"/>
    <w:multiLevelType w:val="multilevel"/>
    <w:tmpl w:val="669E2FC0"/>
    <w:styleLink w:val="ListNumber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C96049"/>
    <w:multiLevelType w:val="hybridMultilevel"/>
    <w:tmpl w:val="48BA5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E1B1C"/>
    <w:multiLevelType w:val="multilevel"/>
    <w:tmpl w:val="C7827B6C"/>
    <w:styleLink w:val="Legal115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18CB65F6"/>
    <w:multiLevelType w:val="multilevel"/>
    <w:tmpl w:val="14C6661A"/>
    <w:styleLink w:val="ListNumbers"/>
    <w:lvl w:ilvl="0">
      <w:start w:val="1"/>
      <w:numFmt w:val="upperRoman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1C372C3D"/>
    <w:multiLevelType w:val="hybridMultilevel"/>
    <w:tmpl w:val="C9704B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176DB"/>
    <w:multiLevelType w:val="hybridMultilevel"/>
    <w:tmpl w:val="EAC2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0842"/>
    <w:multiLevelType w:val="hybridMultilevel"/>
    <w:tmpl w:val="D99A89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E782A"/>
    <w:multiLevelType w:val="multilevel"/>
    <w:tmpl w:val="EEBAE4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24B621ED"/>
    <w:multiLevelType w:val="hybridMultilevel"/>
    <w:tmpl w:val="7DFE0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326A9"/>
    <w:multiLevelType w:val="hybridMultilevel"/>
    <w:tmpl w:val="C7383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52A51"/>
    <w:multiLevelType w:val="hybridMultilevel"/>
    <w:tmpl w:val="4B009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A7655"/>
    <w:multiLevelType w:val="multilevel"/>
    <w:tmpl w:val="85FA51DA"/>
    <w:styleLink w:val="ListBullets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i w:val="0"/>
        <w:color w:val="auto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14" w15:restartNumberingAfterBreak="0">
    <w:nsid w:val="3D5D6548"/>
    <w:multiLevelType w:val="multilevel"/>
    <w:tmpl w:val="669E2FC0"/>
    <w:styleLink w:val="ListNumberPlai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D85E9B"/>
    <w:multiLevelType w:val="multilevel"/>
    <w:tmpl w:val="994A332C"/>
    <w:styleLink w:val="ListNumbers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0D6D7D"/>
    <w:multiLevelType w:val="multilevel"/>
    <w:tmpl w:val="53EE26A4"/>
    <w:lvl w:ilvl="0">
      <w:start w:val="1"/>
      <w:numFmt w:val="decimal"/>
      <w:lvlText w:val="Q%1."/>
      <w:lvlJc w:val="left"/>
      <w:pPr>
        <w:ind w:left="1080" w:hanging="360"/>
      </w:pPr>
    </w:lvl>
    <w:lvl w:ilvl="1">
      <w:start w:val="1"/>
      <w:numFmt w:val="decimal"/>
      <w:lvlText w:val="Answer %1.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B0821"/>
    <w:multiLevelType w:val="hybridMultilevel"/>
    <w:tmpl w:val="349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31F7"/>
    <w:multiLevelType w:val="hybridMultilevel"/>
    <w:tmpl w:val="F642C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15BCF"/>
    <w:multiLevelType w:val="multilevel"/>
    <w:tmpl w:val="1C647BAC"/>
    <w:styleLink w:val="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Heading2"/>
      <w:lvlText w:val="%2)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6480" w:hanging="720"/>
      </w:pPr>
      <w:rPr>
        <w:rFonts w:hint="default"/>
      </w:rPr>
    </w:lvl>
  </w:abstractNum>
  <w:abstractNum w:abstractNumId="20" w15:restartNumberingAfterBreak="0">
    <w:nsid w:val="5C66046E"/>
    <w:multiLevelType w:val="hybridMultilevel"/>
    <w:tmpl w:val="2DA46F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CA3BA2"/>
    <w:multiLevelType w:val="hybridMultilevel"/>
    <w:tmpl w:val="F99C72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A5921"/>
    <w:multiLevelType w:val="multilevel"/>
    <w:tmpl w:val="BD1A3900"/>
    <w:styleLink w:val="ListBullets0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480" w:hanging="720"/>
      </w:pPr>
      <w:rPr>
        <w:rFonts w:ascii="Symbol" w:hAnsi="Symbol" w:hint="default"/>
      </w:rPr>
    </w:lvl>
  </w:abstractNum>
  <w:abstractNum w:abstractNumId="23" w15:restartNumberingAfterBreak="0">
    <w:nsid w:val="6FBD70BA"/>
    <w:multiLevelType w:val="multilevel"/>
    <w:tmpl w:val="7E588550"/>
    <w:styleLink w:val="ListArticle"/>
    <w:lvl w:ilvl="0">
      <w:start w:val="1"/>
      <w:numFmt w:val="upperRoman"/>
      <w:lvlText w:val="Article 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21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6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43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" w:firstLine="0"/>
      </w:pPr>
      <w:rPr>
        <w:rFonts w:hint="default"/>
      </w:rPr>
    </w:lvl>
  </w:abstractNum>
  <w:abstractNum w:abstractNumId="24" w15:restartNumberingAfterBreak="0">
    <w:nsid w:val="6FC51653"/>
    <w:multiLevelType w:val="hybridMultilevel"/>
    <w:tmpl w:val="68C83F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E3BFA"/>
    <w:multiLevelType w:val="multilevel"/>
    <w:tmpl w:val="14C6661A"/>
    <w:numStyleLink w:val="ListNumbers"/>
  </w:abstractNum>
  <w:abstractNum w:abstractNumId="26" w15:restartNumberingAfterBreak="0">
    <w:nsid w:val="769E58C1"/>
    <w:multiLevelType w:val="hybridMultilevel"/>
    <w:tmpl w:val="460A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86CBE"/>
    <w:multiLevelType w:val="multilevel"/>
    <w:tmpl w:val="1C647BAC"/>
    <w:numStyleLink w:val="Headings"/>
  </w:abstractNum>
  <w:abstractNum w:abstractNumId="28" w15:restartNumberingAfterBreak="0">
    <w:nsid w:val="7F3D15E7"/>
    <w:multiLevelType w:val="multilevel"/>
    <w:tmpl w:val="1C647BAC"/>
    <w:numStyleLink w:val="Headings"/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19"/>
  </w:num>
  <w:num w:numId="11">
    <w:abstractNumId w:val="4"/>
  </w:num>
  <w:num w:numId="12">
    <w:abstractNumId w:val="23"/>
  </w:num>
  <w:num w:numId="13">
    <w:abstractNumId w:val="1"/>
  </w:num>
  <w:num w:numId="14">
    <w:abstractNumId w:val="1"/>
  </w:num>
  <w:num w:numId="15">
    <w:abstractNumId w:val="13"/>
  </w:num>
  <w:num w:numId="16">
    <w:abstractNumId w:val="0"/>
  </w:num>
  <w:num w:numId="17">
    <w:abstractNumId w:val="0"/>
  </w:num>
  <w:num w:numId="18">
    <w:abstractNumId w:val="14"/>
  </w:num>
  <w:num w:numId="19">
    <w:abstractNumId w:val="2"/>
  </w:num>
  <w:num w:numId="20">
    <w:abstractNumId w:val="9"/>
  </w:num>
  <w:num w:numId="21">
    <w:abstractNumId w:val="2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5"/>
  </w:num>
  <w:num w:numId="29">
    <w:abstractNumId w:val="5"/>
  </w:num>
  <w:num w:numId="30">
    <w:abstractNumId w:val="25"/>
  </w:num>
  <w:num w:numId="31">
    <w:abstractNumId w:val="25"/>
  </w:num>
  <w:num w:numId="32">
    <w:abstractNumId w:val="25"/>
  </w:num>
  <w:num w:numId="33">
    <w:abstractNumId w:val="28"/>
  </w:num>
  <w:num w:numId="34">
    <w:abstractNumId w:val="2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4"/>
  </w:num>
  <w:num w:numId="38">
    <w:abstractNumId w:val="20"/>
  </w:num>
  <w:num w:numId="39">
    <w:abstractNumId w:val="11"/>
  </w:num>
  <w:num w:numId="40">
    <w:abstractNumId w:val="8"/>
  </w:num>
  <w:num w:numId="41">
    <w:abstractNumId w:val="7"/>
  </w:num>
  <w:num w:numId="42">
    <w:abstractNumId w:val="3"/>
  </w:num>
  <w:num w:numId="43">
    <w:abstractNumId w:val="6"/>
  </w:num>
  <w:num w:numId="44">
    <w:abstractNumId w:val="10"/>
  </w:num>
  <w:num w:numId="45">
    <w:abstractNumId w:val="17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C6"/>
    <w:rsid w:val="000224D5"/>
    <w:rsid w:val="00031836"/>
    <w:rsid w:val="000377F8"/>
    <w:rsid w:val="00052009"/>
    <w:rsid w:val="000531CA"/>
    <w:rsid w:val="000547EC"/>
    <w:rsid w:val="00054F07"/>
    <w:rsid w:val="000561E0"/>
    <w:rsid w:val="0006598E"/>
    <w:rsid w:val="00066686"/>
    <w:rsid w:val="00074366"/>
    <w:rsid w:val="00090101"/>
    <w:rsid w:val="000D13BB"/>
    <w:rsid w:val="00103F5F"/>
    <w:rsid w:val="00112306"/>
    <w:rsid w:val="00115324"/>
    <w:rsid w:val="00132846"/>
    <w:rsid w:val="00142A9F"/>
    <w:rsid w:val="00153BFD"/>
    <w:rsid w:val="001B0C9C"/>
    <w:rsid w:val="001C23F6"/>
    <w:rsid w:val="001C4A8F"/>
    <w:rsid w:val="002277E8"/>
    <w:rsid w:val="00251896"/>
    <w:rsid w:val="00256A2A"/>
    <w:rsid w:val="0026042F"/>
    <w:rsid w:val="00260B95"/>
    <w:rsid w:val="00272E9D"/>
    <w:rsid w:val="00276309"/>
    <w:rsid w:val="00292A75"/>
    <w:rsid w:val="00292C0F"/>
    <w:rsid w:val="002A6346"/>
    <w:rsid w:val="002B4AC3"/>
    <w:rsid w:val="002D0B95"/>
    <w:rsid w:val="002D69FF"/>
    <w:rsid w:val="00300925"/>
    <w:rsid w:val="00305BD3"/>
    <w:rsid w:val="00331886"/>
    <w:rsid w:val="00333D61"/>
    <w:rsid w:val="00333E67"/>
    <w:rsid w:val="00340311"/>
    <w:rsid w:val="00342D3F"/>
    <w:rsid w:val="003A0CD9"/>
    <w:rsid w:val="003B0F93"/>
    <w:rsid w:val="003F06B6"/>
    <w:rsid w:val="003F1DBE"/>
    <w:rsid w:val="00403B80"/>
    <w:rsid w:val="004041E3"/>
    <w:rsid w:val="004136F5"/>
    <w:rsid w:val="00414624"/>
    <w:rsid w:val="00416A57"/>
    <w:rsid w:val="00434BE9"/>
    <w:rsid w:val="00434DD5"/>
    <w:rsid w:val="00452DC4"/>
    <w:rsid w:val="004555CC"/>
    <w:rsid w:val="00465CCD"/>
    <w:rsid w:val="00476BB5"/>
    <w:rsid w:val="004A4640"/>
    <w:rsid w:val="004A587B"/>
    <w:rsid w:val="004C271D"/>
    <w:rsid w:val="004F65F0"/>
    <w:rsid w:val="00514F00"/>
    <w:rsid w:val="00521D98"/>
    <w:rsid w:val="00535624"/>
    <w:rsid w:val="005454D6"/>
    <w:rsid w:val="00574747"/>
    <w:rsid w:val="005A3290"/>
    <w:rsid w:val="005A7488"/>
    <w:rsid w:val="005C64DD"/>
    <w:rsid w:val="005D11A6"/>
    <w:rsid w:val="005D2EF9"/>
    <w:rsid w:val="005F02D5"/>
    <w:rsid w:val="005F579F"/>
    <w:rsid w:val="005F633C"/>
    <w:rsid w:val="00606578"/>
    <w:rsid w:val="00606A07"/>
    <w:rsid w:val="00611731"/>
    <w:rsid w:val="00632864"/>
    <w:rsid w:val="006342AD"/>
    <w:rsid w:val="00651D39"/>
    <w:rsid w:val="00653D6C"/>
    <w:rsid w:val="00676969"/>
    <w:rsid w:val="00685628"/>
    <w:rsid w:val="006876DA"/>
    <w:rsid w:val="0069081E"/>
    <w:rsid w:val="00696B63"/>
    <w:rsid w:val="00697F89"/>
    <w:rsid w:val="006B73FB"/>
    <w:rsid w:val="00707A76"/>
    <w:rsid w:val="00710572"/>
    <w:rsid w:val="00745DB3"/>
    <w:rsid w:val="007523A6"/>
    <w:rsid w:val="00756508"/>
    <w:rsid w:val="007761E7"/>
    <w:rsid w:val="00780E78"/>
    <w:rsid w:val="007854C5"/>
    <w:rsid w:val="007870E2"/>
    <w:rsid w:val="00797E73"/>
    <w:rsid w:val="007D1A96"/>
    <w:rsid w:val="007E392E"/>
    <w:rsid w:val="007F290C"/>
    <w:rsid w:val="0080444C"/>
    <w:rsid w:val="00826C53"/>
    <w:rsid w:val="0088642C"/>
    <w:rsid w:val="0088792E"/>
    <w:rsid w:val="008A3327"/>
    <w:rsid w:val="008A3645"/>
    <w:rsid w:val="008C2696"/>
    <w:rsid w:val="008D4680"/>
    <w:rsid w:val="008F02A3"/>
    <w:rsid w:val="00910472"/>
    <w:rsid w:val="00937D95"/>
    <w:rsid w:val="009453A3"/>
    <w:rsid w:val="00952A21"/>
    <w:rsid w:val="009648FD"/>
    <w:rsid w:val="00966E27"/>
    <w:rsid w:val="00971E7E"/>
    <w:rsid w:val="009875D0"/>
    <w:rsid w:val="009A26EF"/>
    <w:rsid w:val="009C3B29"/>
    <w:rsid w:val="009C4AAF"/>
    <w:rsid w:val="009C639F"/>
    <w:rsid w:val="00A01026"/>
    <w:rsid w:val="00A26543"/>
    <w:rsid w:val="00A34141"/>
    <w:rsid w:val="00A437C6"/>
    <w:rsid w:val="00A5041A"/>
    <w:rsid w:val="00A509E5"/>
    <w:rsid w:val="00A5495F"/>
    <w:rsid w:val="00A65195"/>
    <w:rsid w:val="00A7046D"/>
    <w:rsid w:val="00AB7AF1"/>
    <w:rsid w:val="00AC4345"/>
    <w:rsid w:val="00AD2123"/>
    <w:rsid w:val="00AF0089"/>
    <w:rsid w:val="00AF637D"/>
    <w:rsid w:val="00B2597C"/>
    <w:rsid w:val="00B25C33"/>
    <w:rsid w:val="00B26391"/>
    <w:rsid w:val="00B3190D"/>
    <w:rsid w:val="00B436CE"/>
    <w:rsid w:val="00B5554C"/>
    <w:rsid w:val="00B603C5"/>
    <w:rsid w:val="00B60FC5"/>
    <w:rsid w:val="00B827C6"/>
    <w:rsid w:val="00B8603E"/>
    <w:rsid w:val="00B95DB2"/>
    <w:rsid w:val="00BE4234"/>
    <w:rsid w:val="00BE759F"/>
    <w:rsid w:val="00BF7C4A"/>
    <w:rsid w:val="00C13D81"/>
    <w:rsid w:val="00C21F06"/>
    <w:rsid w:val="00C24DE8"/>
    <w:rsid w:val="00C34768"/>
    <w:rsid w:val="00C356CE"/>
    <w:rsid w:val="00C54590"/>
    <w:rsid w:val="00C566A2"/>
    <w:rsid w:val="00C62CAF"/>
    <w:rsid w:val="00C72314"/>
    <w:rsid w:val="00C839B8"/>
    <w:rsid w:val="00CB2B09"/>
    <w:rsid w:val="00CD2D30"/>
    <w:rsid w:val="00CE17E3"/>
    <w:rsid w:val="00CE1BC6"/>
    <w:rsid w:val="00D2386D"/>
    <w:rsid w:val="00D30AB4"/>
    <w:rsid w:val="00D31DBB"/>
    <w:rsid w:val="00D4119F"/>
    <w:rsid w:val="00D57864"/>
    <w:rsid w:val="00D609ED"/>
    <w:rsid w:val="00D62C5B"/>
    <w:rsid w:val="00D74FDF"/>
    <w:rsid w:val="00D819E9"/>
    <w:rsid w:val="00D950FB"/>
    <w:rsid w:val="00DB7074"/>
    <w:rsid w:val="00DC7C30"/>
    <w:rsid w:val="00DE5915"/>
    <w:rsid w:val="00DF718D"/>
    <w:rsid w:val="00E161AD"/>
    <w:rsid w:val="00E268ED"/>
    <w:rsid w:val="00E40D3C"/>
    <w:rsid w:val="00E43857"/>
    <w:rsid w:val="00E54DDA"/>
    <w:rsid w:val="00E7008E"/>
    <w:rsid w:val="00E81D12"/>
    <w:rsid w:val="00EA4A18"/>
    <w:rsid w:val="00EA7A2A"/>
    <w:rsid w:val="00EB5BDF"/>
    <w:rsid w:val="00EB62C9"/>
    <w:rsid w:val="00EC00F2"/>
    <w:rsid w:val="00EC31CF"/>
    <w:rsid w:val="00EC52CC"/>
    <w:rsid w:val="00ED6DB8"/>
    <w:rsid w:val="00F10F40"/>
    <w:rsid w:val="00F23C36"/>
    <w:rsid w:val="00F67F32"/>
    <w:rsid w:val="00F73A6D"/>
    <w:rsid w:val="00F85539"/>
    <w:rsid w:val="00FA6266"/>
    <w:rsid w:val="00FB3647"/>
    <w:rsid w:val="00FC32FF"/>
    <w:rsid w:val="00FC4381"/>
    <w:rsid w:val="00FD4CA4"/>
    <w:rsid w:val="00FE341C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ED1B7F"/>
  <w15:docId w15:val="{775F12B6-ECA1-4943-8268-67B9A51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66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5F02D5"/>
    <w:pPr>
      <w:keepNext/>
      <w:numPr>
        <w:numId w:val="33"/>
      </w:numPr>
      <w:spacing w:after="24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BodyTextFirstIndent"/>
    <w:link w:val="Heading2Char"/>
    <w:qFormat/>
    <w:rsid w:val="00FA6266"/>
    <w:pPr>
      <w:numPr>
        <w:ilvl w:val="1"/>
      </w:numPr>
      <w:outlineLvl w:val="1"/>
    </w:pPr>
    <w:rPr>
      <w:bCs w:val="0"/>
      <w:i/>
      <w:iCs/>
      <w:caps w:val="0"/>
      <w:szCs w:val="28"/>
    </w:rPr>
  </w:style>
  <w:style w:type="paragraph" w:styleId="Heading3">
    <w:name w:val="heading 3"/>
    <w:basedOn w:val="Heading2"/>
    <w:next w:val="BodyTextFirstIndent"/>
    <w:link w:val="Heading3Char"/>
    <w:qFormat/>
    <w:rsid w:val="00FA6266"/>
    <w:pPr>
      <w:numPr>
        <w:ilvl w:val="2"/>
      </w:numPr>
      <w:outlineLvl w:val="2"/>
    </w:pPr>
    <w:rPr>
      <w:b w:val="0"/>
      <w:bCs/>
      <w:i w:val="0"/>
      <w:szCs w:val="26"/>
    </w:rPr>
  </w:style>
  <w:style w:type="paragraph" w:styleId="Heading4">
    <w:name w:val="heading 4"/>
    <w:basedOn w:val="Heading3"/>
    <w:next w:val="BodyTextFirstIndent"/>
    <w:link w:val="Heading4Char"/>
    <w:qFormat/>
    <w:rsid w:val="00FA6266"/>
    <w:pPr>
      <w:numPr>
        <w:ilvl w:val="3"/>
      </w:numPr>
      <w:outlineLvl w:val="3"/>
    </w:pPr>
    <w:rPr>
      <w:rFonts w:cs="Times New Roman"/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FA626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unhideWhenUsed/>
    <w:qFormat/>
    <w:rsid w:val="00FA6266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unhideWhenUsed/>
    <w:qFormat/>
    <w:rsid w:val="00FA6266"/>
    <w:pPr>
      <w:numPr>
        <w:ilvl w:val="6"/>
      </w:numPr>
      <w:outlineLvl w:val="6"/>
    </w:pPr>
    <w:rPr>
      <w:rFonts w:ascii="Calibri" w:hAnsi="Calibri"/>
    </w:rPr>
  </w:style>
  <w:style w:type="paragraph" w:styleId="Heading8">
    <w:name w:val="heading 8"/>
    <w:basedOn w:val="Heading7"/>
    <w:next w:val="Normal"/>
    <w:link w:val="Heading8Char"/>
    <w:unhideWhenUsed/>
    <w:qFormat/>
    <w:rsid w:val="00FA6266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F02D5"/>
    <w:pPr>
      <w:keepNext/>
      <w:keepLines/>
      <w:numPr>
        <w:ilvl w:val="8"/>
        <w:numId w:val="3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A6266"/>
    <w:pPr>
      <w:spacing w:after="120" w:line="360" w:lineRule="auto"/>
      <w:ind w:firstLine="720"/>
    </w:pPr>
  </w:style>
  <w:style w:type="character" w:customStyle="1" w:styleId="BodyTextChar">
    <w:name w:val="Body Text Char"/>
    <w:link w:val="BodyText"/>
    <w:rsid w:val="00FA6266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BodyText"/>
    <w:next w:val="Normal"/>
    <w:link w:val="BlockQuoteChar"/>
    <w:qFormat/>
    <w:rsid w:val="00FA6266"/>
    <w:pPr>
      <w:spacing w:after="240" w:line="240" w:lineRule="auto"/>
      <w:ind w:left="1440" w:right="1440" w:firstLine="0"/>
    </w:pPr>
  </w:style>
  <w:style w:type="character" w:customStyle="1" w:styleId="BlockQuoteChar">
    <w:name w:val="BlockQuote Char"/>
    <w:link w:val="BlockQuote"/>
    <w:rsid w:val="00FA626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-Notindented">
    <w:name w:val="Body Text - Not indented"/>
    <w:basedOn w:val="Normal"/>
    <w:qFormat/>
    <w:rsid w:val="00FA6266"/>
    <w:pPr>
      <w:suppressAutoHyphens/>
      <w:spacing w:after="120" w:line="360" w:lineRule="auto"/>
      <w:jc w:val="both"/>
    </w:pPr>
    <w:rPr>
      <w:szCs w:val="20"/>
    </w:rPr>
  </w:style>
  <w:style w:type="paragraph" w:customStyle="1" w:styleId="BodyTextContinued">
    <w:name w:val="Body Text Continued"/>
    <w:basedOn w:val="BodyText"/>
    <w:next w:val="BodyText"/>
    <w:qFormat/>
    <w:rsid w:val="00FA6266"/>
    <w:pPr>
      <w:ind w:firstLine="0"/>
    </w:pPr>
  </w:style>
  <w:style w:type="paragraph" w:styleId="BodyTextFirstIndent">
    <w:name w:val="Body Text First Indent"/>
    <w:basedOn w:val="BodyText"/>
    <w:link w:val="BodyTextFirstIndentChar"/>
    <w:qFormat/>
    <w:rsid w:val="00FA6266"/>
    <w:pPr>
      <w:suppressAutoHyphens/>
      <w:spacing w:after="0"/>
    </w:pPr>
  </w:style>
  <w:style w:type="character" w:customStyle="1" w:styleId="BodyTextFirstIndentChar">
    <w:name w:val="Body Text First Indent Char"/>
    <w:link w:val="BodyTextFirstIndent"/>
    <w:rsid w:val="00FA626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FA626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A626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FA6266"/>
    <w:rPr>
      <w:b/>
      <w:bCs/>
      <w:sz w:val="20"/>
      <w:szCs w:val="20"/>
    </w:rPr>
  </w:style>
  <w:style w:type="paragraph" w:customStyle="1" w:styleId="doubleindent">
    <w:name w:val="double indent"/>
    <w:basedOn w:val="BodyTextFirstIndent"/>
    <w:qFormat/>
    <w:rsid w:val="00FA6266"/>
    <w:pPr>
      <w:spacing w:line="240" w:lineRule="auto"/>
      <w:ind w:left="1440" w:right="1440" w:firstLine="0"/>
    </w:pPr>
    <w:rPr>
      <w:szCs w:val="28"/>
    </w:rPr>
  </w:style>
  <w:style w:type="character" w:styleId="FootnoteReference">
    <w:name w:val="footnote reference"/>
    <w:qFormat/>
    <w:rsid w:val="00FA6266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A6266"/>
    <w:rPr>
      <w:sz w:val="20"/>
      <w:szCs w:val="20"/>
    </w:rPr>
  </w:style>
  <w:style w:type="character" w:customStyle="1" w:styleId="FootnoteTextChar">
    <w:name w:val="Footnote Text Char"/>
    <w:link w:val="FootnoteText"/>
    <w:rsid w:val="00FA62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0">
    <w:name w:val="Heading 0"/>
    <w:basedOn w:val="Normal"/>
    <w:next w:val="BodyText"/>
    <w:qFormat/>
    <w:rsid w:val="00FA6266"/>
    <w:pPr>
      <w:keepNext/>
      <w:suppressAutoHyphens/>
      <w:spacing w:after="240"/>
      <w:jc w:val="center"/>
    </w:pPr>
    <w:rPr>
      <w:b/>
      <w:caps/>
      <w:szCs w:val="20"/>
    </w:rPr>
  </w:style>
  <w:style w:type="character" w:customStyle="1" w:styleId="Heading1Char">
    <w:name w:val="Heading 1 Char"/>
    <w:link w:val="Heading1"/>
    <w:rsid w:val="005F02D5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FA6266"/>
    <w:rPr>
      <w:rFonts w:ascii="Times New Roman" w:eastAsia="Times New Roman" w:hAnsi="Times New Roman" w:cs="Arial"/>
      <w:b/>
      <w:i/>
      <w:iCs/>
      <w:kern w:val="32"/>
      <w:sz w:val="24"/>
      <w:szCs w:val="28"/>
    </w:rPr>
  </w:style>
  <w:style w:type="character" w:customStyle="1" w:styleId="Heading3Char">
    <w:name w:val="Heading 3 Char"/>
    <w:link w:val="Heading3"/>
    <w:rsid w:val="00FA6266"/>
    <w:rPr>
      <w:rFonts w:ascii="Times New Roman" w:eastAsia="Times New Roman" w:hAnsi="Times New Roman" w:cs="Arial"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rsid w:val="00FA6266"/>
    <w:rPr>
      <w:rFonts w:ascii="Times New Roman" w:eastAsia="Times New Roman" w:hAnsi="Times New Roman" w:cs="Times New Roman"/>
      <w:iCs/>
      <w:kern w:val="32"/>
      <w:sz w:val="24"/>
      <w:szCs w:val="28"/>
    </w:rPr>
  </w:style>
  <w:style w:type="character" w:customStyle="1" w:styleId="Heading5Char">
    <w:name w:val="Heading 5 Char"/>
    <w:link w:val="Heading5"/>
    <w:rsid w:val="00FA6266"/>
    <w:rPr>
      <w:rFonts w:ascii="Times New Roman" w:eastAsia="Times New Roman" w:hAnsi="Times New Roman" w:cs="Times New Roman"/>
      <w:bCs/>
      <w:kern w:val="32"/>
      <w:sz w:val="24"/>
      <w:szCs w:val="26"/>
    </w:rPr>
  </w:style>
  <w:style w:type="character" w:customStyle="1" w:styleId="Heading6Char">
    <w:name w:val="Heading 6 Char"/>
    <w:link w:val="Heading6"/>
    <w:rsid w:val="00FA6266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FA6266"/>
    <w:rPr>
      <w:rFonts w:eastAsia="Times New Roman"/>
      <w:kern w:val="32"/>
    </w:rPr>
  </w:style>
  <w:style w:type="character" w:customStyle="1" w:styleId="Heading8Char">
    <w:name w:val="Heading 8 Char"/>
    <w:link w:val="Heading8"/>
    <w:rsid w:val="00FA6266"/>
    <w:rPr>
      <w:rFonts w:eastAsia="Times New Roman"/>
      <w:i/>
      <w:iCs/>
      <w:kern w:val="32"/>
    </w:rPr>
  </w:style>
  <w:style w:type="character" w:customStyle="1" w:styleId="Heading9Char">
    <w:name w:val="Heading 9 Char"/>
    <w:link w:val="Heading9"/>
    <w:uiPriority w:val="9"/>
    <w:semiHidden/>
    <w:rsid w:val="005F0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Headings">
    <w:name w:val="Headings"/>
    <w:uiPriority w:val="99"/>
    <w:rsid w:val="005F02D5"/>
    <w:pPr>
      <w:numPr>
        <w:numId w:val="10"/>
      </w:numPr>
    </w:pPr>
  </w:style>
  <w:style w:type="numbering" w:customStyle="1" w:styleId="Legal11512">
    <w:name w:val="Legal 1.1 .5 12"/>
    <w:uiPriority w:val="99"/>
    <w:rsid w:val="00FA6266"/>
    <w:pPr>
      <w:numPr>
        <w:numId w:val="11"/>
      </w:numPr>
    </w:pPr>
  </w:style>
  <w:style w:type="numbering" w:customStyle="1" w:styleId="ListArticle">
    <w:name w:val="List Article"/>
    <w:uiPriority w:val="99"/>
    <w:rsid w:val="00FA6266"/>
    <w:pPr>
      <w:numPr>
        <w:numId w:val="12"/>
      </w:numPr>
    </w:pPr>
  </w:style>
  <w:style w:type="paragraph" w:styleId="ListBullet">
    <w:name w:val="List Bullet"/>
    <w:basedOn w:val="Normal"/>
    <w:qFormat/>
    <w:rsid w:val="003A0CD9"/>
    <w:pPr>
      <w:numPr>
        <w:numId w:val="22"/>
      </w:numPr>
      <w:spacing w:after="240"/>
    </w:pPr>
  </w:style>
  <w:style w:type="numbering" w:customStyle="1" w:styleId="ListBullets">
    <w:name w:val="List Bullets"/>
    <w:uiPriority w:val="99"/>
    <w:rsid w:val="00FA6266"/>
    <w:pPr>
      <w:numPr>
        <w:numId w:val="15"/>
      </w:numPr>
    </w:pPr>
  </w:style>
  <w:style w:type="paragraph" w:styleId="ListNumber">
    <w:name w:val="List Number"/>
    <w:basedOn w:val="Normal"/>
    <w:qFormat/>
    <w:rsid w:val="00B3190D"/>
    <w:pPr>
      <w:numPr>
        <w:numId w:val="32"/>
      </w:numPr>
      <w:spacing w:after="120"/>
    </w:pPr>
  </w:style>
  <w:style w:type="numbering" w:customStyle="1" w:styleId="ListNumberPlain">
    <w:name w:val="List Number Plain"/>
    <w:uiPriority w:val="99"/>
    <w:rsid w:val="00FA6266"/>
    <w:pPr>
      <w:numPr>
        <w:numId w:val="18"/>
      </w:numPr>
    </w:pPr>
  </w:style>
  <w:style w:type="paragraph" w:customStyle="1" w:styleId="ListNumberSection1">
    <w:name w:val="List Number Section 1"/>
    <w:basedOn w:val="Normal"/>
    <w:rsid w:val="00FA6266"/>
    <w:pPr>
      <w:spacing w:line="480" w:lineRule="auto"/>
      <w:outlineLvl w:val="0"/>
    </w:pPr>
    <w:rPr>
      <w:rFonts w:ascii="Palatino Linotype" w:hAnsi="Palatino Linotype"/>
      <w:b/>
    </w:rPr>
  </w:style>
  <w:style w:type="paragraph" w:customStyle="1" w:styleId="ListNumberSection3">
    <w:name w:val="List Number Section 3"/>
    <w:basedOn w:val="Normal"/>
    <w:rsid w:val="00FA6266"/>
    <w:pPr>
      <w:spacing w:line="480" w:lineRule="auto"/>
      <w:outlineLvl w:val="2"/>
    </w:pPr>
    <w:rPr>
      <w:rFonts w:ascii="Palatino Linotype" w:hAnsi="Palatino Linotype"/>
    </w:rPr>
  </w:style>
  <w:style w:type="numbering" w:customStyle="1" w:styleId="ListNumber25">
    <w:name w:val="List Number.25"/>
    <w:uiPriority w:val="99"/>
    <w:rsid w:val="00FA6266"/>
    <w:pPr>
      <w:numPr>
        <w:numId w:val="19"/>
      </w:numPr>
    </w:pPr>
  </w:style>
  <w:style w:type="numbering" w:customStyle="1" w:styleId="ListNumbers0">
    <w:name w:val="List Numbers"/>
    <w:uiPriority w:val="99"/>
    <w:rsid w:val="007870E2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FA6266"/>
    <w:pPr>
      <w:spacing w:after="24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266"/>
    <w:pPr>
      <w:numPr>
        <w:numId w:val="0"/>
      </w:numPr>
      <w:spacing w:before="240" w:after="60"/>
      <w:outlineLvl w:val="9"/>
    </w:pPr>
    <w:rPr>
      <w:rFonts w:ascii="Cambria" w:hAnsi="Cambria" w:cs="Times New Roman"/>
      <w:caps w:val="0"/>
      <w:sz w:val="32"/>
    </w:rPr>
  </w:style>
  <w:style w:type="numbering" w:customStyle="1" w:styleId="ListBullets0">
    <w:name w:val="ListBullets"/>
    <w:uiPriority w:val="99"/>
    <w:rsid w:val="00054F07"/>
    <w:pPr>
      <w:numPr>
        <w:numId w:val="22"/>
      </w:numPr>
    </w:pPr>
  </w:style>
  <w:style w:type="numbering" w:customStyle="1" w:styleId="ListNumbers">
    <w:name w:val="ListNumbers"/>
    <w:uiPriority w:val="99"/>
    <w:rsid w:val="00B3190D"/>
    <w:pPr>
      <w:numPr>
        <w:numId w:val="24"/>
      </w:numPr>
    </w:pPr>
  </w:style>
  <w:style w:type="table" w:styleId="TableGrid">
    <w:name w:val="Table Grid"/>
    <w:basedOn w:val="TableNormal"/>
    <w:uiPriority w:val="59"/>
    <w:rsid w:val="00A4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6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6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6a3d2ced46b2f7623e9f7e6f4a6970ac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4fc9f1496f4b793c1bbe8029f81632fa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3B1-BDA1-4DD6-9CD9-EC4E8DE08A60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444fad00-ec21-46cc-a133-d70aaec15ab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90D66A-478F-4B59-AC57-BB663CC8A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DA8C7-5DB1-4AF1-8B47-1BC6458A5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17D4D-AD94-415F-BED9-987CB24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Painter</dc:creator>
  <cp:lastModifiedBy>John Painter</cp:lastModifiedBy>
  <cp:revision>2</cp:revision>
  <dcterms:created xsi:type="dcterms:W3CDTF">2016-02-22T20:39:00Z</dcterms:created>
  <dcterms:modified xsi:type="dcterms:W3CDTF">2016-02-22T20:39:00Z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