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80" w:rsidRDefault="00C86380" w:rsidP="00C8638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</w:p>
    <w:p w:rsidR="00C86380" w:rsidRPr="00435D77" w:rsidRDefault="00C86380" w:rsidP="00C86380">
      <w:pPr>
        <w:spacing w:after="0"/>
        <w:jc w:val="center"/>
        <w:rPr>
          <w:b/>
          <w:sz w:val="32"/>
          <w:szCs w:val="32"/>
        </w:rPr>
      </w:pPr>
      <w:r w:rsidRPr="00435D77">
        <w:rPr>
          <w:b/>
          <w:sz w:val="32"/>
          <w:szCs w:val="32"/>
        </w:rPr>
        <w:t>Items Requiring Action by KyMEA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Establish banking relationships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Issue RFP for banking services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 xml:space="preserve">Issue RFP for line of credit 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Negotiate necessary agreements with financial institutions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 xml:space="preserve">Establish Meeting location and Administrative 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Routine meeting location to comply with Open Meetings Act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Setting up KSBA agendas and related administration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Develop administrative budgets for first 12 months and seek funding from members to KyMEA accounts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 xml:space="preserve">Accounting and Financial Systems 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 xml:space="preserve">Select enterprise management software and configure 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Issue RFP, evaluate systems (using consultant or member IT function), negotiate contract, obtain board approval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Configure system to meet needs of agency including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settlements with PJM and MISO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member account management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integration with member SCADA and metering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Accounts payable and receivable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GASB compliance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Establish procedures with member for allocation of administrative and power supply costs.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Establish invoice development procedures and schedules to ensure adequate cash flow.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Establish budget development process, review and approval process and schedules and budget reporting configurations.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Policy Development – Typically these JAAs are governed by policies to ensure proper level of authorities.  Recommended policies include: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Results Policies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Core Purpose, vision mission and core values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Board/Management Roles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 xml:space="preserve">Controlling Authority 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Delegation of Authority to General Manager/President and Accountability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Monitoring Performance of General Manager/President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Management Policies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Succession of Leadership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Information and support to the Board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Strategic and business planning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Employee Policies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 xml:space="preserve">Drug and Alcohol 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Workplace violence and criminal activity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 xml:space="preserve">Vacation and Holiday 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Family and Medical Leave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 xml:space="preserve">Safety 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Travel Expenses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Credit card policy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Company and personal vehicle policy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 xml:space="preserve">Compensation 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Employee benefits (insurance, retirement, etc.)</w:t>
      </w:r>
    </w:p>
    <w:p w:rsidR="00C86380" w:rsidRDefault="00C86380" w:rsidP="00C86380">
      <w:pPr>
        <w:pStyle w:val="ListParagraph"/>
        <w:numPr>
          <w:ilvl w:val="3"/>
          <w:numId w:val="1"/>
        </w:numPr>
        <w:spacing w:after="0"/>
      </w:pPr>
      <w:r>
        <w:t>Information technology use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Financial Policies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Investments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Reserve Funds and Flow of Funds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Debt Issuance and Payments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Procurement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Real Property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Legal Action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Short term borrowing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Cost Allocation and Recovery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Protection of Assets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Risk Management Policies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Trade execution and authorization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 xml:space="preserve">Energy Risk Management and Governance </w:t>
      </w:r>
    </w:p>
    <w:p w:rsidR="00C86380" w:rsidRDefault="00C86380" w:rsidP="00C86380">
      <w:pPr>
        <w:pStyle w:val="ListParagraph"/>
        <w:numPr>
          <w:ilvl w:val="2"/>
          <w:numId w:val="1"/>
        </w:numPr>
        <w:spacing w:after="0"/>
      </w:pPr>
      <w:r>
        <w:t>Cyber-security and Protection of Confidential Information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 xml:space="preserve">Legislation and Regulation 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External Communication and Community Involvement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Project Participation Policies (for power supply projects)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Third Party Service Provider Selection for Tagging/Scheduling/Energy Settlements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Issue RFP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Negotiate service provider contract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Establish Credit Rating for Agency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Moodys, S&amp;P, Fitch discussions to determine required cash assets, Agency/member agreement terms to achieve  ratings necessary to float bonds and enable counterparty trading agreements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Integrate credit requirements into Service Agreements and Power Supply Agreements.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Contract with agencies for rating and host ratings visits or calls as required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Enabling Agreements, Broker Agreements and Exchange Agreements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Assignment of OMU Enabling Agreements to KyMEA to permit trade execution on day 1 of Agency operation.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Establish accounts with ICE and NYMEX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Negotiate energy broker agreements on behalf of Agency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 xml:space="preserve">FERC and RTO/ITO Registration 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Register with MISO, PJM, LKE, TVA, etc. as market participant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Establish required credit with RTOs to enable transactions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Register with FERC as certificated marketer and/or other required licensing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Transition of Service Provider Contracts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 xml:space="preserve">Move </w:t>
      </w:r>
      <w:proofErr w:type="spellStart"/>
      <w:r>
        <w:t>nFront</w:t>
      </w:r>
      <w:proofErr w:type="spellEnd"/>
      <w:r>
        <w:t xml:space="preserve">, </w:t>
      </w:r>
      <w:proofErr w:type="spellStart"/>
      <w:r>
        <w:t>NewGen</w:t>
      </w:r>
      <w:proofErr w:type="spellEnd"/>
      <w:r>
        <w:t>, PFA, legal contract to KyMEA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SCADA and telecommunications Infrastructure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Determine SCADA and telecom needs of third party provider and others</w:t>
      </w:r>
    </w:p>
    <w:p w:rsidR="00C86380" w:rsidRDefault="00C86380" w:rsidP="00C86380">
      <w:pPr>
        <w:pStyle w:val="ListParagraph"/>
        <w:numPr>
          <w:ilvl w:val="1"/>
          <w:numId w:val="1"/>
        </w:numPr>
        <w:spacing w:after="0"/>
      </w:pPr>
      <w:r>
        <w:t>Coordinate and contract for telemetry improvements necessary to provide required signals to 3</w:t>
      </w:r>
      <w:r w:rsidRPr="00364AAC">
        <w:rPr>
          <w:vertAlign w:val="superscript"/>
        </w:rPr>
        <w:t>rd</w:t>
      </w:r>
      <w:r>
        <w:t xml:space="preserve"> party provide, TO, Reliability Coordinator, KyMEA offices, etc.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Transmission Agreements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Power Supply contracts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Agency/Member Service Contracts</w:t>
      </w:r>
    </w:p>
    <w:p w:rsidR="00C86380" w:rsidRDefault="00C86380" w:rsidP="00C86380">
      <w:pPr>
        <w:pStyle w:val="ListParagraph"/>
        <w:numPr>
          <w:ilvl w:val="0"/>
          <w:numId w:val="1"/>
        </w:numPr>
        <w:spacing w:after="0"/>
      </w:pPr>
      <w:r>
        <w:t>Agency/Member Power Supply Contracts</w:t>
      </w:r>
    </w:p>
    <w:p w:rsidR="004E5771" w:rsidRDefault="004E5771"/>
    <w:sectPr w:rsidR="004E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84FC5"/>
    <w:multiLevelType w:val="hybridMultilevel"/>
    <w:tmpl w:val="CBD0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0"/>
    <w:rsid w:val="00233CC2"/>
    <w:rsid w:val="004E5771"/>
    <w:rsid w:val="00C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CB5EE-B71A-4EAB-A6E8-29F5B041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Naulty</dc:creator>
  <cp:keywords/>
  <dc:description/>
  <cp:lastModifiedBy>Terry Naulty</cp:lastModifiedBy>
  <cp:revision>1</cp:revision>
  <dcterms:created xsi:type="dcterms:W3CDTF">2015-10-19T12:58:00Z</dcterms:created>
  <dcterms:modified xsi:type="dcterms:W3CDTF">2015-10-19T12:59:00Z</dcterms:modified>
</cp:coreProperties>
</file>