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D8F66" w14:textId="77777777" w:rsidR="00E20E48" w:rsidRPr="004F5958" w:rsidRDefault="009A336F" w:rsidP="004F5958">
      <w:pPr>
        <w:jc w:val="center"/>
        <w:rPr>
          <w:b/>
          <w:sz w:val="28"/>
          <w:szCs w:val="28"/>
        </w:rPr>
      </w:pPr>
      <w:bookmarkStart w:id="0" w:name="_GoBack"/>
      <w:bookmarkEnd w:id="0"/>
      <w:r w:rsidRPr="004F5958">
        <w:rPr>
          <w:b/>
          <w:sz w:val="28"/>
          <w:szCs w:val="28"/>
        </w:rPr>
        <w:t>March 19</w:t>
      </w:r>
      <w:r w:rsidRPr="004F5958">
        <w:rPr>
          <w:b/>
          <w:sz w:val="28"/>
          <w:szCs w:val="28"/>
          <w:vertAlign w:val="superscript"/>
        </w:rPr>
        <w:t>th</w:t>
      </w:r>
      <w:r w:rsidRPr="004F5958">
        <w:rPr>
          <w:b/>
          <w:sz w:val="28"/>
          <w:szCs w:val="28"/>
        </w:rPr>
        <w:t>, 2015 LPC Meeting</w:t>
      </w:r>
    </w:p>
    <w:p w14:paraId="6F52F2D3" w14:textId="77777777" w:rsidR="009A336F" w:rsidRPr="004F5958" w:rsidRDefault="009A336F">
      <w:pPr>
        <w:rPr>
          <w:sz w:val="24"/>
          <w:szCs w:val="24"/>
        </w:rPr>
      </w:pPr>
    </w:p>
    <w:p w14:paraId="5C3A8063" w14:textId="77777777" w:rsidR="009A336F" w:rsidRPr="004F5958" w:rsidRDefault="009A336F" w:rsidP="009A336F">
      <w:pPr>
        <w:pStyle w:val="ListParagraph"/>
        <w:numPr>
          <w:ilvl w:val="0"/>
          <w:numId w:val="1"/>
        </w:numPr>
        <w:rPr>
          <w:sz w:val="24"/>
          <w:szCs w:val="24"/>
        </w:rPr>
      </w:pPr>
      <w:r w:rsidRPr="004F5958">
        <w:rPr>
          <w:sz w:val="24"/>
          <w:szCs w:val="24"/>
        </w:rPr>
        <w:t>Travel</w:t>
      </w:r>
      <w:r w:rsidR="004F5958">
        <w:rPr>
          <w:sz w:val="24"/>
          <w:szCs w:val="24"/>
        </w:rPr>
        <w:t xml:space="preserve"> (new elementary)</w:t>
      </w:r>
    </w:p>
    <w:p w14:paraId="4B5C39FE" w14:textId="77777777" w:rsidR="009A336F" w:rsidRPr="004F5958" w:rsidRDefault="009A336F" w:rsidP="009A336F">
      <w:pPr>
        <w:rPr>
          <w:sz w:val="24"/>
          <w:szCs w:val="24"/>
        </w:rPr>
      </w:pPr>
      <w:r w:rsidRPr="004F5958">
        <w:rPr>
          <w:sz w:val="24"/>
          <w:szCs w:val="24"/>
        </w:rPr>
        <w:t>After reviewing the data closely associated with travel, the three primary components that will be critical in providing a monetary savings to the district are fuel, salary, and maintenance.  After compiling the information and projecting based on current bus routes, the savings is projected to be between $20,000 and $25,000 annually.  However, one component that can push district savings much higher is the prospect of retaining our own diesel station when a fenced and secure bus compound is established on site.</w:t>
      </w:r>
    </w:p>
    <w:p w14:paraId="2C29B1EC" w14:textId="77777777" w:rsidR="009A336F" w:rsidRPr="004F5958" w:rsidRDefault="009A336F" w:rsidP="009A336F">
      <w:pPr>
        <w:pStyle w:val="ListParagraph"/>
        <w:numPr>
          <w:ilvl w:val="0"/>
          <w:numId w:val="1"/>
        </w:numPr>
        <w:rPr>
          <w:sz w:val="24"/>
          <w:szCs w:val="24"/>
        </w:rPr>
      </w:pPr>
      <w:r w:rsidRPr="004F5958">
        <w:rPr>
          <w:sz w:val="24"/>
          <w:szCs w:val="24"/>
        </w:rPr>
        <w:t>Academic/Athletic Complex</w:t>
      </w:r>
    </w:p>
    <w:p w14:paraId="569B6CBF" w14:textId="77777777" w:rsidR="009A336F" w:rsidRPr="004F5958" w:rsidRDefault="009A336F" w:rsidP="009A336F">
      <w:pPr>
        <w:rPr>
          <w:sz w:val="24"/>
          <w:szCs w:val="24"/>
        </w:rPr>
      </w:pPr>
      <w:r w:rsidRPr="004F5958">
        <w:rPr>
          <w:sz w:val="24"/>
          <w:szCs w:val="24"/>
        </w:rPr>
        <w:t xml:space="preserve">Currently, SCHS is navigating a fine line between compliance and non-compliance regarding federal Title IX issues relating to a proper balance between boy’s and </w:t>
      </w:r>
      <w:proofErr w:type="gramStart"/>
      <w:r w:rsidR="006F6392" w:rsidRPr="004F5958">
        <w:rPr>
          <w:sz w:val="24"/>
          <w:szCs w:val="24"/>
        </w:rPr>
        <w:t>girl’s</w:t>
      </w:r>
      <w:proofErr w:type="gramEnd"/>
      <w:r w:rsidRPr="004F5958">
        <w:rPr>
          <w:sz w:val="24"/>
          <w:szCs w:val="24"/>
        </w:rPr>
        <w:t xml:space="preserve"> athletic facilities.  Additionally, we have recognized the need for years to further expand the current 9</w:t>
      </w:r>
      <w:r w:rsidRPr="004F5958">
        <w:rPr>
          <w:sz w:val="24"/>
          <w:szCs w:val="24"/>
          <w:vertAlign w:val="superscript"/>
        </w:rPr>
        <w:t>th</w:t>
      </w:r>
      <w:r w:rsidRPr="004F5958">
        <w:rPr>
          <w:sz w:val="24"/>
          <w:szCs w:val="24"/>
        </w:rPr>
        <w:t xml:space="preserve"> grade wing at SCHS in order to provide additional choice in </w:t>
      </w:r>
      <w:r w:rsidR="006F6392" w:rsidRPr="004F5958">
        <w:rPr>
          <w:sz w:val="24"/>
          <w:szCs w:val="24"/>
        </w:rPr>
        <w:t>the Career and Technical field to satisfy College and Career Readiness (CCR) goals set forth by KDE.  An Academic/Athletic Complex at SCHS could in fact be designed to address both as two or three current classrooms at SCHS could be relieved by having an alternate site, as well as providing immediate Title IX compliance with locker room and weight room facilities.  Further, a complex of this nature would provide for satisfactory restroom facilities and concessions stand.</w:t>
      </w:r>
    </w:p>
    <w:p w14:paraId="23A7B634" w14:textId="77777777" w:rsidR="006F6392" w:rsidRPr="004F5958" w:rsidRDefault="006F6392" w:rsidP="006F6392">
      <w:pPr>
        <w:pStyle w:val="ListParagraph"/>
        <w:numPr>
          <w:ilvl w:val="0"/>
          <w:numId w:val="1"/>
        </w:numPr>
        <w:rPr>
          <w:sz w:val="24"/>
          <w:szCs w:val="24"/>
        </w:rPr>
      </w:pPr>
      <w:r w:rsidRPr="004F5958">
        <w:rPr>
          <w:sz w:val="24"/>
          <w:szCs w:val="24"/>
        </w:rPr>
        <w:t>TES Renovation</w:t>
      </w:r>
    </w:p>
    <w:p w14:paraId="7405A20F" w14:textId="77777777" w:rsidR="004F5958" w:rsidRPr="004F5958" w:rsidRDefault="006F6392" w:rsidP="006F6392">
      <w:pPr>
        <w:rPr>
          <w:sz w:val="24"/>
          <w:szCs w:val="24"/>
        </w:rPr>
      </w:pPr>
      <w:r w:rsidRPr="004F5958">
        <w:rPr>
          <w:sz w:val="24"/>
          <w:szCs w:val="24"/>
        </w:rPr>
        <w:t xml:space="preserve">In order to make the current TES campus useful for any future educational purposes, following the advice of KDE and our architects, the 1938 wing must be demolished, as well as the detached cafeteria.  Once the new elementary school is </w:t>
      </w:r>
      <w:r w:rsidRPr="004F5958">
        <w:rPr>
          <w:sz w:val="24"/>
          <w:szCs w:val="24"/>
        </w:rPr>
        <w:lastRenderedPageBreak/>
        <w:t xml:space="preserve">complete, we can completely empty the campus by removing Pre-school and placing them at the elementary schools.  During this time, an attached </w:t>
      </w:r>
      <w:proofErr w:type="spellStart"/>
      <w:r w:rsidRPr="004F5958">
        <w:rPr>
          <w:sz w:val="24"/>
          <w:szCs w:val="24"/>
        </w:rPr>
        <w:t>cafetorium</w:t>
      </w:r>
      <w:proofErr w:type="spellEnd"/>
      <w:r w:rsidRPr="004F5958">
        <w:rPr>
          <w:sz w:val="24"/>
          <w:szCs w:val="24"/>
        </w:rPr>
        <w:t xml:space="preserve">, serving as a kitchen, cafeteria, and gymnasium can then be constructed to the new wing in order to safely and efficiently house and educate our entire early childhood programs including Head Start, Pre-School, and even Kindergarten.  This will leave grades 1-5 in the two primary elementary buildings, therefore, proactively addressing the </w:t>
      </w:r>
      <w:r w:rsidR="004F5958" w:rsidRPr="004F5958">
        <w:rPr>
          <w:sz w:val="24"/>
          <w:szCs w:val="24"/>
        </w:rPr>
        <w:t>growth component at the elementary level in Spencer County for years to come.</w:t>
      </w:r>
    </w:p>
    <w:p w14:paraId="172709FF" w14:textId="77777777" w:rsidR="004F5958" w:rsidRPr="004F5958" w:rsidRDefault="004F5958" w:rsidP="006F6392">
      <w:pPr>
        <w:rPr>
          <w:b/>
        </w:rPr>
      </w:pPr>
      <w:r>
        <w:rPr>
          <w:b/>
        </w:rPr>
        <w:t>*</w:t>
      </w:r>
      <w:r w:rsidRPr="004F5958">
        <w:rPr>
          <w:b/>
        </w:rPr>
        <w:t>As suggested by last week’s orientation video, a bus garage and/or academic/athletic complex would be a low priority building project on its own, however, as the LPC considers the prospects, I will be working with KDE to find out if one or both of the lower priority projects can be attached to the priority construction of the new elementary school since current bonding potential does in fact give us some “wiggle room” to address unmet needs of the district in this manner.</w:t>
      </w:r>
      <w:r>
        <w:rPr>
          <w:b/>
        </w:rPr>
        <w:t xml:space="preserve">  Although I’m confident that this can happen if the LPC and the Board of Education chooses to do so, I’m equally certain that addendum projects such as this can only be considered if they are properly placed on the facility plan.</w:t>
      </w:r>
    </w:p>
    <w:sectPr w:rsidR="004F5958" w:rsidRPr="004F5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B4836"/>
    <w:multiLevelType w:val="hybridMultilevel"/>
    <w:tmpl w:val="8C1C9A70"/>
    <w:lvl w:ilvl="0" w:tplc="A0D0BE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6F"/>
    <w:rsid w:val="004F5958"/>
    <w:rsid w:val="006F6392"/>
    <w:rsid w:val="009576AD"/>
    <w:rsid w:val="009A336F"/>
    <w:rsid w:val="00E2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8D43"/>
  <w15:chartTrackingRefBased/>
  <w15:docId w15:val="{C84FF400-B601-48F0-8B9F-407F9D2E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36F"/>
    <w:pPr>
      <w:ind w:left="720"/>
      <w:contextualSpacing/>
    </w:pPr>
  </w:style>
  <w:style w:type="paragraph" w:styleId="BalloonText">
    <w:name w:val="Balloon Text"/>
    <w:basedOn w:val="Normal"/>
    <w:link w:val="BalloonTextChar"/>
    <w:uiPriority w:val="99"/>
    <w:semiHidden/>
    <w:unhideWhenUsed/>
    <w:rsid w:val="004F5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8D00A-1369-47CC-A502-E8944D3C8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E8997F-9284-4C20-B822-45A402506A5A}">
  <ds:schemaRefs>
    <ds:schemaRef ds:uri="http://schemas.microsoft.com/sharepoint/v3/contenttype/forms"/>
  </ds:schemaRefs>
</ds:datastoreItem>
</file>

<file path=customXml/itemProps3.xml><?xml version="1.0" encoding="utf-8"?>
<ds:datastoreItem xmlns:ds="http://schemas.openxmlformats.org/officeDocument/2006/customXml" ds:itemID="{62549F35-E098-4F2E-8F4F-D2E6BC528796}">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Charles (Superintendent)</dc:creator>
  <cp:keywords/>
  <dc:description/>
  <cp:lastModifiedBy>Barlow, Michelle</cp:lastModifiedBy>
  <cp:revision>2</cp:revision>
  <cp:lastPrinted>2015-03-18T18:16:00Z</cp:lastPrinted>
  <dcterms:created xsi:type="dcterms:W3CDTF">2015-03-18T18:16:00Z</dcterms:created>
  <dcterms:modified xsi:type="dcterms:W3CDTF">2015-03-18T18:16:00Z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