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Default="002321ED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 xml:space="preserve">042114 Dawson Springs Jr/Sr High School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Pr="007A7CE4" w:rsidRDefault="002321ED" w:rsidP="007A7CE4">
      <w:pPr>
        <w:rPr>
          <w:rFonts w:ascii="Comic Sans MS" w:hAnsi="Comic Sans MS"/>
          <w:color w:val="7030A0"/>
        </w:rPr>
      </w:pPr>
      <w:r w:rsidRPr="007A7CE4">
        <w:rPr>
          <w:rFonts w:ascii="Comic Sans MS" w:hAnsi="Comic Sans MS"/>
          <w:color w:val="7030A0"/>
        </w:rPr>
        <w:t>General Comments</w:t>
      </w:r>
    </w:p>
    <w:p w:rsidR="002321ED" w:rsidRDefault="002321ED" w:rsidP="00823ADC">
      <w:pPr>
        <w:pStyle w:val="ListParagraph"/>
        <w:numPr>
          <w:ilvl w:val="0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Promenade, Prom, After Prom. </w:t>
      </w:r>
    </w:p>
    <w:p w:rsidR="00E93879" w:rsidRDefault="00E93879" w:rsidP="00E9387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E93879">
        <w:rPr>
          <w:rFonts w:ascii="Comic Sans MS" w:hAnsi="Comic Sans MS"/>
          <w:color w:val="7030A0"/>
          <w:sz w:val="24"/>
          <w:szCs w:val="24"/>
        </w:rPr>
        <w:t xml:space="preserve">Great Promenade, Wonderful Prom, Outstanding After-Prom.  As always a fantastic Prom by Ms. Crider with her able assistants Ms. Cowan, Ms. Harris, Ms. Rice and Mr. Peyton.  </w:t>
      </w:r>
    </w:p>
    <w:p w:rsidR="00E93879" w:rsidRPr="00E93879" w:rsidRDefault="00E93879" w:rsidP="00E93879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E93879">
        <w:rPr>
          <w:rFonts w:ascii="Comic Sans MS" w:hAnsi="Comic Sans MS"/>
          <w:color w:val="7030A0"/>
          <w:sz w:val="24"/>
          <w:szCs w:val="24"/>
        </w:rPr>
        <w:t xml:space="preserve">Super thanks to all of the parents and community partners who helped make After-prom a resounding success.  Our students are very fortunate to have such amazing support. </w:t>
      </w:r>
    </w:p>
    <w:p w:rsidR="002321ED" w:rsidRDefault="002321ED" w:rsidP="00823ADC">
      <w:pPr>
        <w:pStyle w:val="ListParagraph"/>
        <w:numPr>
          <w:ilvl w:val="0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MAP Testing completed. Data review process next.</w:t>
      </w:r>
    </w:p>
    <w:p w:rsidR="00823ADC" w:rsidRDefault="00823ADC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Administration and staff will make adjustments in teacher instruction and student schedules based on student growth and proficiency. </w:t>
      </w:r>
    </w:p>
    <w:p w:rsidR="002321ED" w:rsidRDefault="002321ED" w:rsidP="00823ADC">
      <w:pPr>
        <w:pStyle w:val="ListParagraph"/>
        <w:numPr>
          <w:ilvl w:val="0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Wonderful Wednesdays Staff Development.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Achieve 3000 training for appropriate staff.</w:t>
      </w:r>
    </w:p>
    <w:p w:rsidR="00823ADC" w:rsidRDefault="00823ADC" w:rsidP="00823ADC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Reading proficiency program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Next up – Professional Growth and Effectiveness Training. </w:t>
      </w:r>
    </w:p>
    <w:p w:rsidR="002321ED" w:rsidRDefault="002321ED" w:rsidP="00823ADC">
      <w:pPr>
        <w:pStyle w:val="ListParagraph"/>
        <w:numPr>
          <w:ilvl w:val="0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SBDM – 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Approved the 2014-2015 Code of Acceptable Behavior.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Approved timeline for interviewing for the 2014-2015 Vacant Spanish position.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Discussed the 2014-2015 Master Schedule and possible room adjustments. </w:t>
      </w:r>
    </w:p>
    <w:p w:rsidR="002321ED" w:rsidRDefault="002321ED" w:rsidP="00823ADC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6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>/7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>/8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Math Acceleration.</w:t>
      </w:r>
      <w:r w:rsidR="00823ADC">
        <w:rPr>
          <w:rFonts w:ascii="Comic Sans MS" w:hAnsi="Comic Sans MS"/>
          <w:color w:val="7030A0"/>
        </w:rPr>
        <w:t xml:space="preserve"> </w:t>
      </w:r>
      <w:r w:rsidR="002B7295">
        <w:rPr>
          <w:rFonts w:ascii="Comic Sans MS" w:hAnsi="Comic Sans MS"/>
          <w:color w:val="7030A0"/>
        </w:rPr>
        <w:t>Adjustments will</w:t>
      </w:r>
      <w:r w:rsidR="00823ADC">
        <w:rPr>
          <w:rFonts w:ascii="Comic Sans MS" w:hAnsi="Comic Sans MS"/>
          <w:color w:val="7030A0"/>
        </w:rPr>
        <w:t xml:space="preserve"> Accelerate College and Career Readiness. </w:t>
      </w:r>
    </w:p>
    <w:p w:rsidR="002321ED" w:rsidRDefault="002321ED" w:rsidP="00823ADC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Continuing World Language for 9-12 and Spanish for 8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grade.</w:t>
      </w:r>
    </w:p>
    <w:p w:rsidR="002321ED" w:rsidRDefault="002321ED" w:rsidP="00823ADC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Moving AP US History to 11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 with the goal in 2015-2016 of offering AP US Government in 12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grade. </w:t>
      </w:r>
    </w:p>
    <w:p w:rsidR="002321ED" w:rsidRDefault="002321ED" w:rsidP="00823ADC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Possible room adjustments – World Language, HS Math, HS English. </w:t>
      </w:r>
    </w:p>
    <w:p w:rsidR="002321ED" w:rsidRDefault="002321ED" w:rsidP="002321ED">
      <w:pPr>
        <w:rPr>
          <w:rFonts w:ascii="Comic Sans MS" w:hAnsi="Comic Sans MS"/>
          <w:color w:val="7030A0"/>
        </w:rPr>
      </w:pPr>
    </w:p>
    <w:p w:rsidR="002321ED" w:rsidRDefault="002321ED" w:rsidP="007A7CE4">
      <w:pPr>
        <w:rPr>
          <w:rFonts w:ascii="Comic Sans MS" w:hAnsi="Comic Sans MS"/>
          <w:color w:val="7030A0"/>
        </w:rPr>
      </w:pPr>
      <w:r w:rsidRPr="007A7CE4">
        <w:rPr>
          <w:rFonts w:ascii="Comic Sans MS" w:hAnsi="Comic Sans MS"/>
          <w:color w:val="7030A0"/>
        </w:rPr>
        <w:t xml:space="preserve">Upcoming events: 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Softball, Baseball and Track are in full swing.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April 22</w:t>
      </w:r>
      <w:r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Earth Day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April 23</w:t>
      </w:r>
      <w:r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Cap and Gown Distribution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April 23</w:t>
      </w:r>
      <w:r>
        <w:rPr>
          <w:rFonts w:ascii="Comic Sans MS" w:hAnsi="Comic Sans MS"/>
          <w:color w:val="7030A0"/>
          <w:vertAlign w:val="superscript"/>
        </w:rPr>
        <w:t>rd</w:t>
      </w:r>
      <w:r>
        <w:rPr>
          <w:rFonts w:ascii="Comic Sans MS" w:hAnsi="Comic Sans MS"/>
          <w:color w:val="7030A0"/>
        </w:rPr>
        <w:t xml:space="preserve"> – April 27</w:t>
      </w:r>
      <w:r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Senior Trip to Panama City Beach</w:t>
      </w:r>
    </w:p>
    <w:p w:rsidR="002321ED" w:rsidRDefault="002321ED" w:rsidP="00823ADC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May 2</w:t>
      </w:r>
      <w:r>
        <w:rPr>
          <w:rFonts w:ascii="Comic Sans MS" w:hAnsi="Comic Sans MS"/>
          <w:color w:val="7030A0"/>
          <w:vertAlign w:val="superscript"/>
        </w:rPr>
        <w:t>nd</w:t>
      </w:r>
      <w:r>
        <w:rPr>
          <w:rFonts w:ascii="Comic Sans MS" w:hAnsi="Comic Sans MS"/>
          <w:color w:val="7030A0"/>
        </w:rPr>
        <w:t xml:space="preserve"> – FCA Lock-in</w:t>
      </w:r>
    </w:p>
    <w:p w:rsidR="00FB5913" w:rsidRDefault="00FB5913"/>
    <w:sectPr w:rsidR="00FB5913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1828CF"/>
    <w:rsid w:val="002321ED"/>
    <w:rsid w:val="002B7295"/>
    <w:rsid w:val="00714C0D"/>
    <w:rsid w:val="007A7CE4"/>
    <w:rsid w:val="00823ADC"/>
    <w:rsid w:val="008A53B2"/>
    <w:rsid w:val="00B30A8B"/>
    <w:rsid w:val="00CF5D06"/>
    <w:rsid w:val="00E9387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dcterms:created xsi:type="dcterms:W3CDTF">2014-04-21T12:16:00Z</dcterms:created>
  <dcterms:modified xsi:type="dcterms:W3CDTF">2014-04-21T12:16:00Z</dcterms:modified>
</cp:coreProperties>
</file>