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DF" w:rsidRDefault="00B31EBA">
      <w:r w:rsidRPr="00B31EBA">
        <w:drawing>
          <wp:inline distT="0" distB="0" distL="0" distR="0">
            <wp:extent cx="4521200" cy="2616200"/>
            <wp:effectExtent l="19050" t="0" r="1270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31EBA" w:rsidRDefault="00B31EBA"/>
    <w:p w:rsidR="00B31EBA" w:rsidRDefault="00B31EBA"/>
    <w:p w:rsidR="00B31EBA" w:rsidRDefault="00B31EBA">
      <w:r w:rsidRPr="00B31EBA">
        <w:drawing>
          <wp:inline distT="0" distB="0" distL="0" distR="0">
            <wp:extent cx="4521200" cy="2689225"/>
            <wp:effectExtent l="19050" t="0" r="1270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1EBA" w:rsidRDefault="00B31EBA"/>
    <w:p w:rsidR="00B31EBA" w:rsidRDefault="00B31EBA">
      <w:r w:rsidRPr="00B31EBA">
        <w:lastRenderedPageBreak/>
        <w:drawing>
          <wp:inline distT="0" distB="0" distL="0" distR="0">
            <wp:extent cx="4521200" cy="2689225"/>
            <wp:effectExtent l="19050" t="0" r="1270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1EBA" w:rsidRDefault="00B31EBA"/>
    <w:p w:rsidR="00B31EBA" w:rsidRDefault="00B31EBA">
      <w:r w:rsidRPr="00B31EBA">
        <w:drawing>
          <wp:inline distT="0" distB="0" distL="0" distR="0">
            <wp:extent cx="4527550" cy="2530475"/>
            <wp:effectExtent l="19050" t="0" r="25400" b="317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31EBA" w:rsidSect="00856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EBA"/>
    <w:rsid w:val="008569DF"/>
    <w:rsid w:val="00B3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palm.SOUTHGATE\Local%20Settings\Temporary%20Internet%20Files\Content.Outlook\74CC2KO9\FUNDINGANALYSIS2008-201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palm.SOUTHGATE\Local%20Settings\Temporary%20Internet%20Files\Content.Outlook\74CC2KO9\FUNDINGANALYSIS2008-2014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palm.SOUTHGATE\Local%20Settings\Temporary%20Internet%20Files\Content.Outlook\74CC2KO9\FUNDINGANALYSIS2008-2014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palm.SOUTHGATE\Local%20Settings\Temporary%20Internet%20Files\Content.Outlook\74CC2KO9\FUNDINGANALYSIS2008-20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layout/>
    </c:title>
    <c:plotArea>
      <c:layout/>
      <c:lineChart>
        <c:grouping val="standard"/>
        <c:ser>
          <c:idx val="0"/>
          <c:order val="0"/>
          <c:tx>
            <c:strRef>
              <c:f>General!$A$6</c:f>
              <c:strCache>
                <c:ptCount val="1"/>
                <c:pt idx="0">
                  <c:v>Professional/Staff Development</c:v>
                </c:pt>
              </c:strCache>
            </c:strRef>
          </c:tx>
          <c:marker>
            <c:symbol val="none"/>
          </c:marker>
          <c:cat>
            <c:strRef>
              <c:f>General!$B$1:$H$1</c:f>
              <c:strCache>
                <c:ptCount val="7"/>
                <c:pt idx="0">
                  <c:v>FY08</c:v>
                </c:pt>
                <c:pt idx="1">
                  <c:v>FY09</c:v>
                </c:pt>
                <c:pt idx="2">
                  <c:v>FY10</c:v>
                </c:pt>
                <c:pt idx="3">
                  <c:v>FY11</c:v>
                </c:pt>
                <c:pt idx="4">
                  <c:v>FY12</c:v>
                </c:pt>
                <c:pt idx="5">
                  <c:v>FY13</c:v>
                </c:pt>
                <c:pt idx="6">
                  <c:v>FY14-BDGT</c:v>
                </c:pt>
              </c:strCache>
            </c:strRef>
          </c:cat>
          <c:val>
            <c:numRef>
              <c:f>General!$B$6:$H$6</c:f>
              <c:numCache>
                <c:formatCode>#,##0</c:formatCode>
                <c:ptCount val="7"/>
                <c:pt idx="0">
                  <c:v>3034</c:v>
                </c:pt>
                <c:pt idx="1">
                  <c:v>1104</c:v>
                </c:pt>
                <c:pt idx="2">
                  <c:v>1213</c:v>
                </c:pt>
                <c:pt idx="3">
                  <c:v>776</c:v>
                </c:pt>
                <c:pt idx="4">
                  <c:v>814</c:v>
                </c:pt>
                <c:pt idx="5">
                  <c:v>783</c:v>
                </c:pt>
                <c:pt idx="6">
                  <c:v>783</c:v>
                </c:pt>
              </c:numCache>
            </c:numRef>
          </c:val>
        </c:ser>
        <c:marker val="1"/>
        <c:axId val="79578240"/>
        <c:axId val="79579776"/>
      </c:lineChart>
      <c:catAx>
        <c:axId val="79578240"/>
        <c:scaling>
          <c:orientation val="minMax"/>
        </c:scaling>
        <c:axPos val="b"/>
        <c:numFmt formatCode="General" sourceLinked="1"/>
        <c:tickLblPos val="nextTo"/>
        <c:crossAx val="79579776"/>
        <c:crosses val="autoZero"/>
        <c:auto val="1"/>
        <c:lblAlgn val="ctr"/>
        <c:lblOffset val="100"/>
      </c:catAx>
      <c:valAx>
        <c:axId val="79579776"/>
        <c:scaling>
          <c:orientation val="minMax"/>
        </c:scaling>
        <c:axPos val="l"/>
        <c:majorGridlines/>
        <c:numFmt formatCode="#,##0" sourceLinked="1"/>
        <c:tickLblPos val="nextTo"/>
        <c:crossAx val="79578240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69583464566929165"/>
          <c:y val="0.50357217847768987"/>
          <c:w val="0.28333398950131239"/>
          <c:h val="0.1428575178102737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layout/>
    </c:title>
    <c:plotArea>
      <c:layout/>
      <c:lineChart>
        <c:grouping val="standard"/>
        <c:ser>
          <c:idx val="0"/>
          <c:order val="0"/>
          <c:tx>
            <c:strRef>
              <c:f>General!$A$8</c:f>
              <c:strCache>
                <c:ptCount val="1"/>
                <c:pt idx="0">
                  <c:v>Textbooks (K-8)</c:v>
                </c:pt>
              </c:strCache>
            </c:strRef>
          </c:tx>
          <c:marker>
            <c:symbol val="none"/>
          </c:marker>
          <c:cat>
            <c:strRef>
              <c:f>General!$B$1:$H$1</c:f>
              <c:strCache>
                <c:ptCount val="7"/>
                <c:pt idx="0">
                  <c:v>FY08</c:v>
                </c:pt>
                <c:pt idx="1">
                  <c:v>FY09</c:v>
                </c:pt>
                <c:pt idx="2">
                  <c:v>FY10</c:v>
                </c:pt>
                <c:pt idx="3">
                  <c:v>FY11</c:v>
                </c:pt>
                <c:pt idx="4">
                  <c:v>FY12</c:v>
                </c:pt>
                <c:pt idx="5">
                  <c:v>FY13</c:v>
                </c:pt>
                <c:pt idx="6">
                  <c:v>FY14-BDGT</c:v>
                </c:pt>
              </c:strCache>
            </c:strRef>
          </c:cat>
          <c:val>
            <c:numRef>
              <c:f>General!$B$8:$H$8</c:f>
              <c:numCache>
                <c:formatCode>#,##0</c:formatCode>
                <c:ptCount val="7"/>
                <c:pt idx="0">
                  <c:v>7070</c:v>
                </c:pt>
                <c:pt idx="1">
                  <c:v>4756</c:v>
                </c:pt>
                <c:pt idx="2">
                  <c:v>814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marker val="1"/>
        <c:axId val="70633344"/>
        <c:axId val="70634880"/>
      </c:lineChart>
      <c:catAx>
        <c:axId val="70633344"/>
        <c:scaling>
          <c:orientation val="minMax"/>
        </c:scaling>
        <c:axPos val="b"/>
        <c:numFmt formatCode="General" sourceLinked="1"/>
        <c:tickLblPos val="nextTo"/>
        <c:crossAx val="70634880"/>
        <c:crosses val="autoZero"/>
        <c:auto val="1"/>
        <c:lblAlgn val="ctr"/>
        <c:lblOffset val="100"/>
      </c:catAx>
      <c:valAx>
        <c:axId val="70634880"/>
        <c:scaling>
          <c:orientation val="minMax"/>
        </c:scaling>
        <c:axPos val="l"/>
        <c:majorGridlines/>
        <c:numFmt formatCode="#,##0" sourceLinked="1"/>
        <c:tickLblPos val="nextTo"/>
        <c:crossAx val="70633344"/>
        <c:crosses val="autoZero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72083486439195099"/>
          <c:y val="0.53125182268883109"/>
          <c:w val="0.25833377077865277"/>
          <c:h val="8.333369787109951E-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layout/>
    </c:title>
    <c:plotArea>
      <c:layout/>
      <c:lineChart>
        <c:grouping val="standard"/>
        <c:ser>
          <c:idx val="0"/>
          <c:order val="0"/>
          <c:tx>
            <c:strRef>
              <c:f>General!$A$7</c:f>
              <c:strCache>
                <c:ptCount val="1"/>
                <c:pt idx="0">
                  <c:v>Safe Schools     </c:v>
                </c:pt>
              </c:strCache>
            </c:strRef>
          </c:tx>
          <c:marker>
            <c:symbol val="none"/>
          </c:marker>
          <c:cat>
            <c:strRef>
              <c:f>General!$B$1:$H$1</c:f>
              <c:strCache>
                <c:ptCount val="7"/>
                <c:pt idx="0">
                  <c:v>FY08</c:v>
                </c:pt>
                <c:pt idx="1">
                  <c:v>FY09</c:v>
                </c:pt>
                <c:pt idx="2">
                  <c:v>FY10</c:v>
                </c:pt>
                <c:pt idx="3">
                  <c:v>FY11</c:v>
                </c:pt>
                <c:pt idx="4">
                  <c:v>FY12</c:v>
                </c:pt>
                <c:pt idx="5">
                  <c:v>FY13</c:v>
                </c:pt>
                <c:pt idx="6">
                  <c:v>FY14-BDGT</c:v>
                </c:pt>
              </c:strCache>
            </c:strRef>
          </c:cat>
          <c:val>
            <c:numRef>
              <c:f>General!$B$7:$H$7</c:f>
              <c:numCache>
                <c:formatCode>#,##0</c:formatCode>
                <c:ptCount val="7"/>
                <c:pt idx="0">
                  <c:v>21316</c:v>
                </c:pt>
                <c:pt idx="1">
                  <c:v>9514</c:v>
                </c:pt>
                <c:pt idx="2">
                  <c:v>9522</c:v>
                </c:pt>
                <c:pt idx="3">
                  <c:v>9687</c:v>
                </c:pt>
                <c:pt idx="4">
                  <c:v>9619</c:v>
                </c:pt>
                <c:pt idx="5">
                  <c:v>9533</c:v>
                </c:pt>
                <c:pt idx="6">
                  <c:v>9508</c:v>
                </c:pt>
              </c:numCache>
            </c:numRef>
          </c:val>
        </c:ser>
        <c:marker val="1"/>
        <c:axId val="82553088"/>
        <c:axId val="82579456"/>
      </c:lineChart>
      <c:catAx>
        <c:axId val="82553088"/>
        <c:scaling>
          <c:orientation val="minMax"/>
        </c:scaling>
        <c:axPos val="b"/>
        <c:numFmt formatCode="General" sourceLinked="1"/>
        <c:tickLblPos val="nextTo"/>
        <c:crossAx val="82579456"/>
        <c:crosses val="autoZero"/>
        <c:auto val="1"/>
        <c:lblAlgn val="ctr"/>
        <c:lblOffset val="100"/>
      </c:catAx>
      <c:valAx>
        <c:axId val="82579456"/>
        <c:scaling>
          <c:orientation val="minMax"/>
        </c:scaling>
        <c:axPos val="l"/>
        <c:majorGridlines/>
        <c:numFmt formatCode="#,##0" sourceLinked="1"/>
        <c:tickLblPos val="nextTo"/>
        <c:crossAx val="82553088"/>
        <c:crosses val="autoZero"/>
        <c:crossBetween val="between"/>
      </c:valAx>
      <c:spPr>
        <a:gradFill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72708486439195097"/>
          <c:y val="0.53125182268883109"/>
          <c:w val="0.25625043744531911"/>
          <c:h val="8.333369787109951E-2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layout/>
    </c:title>
    <c:plotArea>
      <c:layout/>
      <c:lineChart>
        <c:grouping val="standard"/>
        <c:ser>
          <c:idx val="0"/>
          <c:order val="0"/>
          <c:tx>
            <c:strRef>
              <c:f>General!$A$5</c:f>
              <c:strCache>
                <c:ptCount val="1"/>
                <c:pt idx="0">
                  <c:v>Extended School Services </c:v>
                </c:pt>
              </c:strCache>
            </c:strRef>
          </c:tx>
          <c:marker>
            <c:symbol val="none"/>
          </c:marker>
          <c:cat>
            <c:strRef>
              <c:f>General!$B$1:$H$1</c:f>
              <c:strCache>
                <c:ptCount val="7"/>
                <c:pt idx="0">
                  <c:v>FY08</c:v>
                </c:pt>
                <c:pt idx="1">
                  <c:v>FY09</c:v>
                </c:pt>
                <c:pt idx="2">
                  <c:v>FY10</c:v>
                </c:pt>
                <c:pt idx="3">
                  <c:v>FY11</c:v>
                </c:pt>
                <c:pt idx="4">
                  <c:v>FY12</c:v>
                </c:pt>
                <c:pt idx="5">
                  <c:v>FY13</c:v>
                </c:pt>
                <c:pt idx="6">
                  <c:v>FY14-BDGT</c:v>
                </c:pt>
              </c:strCache>
            </c:strRef>
          </c:cat>
          <c:val>
            <c:numRef>
              <c:f>General!$B$5:$H$5</c:f>
              <c:numCache>
                <c:formatCode>#,##0</c:formatCode>
                <c:ptCount val="7"/>
                <c:pt idx="0">
                  <c:v>15000</c:v>
                </c:pt>
                <c:pt idx="1">
                  <c:v>15000</c:v>
                </c:pt>
                <c:pt idx="2">
                  <c:v>15000</c:v>
                </c:pt>
                <c:pt idx="3">
                  <c:v>15000</c:v>
                </c:pt>
                <c:pt idx="4">
                  <c:v>15000</c:v>
                </c:pt>
                <c:pt idx="5">
                  <c:v>15000</c:v>
                </c:pt>
                <c:pt idx="6">
                  <c:v>15000</c:v>
                </c:pt>
              </c:numCache>
            </c:numRef>
          </c:val>
        </c:ser>
        <c:marker val="1"/>
        <c:axId val="76492160"/>
        <c:axId val="76499584"/>
      </c:lineChart>
      <c:catAx>
        <c:axId val="76492160"/>
        <c:scaling>
          <c:orientation val="minMax"/>
        </c:scaling>
        <c:axPos val="b"/>
        <c:numFmt formatCode="General" sourceLinked="1"/>
        <c:tickLblPos val="nextTo"/>
        <c:crossAx val="76499584"/>
        <c:crosses val="autoZero"/>
        <c:auto val="1"/>
        <c:lblAlgn val="ctr"/>
        <c:lblOffset val="100"/>
      </c:catAx>
      <c:valAx>
        <c:axId val="76499584"/>
        <c:scaling>
          <c:orientation val="minMax"/>
        </c:scaling>
        <c:axPos val="l"/>
        <c:majorGridlines/>
        <c:numFmt formatCode="#,##0" sourceLinked="1"/>
        <c:tickLblPos val="nextTo"/>
        <c:crossAx val="76492160"/>
        <c:crosses val="autoZero"/>
        <c:crossBetween val="between"/>
      </c:valAx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7083348643919507"/>
          <c:y val="0.50553583016145121"/>
          <c:w val="0.27500065616797897"/>
          <c:h val="0.14760186342020898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11</Characters>
  <Application>Microsoft Office Word</Application>
  <DocSecurity>0</DocSecurity>
  <Lines>1</Lines>
  <Paragraphs>1</Paragraphs>
  <ScaleCrop>false</ScaleCrop>
  <Company> 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2014-02-06T19:56:00Z</dcterms:created>
  <dcterms:modified xsi:type="dcterms:W3CDTF">2014-02-06T19:59:00Z</dcterms:modified>
</cp:coreProperties>
</file>