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3E" w:rsidRDefault="00522B74" w:rsidP="00DD7BAE">
      <w:pPr>
        <w:spacing w:after="120"/>
      </w:pPr>
      <w:r>
        <w:t>Pursuant to Section 616(b)(2)(C)(i) of the Individuals with Disabilities Education Act and 34 C.F.R</w:t>
      </w:r>
      <w:r w:rsidR="00C662F4">
        <w:t>.</w:t>
      </w:r>
      <w:r>
        <w:t xml:space="preserve"> Section 300.602(b), states are required to make determinations annually on the special education performance of districts within the state in relation to established targets found in the State Performance Plan (SPP), as well as compliance indicators established by the US Office of Special Education Programs (OSEP).  </w:t>
      </w:r>
    </w:p>
    <w:p w:rsidR="00522B74" w:rsidRDefault="00522B74" w:rsidP="00DD7BAE">
      <w:pPr>
        <w:spacing w:after="120"/>
      </w:pPr>
      <w:r>
        <w:t>States must make determinations consistent with the same levels used by OSEP in reporting state determinations as follows:</w:t>
      </w:r>
    </w:p>
    <w:p w:rsidR="00522B74" w:rsidRDefault="00522B74" w:rsidP="00522B74">
      <w:pPr>
        <w:pStyle w:val="ListParagraph"/>
        <w:numPr>
          <w:ilvl w:val="0"/>
          <w:numId w:val="1"/>
        </w:numPr>
        <w:spacing w:after="0"/>
        <w:rPr>
          <w:i/>
        </w:rPr>
      </w:pPr>
      <w:r>
        <w:rPr>
          <w:i/>
        </w:rPr>
        <w:t>Meets Requirements;</w:t>
      </w:r>
    </w:p>
    <w:p w:rsidR="00522B74" w:rsidRDefault="00522B74" w:rsidP="00522B74">
      <w:pPr>
        <w:pStyle w:val="ListParagraph"/>
        <w:numPr>
          <w:ilvl w:val="0"/>
          <w:numId w:val="1"/>
        </w:numPr>
        <w:spacing w:after="0"/>
        <w:rPr>
          <w:i/>
        </w:rPr>
      </w:pPr>
      <w:r>
        <w:rPr>
          <w:i/>
        </w:rPr>
        <w:t>Needs Assistance;</w:t>
      </w:r>
    </w:p>
    <w:p w:rsidR="00522B74" w:rsidRDefault="00522B74" w:rsidP="00522B74">
      <w:pPr>
        <w:pStyle w:val="ListParagraph"/>
        <w:numPr>
          <w:ilvl w:val="0"/>
          <w:numId w:val="1"/>
        </w:numPr>
        <w:spacing w:after="0"/>
        <w:rPr>
          <w:i/>
        </w:rPr>
      </w:pPr>
      <w:r>
        <w:rPr>
          <w:i/>
        </w:rPr>
        <w:t>Needs Intervention; or</w:t>
      </w:r>
    </w:p>
    <w:p w:rsidR="00522B74" w:rsidRPr="00522B74" w:rsidRDefault="00522B74" w:rsidP="00522B74">
      <w:pPr>
        <w:pStyle w:val="ListParagraph"/>
        <w:numPr>
          <w:ilvl w:val="0"/>
          <w:numId w:val="1"/>
        </w:numPr>
        <w:spacing w:after="0"/>
        <w:rPr>
          <w:i/>
        </w:rPr>
      </w:pPr>
      <w:r>
        <w:rPr>
          <w:i/>
        </w:rPr>
        <w:t>Needs Substantial Intervention.</w:t>
      </w:r>
    </w:p>
    <w:p w:rsidR="00522B74" w:rsidRDefault="00522B74" w:rsidP="00DD7BAE">
      <w:pPr>
        <w:pStyle w:val="ListParagraph"/>
        <w:spacing w:before="120" w:after="120"/>
        <w:ind w:left="0"/>
      </w:pPr>
      <w:r w:rsidRPr="00522B74">
        <w:t>The Kentucky Department of Education (KDE)</w:t>
      </w:r>
      <w:r>
        <w:t xml:space="preserve">, Division of Learning Services (DLS) used the following </w:t>
      </w:r>
      <w:r w:rsidRPr="00745D8B">
        <w:t>compliance Indicators found in the SPP for making district determinations based on data and performance:</w:t>
      </w:r>
      <w:r w:rsidR="00745D8B">
        <w:t xml:space="preserve"> </w:t>
      </w:r>
    </w:p>
    <w:p w:rsidR="00D30CDA" w:rsidRDefault="00D30CDA" w:rsidP="00DD7BAE">
      <w:pPr>
        <w:pStyle w:val="ListParagraph"/>
        <w:numPr>
          <w:ilvl w:val="0"/>
          <w:numId w:val="2"/>
        </w:numPr>
        <w:spacing w:before="120" w:after="120"/>
      </w:pPr>
      <w:r w:rsidRPr="00460B3E">
        <w:t>Indicator 4</w:t>
      </w:r>
      <w:r w:rsidR="00745D8B">
        <w:t>B</w:t>
      </w:r>
      <w:r w:rsidR="00460B3E" w:rsidRPr="00460B3E">
        <w:t xml:space="preserve"> –</w:t>
      </w:r>
      <w:r w:rsidR="00460B3E">
        <w:t xml:space="preserve"> Disproportionate</w:t>
      </w:r>
      <w:r>
        <w:t xml:space="preserve"> Out-of-School Re</w:t>
      </w:r>
      <w:r w:rsidR="001259E8">
        <w:t>mov</w:t>
      </w:r>
      <w:r>
        <w:t xml:space="preserve">als over 10 </w:t>
      </w:r>
      <w:r w:rsidR="00460B3E">
        <w:t>d</w:t>
      </w:r>
      <w:r>
        <w:t>ays</w:t>
      </w:r>
      <w:r w:rsidR="00460B3E">
        <w:t>.</w:t>
      </w:r>
    </w:p>
    <w:p w:rsidR="00522B74" w:rsidRDefault="00522B74" w:rsidP="00DD7BAE">
      <w:pPr>
        <w:pStyle w:val="ListParagraph"/>
        <w:numPr>
          <w:ilvl w:val="0"/>
          <w:numId w:val="2"/>
        </w:numPr>
        <w:spacing w:after="120"/>
      </w:pPr>
      <w:r>
        <w:t>Indicator 9 – Disproportionate representation of racial and ethnic groups in special education and related services that is the result of inappropriate identification</w:t>
      </w:r>
      <w:r w:rsidR="00553267">
        <w:t>.</w:t>
      </w:r>
    </w:p>
    <w:p w:rsidR="00522B74" w:rsidRDefault="00522B74" w:rsidP="00DD7BAE">
      <w:pPr>
        <w:pStyle w:val="ListParagraph"/>
        <w:numPr>
          <w:ilvl w:val="0"/>
          <w:numId w:val="2"/>
        </w:numPr>
        <w:spacing w:after="120"/>
      </w:pPr>
      <w:r>
        <w:t xml:space="preserve">Indicator 10 – Disproportionate representation of racial and ethnic groups in </w:t>
      </w:r>
      <w:r w:rsidR="00553267">
        <w:t>specific disability categories that is the result of inappropriate identification.</w:t>
      </w:r>
    </w:p>
    <w:p w:rsidR="00553267" w:rsidRDefault="00553267" w:rsidP="00DD7BAE">
      <w:pPr>
        <w:pStyle w:val="ListParagraph"/>
        <w:numPr>
          <w:ilvl w:val="0"/>
          <w:numId w:val="2"/>
        </w:numPr>
        <w:spacing w:after="120"/>
      </w:pPr>
      <w:r>
        <w:t>Indicator 11 – Percent of children with parental consent to evaluate, who were evaluated within State-established timelines.</w:t>
      </w:r>
    </w:p>
    <w:p w:rsidR="00553267" w:rsidRDefault="00553267" w:rsidP="00DD7BAE">
      <w:pPr>
        <w:pStyle w:val="ListParagraph"/>
        <w:numPr>
          <w:ilvl w:val="0"/>
          <w:numId w:val="2"/>
        </w:numPr>
        <w:spacing w:after="120"/>
      </w:pPr>
      <w:r>
        <w:t>Indicator 12 – Percent of children referred by Part C (Kentucky’s First Steps Program)</w:t>
      </w:r>
      <w:r w:rsidR="00577B77">
        <w:t xml:space="preserve"> </w:t>
      </w:r>
      <w:r>
        <w:t>at least 90 days prior to age 3, who are found eligible for Part B, and who have an IEP developed and implemented by their third birthday.</w:t>
      </w:r>
    </w:p>
    <w:p w:rsidR="00553267" w:rsidRDefault="00553267" w:rsidP="00DD7BAE">
      <w:pPr>
        <w:pStyle w:val="ListParagraph"/>
        <w:numPr>
          <w:ilvl w:val="0"/>
          <w:numId w:val="2"/>
        </w:numPr>
        <w:spacing w:after="120"/>
      </w:pPr>
      <w:r>
        <w:t>Indicator 13 – Percent of youth age 16 plus with IEPs with measurable, annual IEP goals and transition services.</w:t>
      </w:r>
    </w:p>
    <w:p w:rsidR="00553267" w:rsidRDefault="00553267" w:rsidP="00DD7BAE">
      <w:pPr>
        <w:pStyle w:val="ListParagraph"/>
        <w:numPr>
          <w:ilvl w:val="0"/>
          <w:numId w:val="2"/>
        </w:numPr>
        <w:spacing w:after="120"/>
      </w:pPr>
      <w:r>
        <w:t>Indicator 15 – General supervision system (including monitoring, complaints</w:t>
      </w:r>
      <w:r w:rsidR="009C3C3A">
        <w:t xml:space="preserve"> and</w:t>
      </w:r>
      <w:r w:rsidR="00725E62">
        <w:t xml:space="preserve"> </w:t>
      </w:r>
      <w:r>
        <w:t>hearings</w:t>
      </w:r>
      <w:r w:rsidR="00725E62">
        <w:t xml:space="preserve"> </w:t>
      </w:r>
      <w:r w:rsidR="00460B3E">
        <w:t>)</w:t>
      </w:r>
      <w:r>
        <w:t xml:space="preserve"> identifies and corrects noncompliance as soon as possible, but in no case later than one </w:t>
      </w:r>
      <w:r w:rsidR="00577B77">
        <w:t>y</w:t>
      </w:r>
      <w:r>
        <w:t>ear from identification.</w:t>
      </w:r>
      <w:r w:rsidR="009B72B5">
        <w:t xml:space="preserve"> </w:t>
      </w:r>
      <w:r w:rsidR="009B72B5" w:rsidRPr="00DD7BAE">
        <w:t>(This Indicator is weighted 2 in the scoring rubric which means failure to meet this requirement alone results in a Determination no better than Needs Assistance.)</w:t>
      </w:r>
    </w:p>
    <w:p w:rsidR="00553267" w:rsidRDefault="00553267" w:rsidP="00DD7BAE">
      <w:pPr>
        <w:pStyle w:val="ListParagraph"/>
        <w:numPr>
          <w:ilvl w:val="0"/>
          <w:numId w:val="2"/>
        </w:numPr>
        <w:spacing w:after="120"/>
      </w:pPr>
      <w:r>
        <w:t>Indicator 20 – District</w:t>
      </w:r>
      <w:r w:rsidR="00460B3E">
        <w:t>-</w:t>
      </w:r>
      <w:r>
        <w:t>level data were submitted in a timely and accurate manner, according to state guidelines, using the Secure File Transfer (DoSE Upload) web application or other approved methods of submission.</w:t>
      </w:r>
    </w:p>
    <w:p w:rsidR="00DD7BAE" w:rsidRPr="003C78B2" w:rsidRDefault="00DD7BAE" w:rsidP="008E5B70">
      <w:pPr>
        <w:spacing w:after="0"/>
        <w:rPr>
          <w:rFonts w:cstheme="minorHAnsi"/>
        </w:rPr>
      </w:pPr>
      <w:r>
        <w:rPr>
          <w:b/>
          <w:sz w:val="28"/>
          <w:szCs w:val="28"/>
          <w:u w:val="single"/>
        </w:rPr>
        <w:br w:type="page"/>
      </w:r>
      <w:r w:rsidR="003C78B2" w:rsidRPr="003C78B2">
        <w:rPr>
          <w:rFonts w:cstheme="minorHAnsi"/>
        </w:rPr>
        <w:lastRenderedPageBreak/>
        <w:t>The following explanations</w:t>
      </w:r>
      <w:r w:rsidR="003C78B2">
        <w:rPr>
          <w:rFonts w:cstheme="minorHAnsi"/>
        </w:rPr>
        <w:t xml:space="preserve"> describe how the Division of Learning Services measures whether a district meets or does not meet specific requirements for indicator</w:t>
      </w:r>
      <w:r w:rsidR="00E81CD2">
        <w:rPr>
          <w:rFonts w:cstheme="minorHAnsi"/>
        </w:rPr>
        <w:t>s</w:t>
      </w:r>
      <w:r w:rsidR="003C78B2">
        <w:rPr>
          <w:rFonts w:cstheme="minorHAnsi"/>
        </w:rPr>
        <w:t xml:space="preserve">, waivers, hearings, audits, or is determined as </w:t>
      </w:r>
      <w:r w:rsidR="009F31E1" w:rsidRPr="00E81CD2">
        <w:t>Persistent Failure to Comply/Not Able to Comply</w:t>
      </w:r>
      <w:r w:rsidR="00E81CD2">
        <w:t>, and results of On-Site Monitoring Visits.</w:t>
      </w:r>
    </w:p>
    <w:p w:rsidR="00553267" w:rsidRPr="005729B7" w:rsidRDefault="00553267" w:rsidP="00C963D2">
      <w:pPr>
        <w:spacing w:before="240"/>
        <w:rPr>
          <w:b/>
          <w:sz w:val="28"/>
          <w:szCs w:val="28"/>
          <w:u w:val="single"/>
        </w:rPr>
      </w:pPr>
      <w:r w:rsidRPr="005729B7">
        <w:rPr>
          <w:b/>
          <w:sz w:val="28"/>
          <w:szCs w:val="28"/>
          <w:u w:val="single"/>
        </w:rPr>
        <w:t>Determination</w:t>
      </w:r>
      <w:r w:rsidR="005729B7">
        <w:rPr>
          <w:b/>
          <w:sz w:val="28"/>
          <w:szCs w:val="28"/>
          <w:u w:val="single"/>
        </w:rPr>
        <w:t xml:space="preserve"> Indicators</w:t>
      </w:r>
      <w:r w:rsidRPr="005729B7">
        <w:rPr>
          <w:b/>
          <w:sz w:val="28"/>
          <w:szCs w:val="28"/>
          <w:u w:val="single"/>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32"/>
        <w:gridCol w:w="8172"/>
      </w:tblGrid>
      <w:tr w:rsidR="00C002E3" w:rsidTr="00C002E3">
        <w:trPr>
          <w:cantSplit/>
          <w:trHeight w:val="432"/>
        </w:trPr>
        <w:tc>
          <w:tcPr>
            <w:tcW w:w="1332" w:type="dxa"/>
          </w:tcPr>
          <w:p w:rsidR="00C002E3" w:rsidRDefault="00C002E3" w:rsidP="00C002E3">
            <w:pPr>
              <w:rPr>
                <w:b/>
                <w:sz w:val="28"/>
                <w:szCs w:val="28"/>
                <w:u w:val="single"/>
              </w:rPr>
            </w:pPr>
            <w:r w:rsidRPr="002443F7">
              <w:rPr>
                <w:b/>
              </w:rPr>
              <w:t>Indicator 4</w:t>
            </w:r>
            <w:r>
              <w:rPr>
                <w:b/>
              </w:rPr>
              <w:t>B</w:t>
            </w:r>
            <w:r w:rsidRPr="002443F7">
              <w:rPr>
                <w:b/>
              </w:rPr>
              <w:t>:</w:t>
            </w:r>
            <w:r>
              <w:t xml:space="preserve"> </w:t>
            </w:r>
          </w:p>
        </w:tc>
        <w:tc>
          <w:tcPr>
            <w:tcW w:w="8172" w:type="dxa"/>
          </w:tcPr>
          <w:p w:rsidR="00C002E3" w:rsidRDefault="00C002E3" w:rsidP="00C002E3">
            <w:r w:rsidRPr="00C002E3">
              <w:rPr>
                <w:i/>
              </w:rPr>
              <w:t>Disproportionate Out-of-School Removals by race greater than 10 Days</w:t>
            </w:r>
          </w:p>
          <w:p w:rsidR="00C002E3" w:rsidRDefault="00C002E3" w:rsidP="00C002E3">
            <w:pPr>
              <w:tabs>
                <w:tab w:val="left" w:pos="1440"/>
              </w:tabs>
              <w:spacing w:before="120"/>
            </w:pPr>
            <w:r w:rsidRPr="00397748">
              <w:rPr>
                <w:b/>
              </w:rPr>
              <w:t>Met Target</w:t>
            </w:r>
            <w:r>
              <w:t>:  Children with disabilities were not subject to out-of-school removals for more than 10 days, in any race category, at a rate significantly discrepant from the statewide rate of out-of-school removals of children with disabilities for greater than 10 days</w:t>
            </w:r>
          </w:p>
          <w:p w:rsidR="00C002E3" w:rsidRDefault="00C002E3" w:rsidP="00C002E3">
            <w:pPr>
              <w:tabs>
                <w:tab w:val="left" w:pos="1440"/>
              </w:tabs>
              <w:spacing w:before="120"/>
              <w:rPr>
                <w:b/>
                <w:sz w:val="28"/>
                <w:szCs w:val="28"/>
                <w:u w:val="single"/>
              </w:rPr>
            </w:pPr>
            <w:r w:rsidRPr="00397748">
              <w:rPr>
                <w:b/>
              </w:rPr>
              <w:t>Did Not Meet Target</w:t>
            </w:r>
            <w:r>
              <w:t>:  Children with disabilities in one or more race categories, were subject to out-of-school removals for more than 10 days at a rate that was significantly discrepant from the statewide rate for out-of-school removals for more than 10 days.</w:t>
            </w:r>
          </w:p>
        </w:tc>
      </w:tr>
      <w:tr w:rsidR="00C002E3" w:rsidTr="00C002E3">
        <w:trPr>
          <w:cantSplit/>
          <w:trHeight w:val="432"/>
        </w:trPr>
        <w:tc>
          <w:tcPr>
            <w:tcW w:w="1332" w:type="dxa"/>
          </w:tcPr>
          <w:p w:rsidR="00C002E3" w:rsidRPr="002443F7" w:rsidRDefault="00C002E3" w:rsidP="00C002E3">
            <w:pPr>
              <w:rPr>
                <w:b/>
              </w:rPr>
            </w:pPr>
            <w:r w:rsidRPr="002443F7">
              <w:rPr>
                <w:b/>
              </w:rPr>
              <w:t>Indicator 9</w:t>
            </w:r>
          </w:p>
        </w:tc>
        <w:tc>
          <w:tcPr>
            <w:tcW w:w="8172" w:type="dxa"/>
          </w:tcPr>
          <w:p w:rsidR="00C002E3" w:rsidRPr="00C963D2" w:rsidRDefault="00C002E3" w:rsidP="00C002E3">
            <w:pPr>
              <w:rPr>
                <w:i/>
              </w:rPr>
            </w:pPr>
            <w:r w:rsidRPr="00C963D2">
              <w:rPr>
                <w:i/>
              </w:rPr>
              <w:t>Disproportionate representation in any race category that is the result of inappropriate identification</w:t>
            </w:r>
          </w:p>
          <w:p w:rsidR="00C002E3" w:rsidRDefault="00C002E3" w:rsidP="00C002E3">
            <w:pPr>
              <w:spacing w:before="120"/>
              <w:ind w:left="14"/>
            </w:pPr>
            <w:r w:rsidRPr="00397748">
              <w:rPr>
                <w:b/>
              </w:rPr>
              <w:t>Met Target</w:t>
            </w:r>
            <w:r>
              <w:t xml:space="preserve">:  Students with disabilities were not disproportionately identified due to inappropriate identification policies, procedures, or practices based on race/ethnicity </w:t>
            </w:r>
          </w:p>
          <w:p w:rsidR="00C002E3" w:rsidRPr="00C002E3" w:rsidRDefault="00C002E3" w:rsidP="00C002E3">
            <w:pPr>
              <w:spacing w:before="120"/>
              <w:ind w:left="14"/>
              <w:rPr>
                <w:i/>
              </w:rPr>
            </w:pPr>
            <w:r w:rsidRPr="00397748">
              <w:rPr>
                <w:b/>
              </w:rPr>
              <w:t>Did Not Meet Target</w:t>
            </w:r>
            <w:r>
              <w:t xml:space="preserve">:  Students with disabilities were disproportionately identified due to inappropriate identification policies, procedures, or practices in at least one race/ethnicity </w:t>
            </w:r>
          </w:p>
        </w:tc>
      </w:tr>
      <w:tr w:rsidR="00C002E3" w:rsidTr="00C002E3">
        <w:trPr>
          <w:cantSplit/>
          <w:trHeight w:val="432"/>
        </w:trPr>
        <w:tc>
          <w:tcPr>
            <w:tcW w:w="1332" w:type="dxa"/>
          </w:tcPr>
          <w:p w:rsidR="00C002E3" w:rsidRPr="002443F7" w:rsidRDefault="00C963D2" w:rsidP="00C002E3">
            <w:pPr>
              <w:rPr>
                <w:b/>
              </w:rPr>
            </w:pPr>
            <w:r w:rsidRPr="00745D8B">
              <w:rPr>
                <w:b/>
              </w:rPr>
              <w:t>Indicator 10</w:t>
            </w:r>
          </w:p>
        </w:tc>
        <w:tc>
          <w:tcPr>
            <w:tcW w:w="8172" w:type="dxa"/>
          </w:tcPr>
          <w:p w:rsidR="00C002E3" w:rsidRPr="00C963D2" w:rsidRDefault="00C963D2" w:rsidP="00C002E3">
            <w:pPr>
              <w:rPr>
                <w:i/>
              </w:rPr>
            </w:pPr>
            <w:r w:rsidRPr="00C963D2">
              <w:rPr>
                <w:i/>
              </w:rPr>
              <w:t>Disproportionate representation in any race category for specific disabilities that is the result of inappropriate identification</w:t>
            </w:r>
          </w:p>
          <w:p w:rsidR="00C963D2" w:rsidRDefault="00C963D2" w:rsidP="00C963D2">
            <w:pPr>
              <w:spacing w:before="120"/>
              <w:ind w:left="14"/>
            </w:pPr>
            <w:r w:rsidRPr="00397748">
              <w:rPr>
                <w:b/>
              </w:rPr>
              <w:t>Met Target</w:t>
            </w:r>
            <w:r>
              <w:t xml:space="preserve">:  Students with disabilities were not disproportionately identified in the specified disability categories due to inappropriate identification policies, procedures, or practices based on race/ethnicity </w:t>
            </w:r>
          </w:p>
          <w:p w:rsidR="00C963D2" w:rsidRDefault="00C963D2" w:rsidP="00C963D2">
            <w:pPr>
              <w:spacing w:before="120"/>
              <w:ind w:left="14"/>
            </w:pPr>
            <w:r w:rsidRPr="00397748">
              <w:rPr>
                <w:b/>
              </w:rPr>
              <w:t>Did Not Meet Target</w:t>
            </w:r>
            <w:r>
              <w:t>:  Students with disabilities were disproportionately identified in at least one of the specified disability categories due to inappropriate identification policies, procedures, or practices in at least one race/ethnicity</w:t>
            </w:r>
          </w:p>
        </w:tc>
      </w:tr>
      <w:tr w:rsidR="00C963D2" w:rsidTr="00C002E3">
        <w:trPr>
          <w:cantSplit/>
          <w:trHeight w:val="432"/>
        </w:trPr>
        <w:tc>
          <w:tcPr>
            <w:tcW w:w="1332" w:type="dxa"/>
          </w:tcPr>
          <w:p w:rsidR="00C963D2" w:rsidRPr="00745D8B" w:rsidRDefault="00C963D2" w:rsidP="00C002E3">
            <w:pPr>
              <w:rPr>
                <w:b/>
              </w:rPr>
            </w:pPr>
            <w:r w:rsidRPr="002443F7">
              <w:rPr>
                <w:b/>
              </w:rPr>
              <w:t>Indicator 11:</w:t>
            </w:r>
          </w:p>
        </w:tc>
        <w:tc>
          <w:tcPr>
            <w:tcW w:w="8172" w:type="dxa"/>
          </w:tcPr>
          <w:p w:rsidR="00C963D2" w:rsidRPr="00C963D2" w:rsidRDefault="00C963D2" w:rsidP="00C963D2">
            <w:pPr>
              <w:rPr>
                <w:i/>
              </w:rPr>
            </w:pPr>
            <w:r w:rsidRPr="00C963D2">
              <w:rPr>
                <w:i/>
              </w:rPr>
              <w:t>Determine eligibility within State established timelines.</w:t>
            </w:r>
          </w:p>
          <w:p w:rsidR="00C963D2" w:rsidRDefault="00C963D2" w:rsidP="00C963D2">
            <w:pPr>
              <w:spacing w:before="120"/>
            </w:pPr>
            <w:r w:rsidRPr="00397748">
              <w:rPr>
                <w:b/>
              </w:rPr>
              <w:t>Met Target</w:t>
            </w:r>
            <w:r>
              <w:t>:  District met timelines in determining eligibility 100% of the time.</w:t>
            </w:r>
          </w:p>
          <w:p w:rsidR="00C963D2" w:rsidRDefault="00C963D2" w:rsidP="00C963D2">
            <w:pPr>
              <w:spacing w:before="120"/>
            </w:pPr>
            <w:r w:rsidRPr="00397748">
              <w:rPr>
                <w:b/>
              </w:rPr>
              <w:t>Did Not Meet Target</w:t>
            </w:r>
            <w:r>
              <w:t>:  District did not meet timelines in determining eligibility 100% of the time.</w:t>
            </w:r>
          </w:p>
        </w:tc>
      </w:tr>
    </w:tbl>
    <w:p w:rsidR="000E4063" w:rsidRDefault="000E4063">
      <w:pPr>
        <w:rPr>
          <w:b/>
        </w:rPr>
      </w:pPr>
      <w:r>
        <w:rPr>
          <w:b/>
        </w:rPr>
        <w:br w:type="page"/>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32"/>
        <w:gridCol w:w="8172"/>
      </w:tblGrid>
      <w:tr w:rsidR="00C963D2" w:rsidTr="00C963D2">
        <w:trPr>
          <w:cantSplit/>
          <w:trHeight w:val="432"/>
        </w:trPr>
        <w:tc>
          <w:tcPr>
            <w:tcW w:w="1332" w:type="dxa"/>
          </w:tcPr>
          <w:p w:rsidR="00C963D2" w:rsidRPr="00745D8B" w:rsidRDefault="00C963D2" w:rsidP="00C963D2">
            <w:pPr>
              <w:rPr>
                <w:b/>
              </w:rPr>
            </w:pPr>
            <w:r w:rsidRPr="002443F7">
              <w:rPr>
                <w:b/>
              </w:rPr>
              <w:lastRenderedPageBreak/>
              <w:t>Indicator 1</w:t>
            </w:r>
            <w:r>
              <w:rPr>
                <w:b/>
              </w:rPr>
              <w:t>2</w:t>
            </w:r>
            <w:r w:rsidRPr="002443F7">
              <w:rPr>
                <w:b/>
              </w:rPr>
              <w:t>:</w:t>
            </w:r>
          </w:p>
        </w:tc>
        <w:tc>
          <w:tcPr>
            <w:tcW w:w="8172" w:type="dxa"/>
          </w:tcPr>
          <w:p w:rsidR="00C963D2" w:rsidRPr="00C963D2" w:rsidRDefault="00C963D2" w:rsidP="00C963D2">
            <w:pPr>
              <w:rPr>
                <w:i/>
              </w:rPr>
            </w:pPr>
            <w:r w:rsidRPr="00C963D2">
              <w:rPr>
                <w:i/>
              </w:rPr>
              <w:t>Part C to Part B Referral:  Eligibility Determination made and IEP developed and implemented by third birthday.</w:t>
            </w:r>
          </w:p>
          <w:p w:rsidR="00C963D2" w:rsidRDefault="00C963D2" w:rsidP="00C963D2">
            <w:pPr>
              <w:spacing w:before="120"/>
            </w:pPr>
            <w:r w:rsidRPr="00397748">
              <w:rPr>
                <w:b/>
              </w:rPr>
              <w:t>Met Target</w:t>
            </w:r>
            <w:r>
              <w:t>:  All children receiving services under Part C of the IDEA have their eligibility for services under Part B determined and when eligible, had an IEP developed and implemented no later than the child’s third birthday.</w:t>
            </w:r>
          </w:p>
          <w:p w:rsidR="00C963D2" w:rsidRDefault="00C963D2" w:rsidP="00C963D2">
            <w:pPr>
              <w:spacing w:before="120"/>
            </w:pPr>
            <w:r w:rsidRPr="00397748">
              <w:rPr>
                <w:b/>
              </w:rPr>
              <w:t>Did Not Meet Target</w:t>
            </w:r>
            <w:r>
              <w:t>:  Not all children receiving services under Part C of the IDEA had their eligibility for services under Part B determined and, or had an IEP developed and implemented by their third birthday if eligible for services.</w:t>
            </w:r>
          </w:p>
        </w:tc>
      </w:tr>
      <w:tr w:rsidR="00C963D2" w:rsidTr="00C963D2">
        <w:trPr>
          <w:cantSplit/>
          <w:trHeight w:val="432"/>
        </w:trPr>
        <w:tc>
          <w:tcPr>
            <w:tcW w:w="1332" w:type="dxa"/>
          </w:tcPr>
          <w:p w:rsidR="00C963D2" w:rsidRPr="002443F7" w:rsidRDefault="00C963D2" w:rsidP="00C963D2">
            <w:pPr>
              <w:rPr>
                <w:b/>
              </w:rPr>
            </w:pPr>
            <w:r w:rsidRPr="002443F7">
              <w:rPr>
                <w:b/>
              </w:rPr>
              <w:t>Indicator 13:</w:t>
            </w:r>
          </w:p>
        </w:tc>
        <w:tc>
          <w:tcPr>
            <w:tcW w:w="8172" w:type="dxa"/>
          </w:tcPr>
          <w:p w:rsidR="00C963D2" w:rsidRPr="00C963D2" w:rsidRDefault="00C963D2" w:rsidP="00C963D2">
            <w:pPr>
              <w:rPr>
                <w:i/>
              </w:rPr>
            </w:pPr>
            <w:r w:rsidRPr="00C963D2">
              <w:rPr>
                <w:i/>
              </w:rPr>
              <w:t>Youth age 16 and older have IEPs with all required postsecondary transition requirements in place.</w:t>
            </w:r>
          </w:p>
          <w:p w:rsidR="00C963D2" w:rsidRPr="003B526F" w:rsidRDefault="00C963D2" w:rsidP="00C963D2">
            <w:pPr>
              <w:spacing w:before="120"/>
            </w:pPr>
            <w:r w:rsidRPr="00397748">
              <w:rPr>
                <w:b/>
              </w:rPr>
              <w:t>Met Target</w:t>
            </w:r>
            <w:r>
              <w:t>:  All youth age 16 and older have IEPs with all required postsecondary transition requirements in place.</w:t>
            </w:r>
          </w:p>
          <w:p w:rsidR="00C963D2" w:rsidRPr="00C963D2" w:rsidRDefault="00C963D2" w:rsidP="00C963D2">
            <w:pPr>
              <w:spacing w:before="120"/>
              <w:rPr>
                <w:i/>
              </w:rPr>
            </w:pPr>
            <w:r w:rsidRPr="00397748">
              <w:rPr>
                <w:b/>
              </w:rPr>
              <w:t>Did Not Meet Target</w:t>
            </w:r>
            <w:r>
              <w:t>:  Not all youth age 16 and older have IEPs with all required postsecondary transition requirements in place.</w:t>
            </w:r>
          </w:p>
        </w:tc>
      </w:tr>
      <w:tr w:rsidR="00C963D2" w:rsidTr="00C963D2">
        <w:trPr>
          <w:cantSplit/>
          <w:trHeight w:val="432"/>
        </w:trPr>
        <w:tc>
          <w:tcPr>
            <w:tcW w:w="1332" w:type="dxa"/>
          </w:tcPr>
          <w:p w:rsidR="00C963D2" w:rsidRPr="002443F7" w:rsidRDefault="00C963D2" w:rsidP="00C963D2">
            <w:pPr>
              <w:rPr>
                <w:b/>
              </w:rPr>
            </w:pPr>
            <w:r w:rsidRPr="002443F7">
              <w:rPr>
                <w:b/>
              </w:rPr>
              <w:t>Indicator 15:</w:t>
            </w:r>
          </w:p>
        </w:tc>
        <w:tc>
          <w:tcPr>
            <w:tcW w:w="8172" w:type="dxa"/>
          </w:tcPr>
          <w:p w:rsidR="00C963D2" w:rsidRPr="00C963D2" w:rsidRDefault="00C963D2" w:rsidP="00C963D2">
            <w:pPr>
              <w:rPr>
                <w:i/>
              </w:rPr>
            </w:pPr>
            <w:r w:rsidRPr="00C963D2">
              <w:rPr>
                <w:i/>
              </w:rPr>
              <w:t>General supervision:  District corrects noncompliances no later than one year from notification.</w:t>
            </w:r>
          </w:p>
          <w:p w:rsidR="00C963D2" w:rsidRDefault="00C963D2" w:rsidP="00C963D2">
            <w:pPr>
              <w:spacing w:before="120"/>
            </w:pPr>
            <w:r w:rsidRPr="00397748">
              <w:rPr>
                <w:b/>
              </w:rPr>
              <w:t>Met Target</w:t>
            </w:r>
            <w:r>
              <w:t>:  The district corrected all findings of noncompliance within one year of notification of the noncompliance by the KDE.</w:t>
            </w:r>
          </w:p>
          <w:p w:rsidR="00C963D2" w:rsidRPr="00C963D2" w:rsidRDefault="00C963D2" w:rsidP="00C963D2">
            <w:pPr>
              <w:spacing w:before="120"/>
              <w:rPr>
                <w:i/>
              </w:rPr>
            </w:pPr>
            <w:r w:rsidRPr="00397748">
              <w:rPr>
                <w:b/>
              </w:rPr>
              <w:t>Did Not Meet Target</w:t>
            </w:r>
            <w:r>
              <w:t>:  The district did not correct all findings of noncompliance within one year of notification of the noncompliance by the KDE.</w:t>
            </w:r>
          </w:p>
        </w:tc>
      </w:tr>
      <w:tr w:rsidR="00C963D2" w:rsidTr="00C963D2">
        <w:trPr>
          <w:cantSplit/>
          <w:trHeight w:val="432"/>
        </w:trPr>
        <w:tc>
          <w:tcPr>
            <w:tcW w:w="1332" w:type="dxa"/>
          </w:tcPr>
          <w:p w:rsidR="00C963D2" w:rsidRPr="002443F7" w:rsidRDefault="00C963D2" w:rsidP="00C963D2">
            <w:pPr>
              <w:rPr>
                <w:b/>
              </w:rPr>
            </w:pPr>
            <w:r w:rsidRPr="002443F7">
              <w:rPr>
                <w:b/>
              </w:rPr>
              <w:t>Indicator 20:</w:t>
            </w:r>
          </w:p>
        </w:tc>
        <w:tc>
          <w:tcPr>
            <w:tcW w:w="8172" w:type="dxa"/>
          </w:tcPr>
          <w:p w:rsidR="00C963D2" w:rsidRDefault="00C963D2" w:rsidP="00C963D2">
            <w:r>
              <w:t>Data are submitted in a timely and accurate manner.</w:t>
            </w:r>
          </w:p>
          <w:p w:rsidR="00C963D2" w:rsidRDefault="00C963D2" w:rsidP="00C963D2">
            <w:pPr>
              <w:spacing w:before="120"/>
            </w:pPr>
            <w:r w:rsidRPr="00397748">
              <w:rPr>
                <w:b/>
              </w:rPr>
              <w:t>Met Target</w:t>
            </w:r>
            <w:r>
              <w:t>:  District submits accurate reports with no more than one report past its due date.</w:t>
            </w:r>
          </w:p>
          <w:p w:rsidR="00C963D2" w:rsidRDefault="00C963D2" w:rsidP="00C963D2">
            <w:pPr>
              <w:spacing w:before="120"/>
            </w:pPr>
            <w:r w:rsidRPr="00397748">
              <w:rPr>
                <w:b/>
              </w:rPr>
              <w:t>Did Not Meet Target</w:t>
            </w:r>
            <w:r>
              <w:t>:  District submits two or more reports past their due date or submits reports that fail to accurately report required information.</w:t>
            </w:r>
          </w:p>
        </w:tc>
      </w:tr>
      <w:tr w:rsidR="00C963D2" w:rsidTr="00C963D2">
        <w:trPr>
          <w:cantSplit/>
          <w:trHeight w:val="432"/>
        </w:trPr>
        <w:tc>
          <w:tcPr>
            <w:tcW w:w="1332" w:type="dxa"/>
          </w:tcPr>
          <w:p w:rsidR="00C963D2" w:rsidRPr="002443F7" w:rsidRDefault="00C963D2" w:rsidP="00C963D2">
            <w:pPr>
              <w:rPr>
                <w:b/>
              </w:rPr>
            </w:pPr>
            <w:r w:rsidRPr="002443F7">
              <w:rPr>
                <w:b/>
              </w:rPr>
              <w:t>Waivers:</w:t>
            </w:r>
          </w:p>
        </w:tc>
        <w:tc>
          <w:tcPr>
            <w:tcW w:w="8172" w:type="dxa"/>
          </w:tcPr>
          <w:p w:rsidR="00C963D2" w:rsidRDefault="00C963D2" w:rsidP="00C963D2">
            <w:r w:rsidRPr="008E5B70">
              <w:rPr>
                <w:i/>
              </w:rPr>
              <w:t>General supervision</w:t>
            </w:r>
            <w:r>
              <w:t>:  Required waivers to state regulations for class size, case load, program teacher assignment and shortened school day are in place.</w:t>
            </w:r>
          </w:p>
          <w:p w:rsidR="00C963D2" w:rsidRDefault="00C963D2" w:rsidP="00C963D2">
            <w:pPr>
              <w:spacing w:before="120"/>
            </w:pPr>
            <w:r w:rsidRPr="00397748">
              <w:rPr>
                <w:b/>
              </w:rPr>
              <w:t>Met Target</w:t>
            </w:r>
            <w:r>
              <w:t>:  District has requested and been approved for any variance from regulations relative to class size, caseload, teacher assignment/certification and shortened school day.</w:t>
            </w:r>
          </w:p>
          <w:p w:rsidR="00C963D2" w:rsidRDefault="00C963D2" w:rsidP="00C963D2">
            <w:pPr>
              <w:spacing w:before="120"/>
            </w:pPr>
            <w:r w:rsidRPr="00397748">
              <w:rPr>
                <w:b/>
              </w:rPr>
              <w:t>Did Not Meet Target</w:t>
            </w:r>
            <w:r>
              <w:t>:  District is in violation of state regulations relative to class size, caseload, teacher assignment/certification or school day and has not requested or was not given a waiver to the requirement.</w:t>
            </w:r>
          </w:p>
        </w:tc>
      </w:tr>
    </w:tbl>
    <w:p w:rsidR="000E4063" w:rsidRDefault="000E4063">
      <w:pPr>
        <w:rPr>
          <w:b/>
        </w:rPr>
      </w:pPr>
      <w:r>
        <w:rPr>
          <w:b/>
        </w:rPr>
        <w:br w:type="page"/>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32"/>
        <w:gridCol w:w="8172"/>
      </w:tblGrid>
      <w:tr w:rsidR="00C963D2" w:rsidTr="00C963D2">
        <w:trPr>
          <w:cantSplit/>
          <w:trHeight w:val="432"/>
        </w:trPr>
        <w:tc>
          <w:tcPr>
            <w:tcW w:w="1332" w:type="dxa"/>
          </w:tcPr>
          <w:p w:rsidR="00C963D2" w:rsidRPr="00745D8B" w:rsidRDefault="00C963D2" w:rsidP="00C963D2">
            <w:pPr>
              <w:rPr>
                <w:b/>
              </w:rPr>
            </w:pPr>
            <w:r w:rsidRPr="002443F7">
              <w:rPr>
                <w:b/>
              </w:rPr>
              <w:lastRenderedPageBreak/>
              <w:t>Hearings:</w:t>
            </w:r>
          </w:p>
        </w:tc>
        <w:tc>
          <w:tcPr>
            <w:tcW w:w="8172" w:type="dxa"/>
          </w:tcPr>
          <w:p w:rsidR="00C963D2" w:rsidRDefault="00C963D2" w:rsidP="00C963D2">
            <w:r w:rsidRPr="008E5B70">
              <w:rPr>
                <w:i/>
              </w:rPr>
              <w:t>General supervision</w:t>
            </w:r>
            <w:r>
              <w:t>:  Decisions are implemented within a timely manner as specified in the Hearing Officer’s Order.</w:t>
            </w:r>
          </w:p>
          <w:p w:rsidR="00C963D2" w:rsidRDefault="00C963D2" w:rsidP="00C963D2">
            <w:pPr>
              <w:spacing w:before="120"/>
              <w:ind w:left="14"/>
            </w:pPr>
            <w:r w:rsidRPr="00397748">
              <w:rPr>
                <w:b/>
              </w:rPr>
              <w:t>Met Target</w:t>
            </w:r>
            <w:r>
              <w:t>:  District has fulfilled all requirements of an order from a Hearing Officer.</w:t>
            </w:r>
          </w:p>
          <w:p w:rsidR="00C963D2" w:rsidRDefault="00C963D2" w:rsidP="00C963D2">
            <w:pPr>
              <w:spacing w:before="120"/>
              <w:ind w:left="14"/>
            </w:pPr>
            <w:r w:rsidRPr="00397748">
              <w:rPr>
                <w:b/>
              </w:rPr>
              <w:t>Did Not Meet Target</w:t>
            </w:r>
            <w:r>
              <w:t>:  District has failed to fully implement orders of a Hearing Officer.</w:t>
            </w:r>
          </w:p>
        </w:tc>
      </w:tr>
      <w:tr w:rsidR="00C963D2" w:rsidTr="00C963D2">
        <w:trPr>
          <w:cantSplit/>
          <w:trHeight w:val="432"/>
        </w:trPr>
        <w:tc>
          <w:tcPr>
            <w:tcW w:w="1332" w:type="dxa"/>
          </w:tcPr>
          <w:p w:rsidR="00C963D2" w:rsidRPr="002443F7" w:rsidRDefault="00C963D2" w:rsidP="00C963D2">
            <w:pPr>
              <w:rPr>
                <w:b/>
              </w:rPr>
            </w:pPr>
            <w:r w:rsidRPr="002443F7">
              <w:rPr>
                <w:b/>
              </w:rPr>
              <w:t>Audits:</w:t>
            </w:r>
          </w:p>
        </w:tc>
        <w:tc>
          <w:tcPr>
            <w:tcW w:w="8172" w:type="dxa"/>
          </w:tcPr>
          <w:p w:rsidR="00C963D2" w:rsidRDefault="00C963D2" w:rsidP="00C963D2">
            <w:r w:rsidRPr="008E5B70">
              <w:rPr>
                <w:i/>
              </w:rPr>
              <w:t>General supervision</w:t>
            </w:r>
            <w:r>
              <w:t>:  Policies, procedures, and practices related to financial operations are within all Federal and state requirements.</w:t>
            </w:r>
          </w:p>
          <w:p w:rsidR="00C963D2" w:rsidRDefault="00C963D2" w:rsidP="00C963D2">
            <w:pPr>
              <w:spacing w:before="120"/>
            </w:pPr>
            <w:r w:rsidRPr="00397748">
              <w:rPr>
                <w:b/>
              </w:rPr>
              <w:t>Met Target</w:t>
            </w:r>
            <w:r>
              <w:t>:  District has no audit findings of failure to meet requirements and has submitted required financial reporting.</w:t>
            </w:r>
          </w:p>
          <w:p w:rsidR="00C963D2" w:rsidRPr="008E5B70" w:rsidRDefault="00C963D2" w:rsidP="00C963D2">
            <w:pPr>
              <w:spacing w:before="120"/>
              <w:rPr>
                <w:i/>
              </w:rPr>
            </w:pPr>
            <w:r w:rsidRPr="00397748">
              <w:rPr>
                <w:b/>
              </w:rPr>
              <w:t>Did Not Meet Target</w:t>
            </w:r>
            <w:r>
              <w:t>:  District has audit findings of inappropriate policies, procedures, and practices and or has failed to appropriately report expenditures.</w:t>
            </w:r>
          </w:p>
        </w:tc>
      </w:tr>
    </w:tbl>
    <w:p w:rsidR="00966706" w:rsidRDefault="00966706" w:rsidP="00C002E3">
      <w:pPr>
        <w:spacing w:before="240"/>
        <w:rPr>
          <w:b/>
          <w:sz w:val="28"/>
          <w:szCs w:val="28"/>
          <w:u w:val="single"/>
        </w:rPr>
      </w:pPr>
      <w:r w:rsidRPr="00885C75">
        <w:rPr>
          <w:b/>
          <w:sz w:val="28"/>
          <w:szCs w:val="28"/>
          <w:u w:val="single"/>
        </w:rPr>
        <w:t>Additional Factor</w:t>
      </w:r>
      <w:r>
        <w:rPr>
          <w:b/>
          <w:sz w:val="28"/>
          <w:szCs w:val="28"/>
          <w:u w:val="single"/>
        </w:rPr>
        <w:t>s</w:t>
      </w:r>
      <w:r w:rsidRPr="00885C75">
        <w:rPr>
          <w:b/>
          <w:sz w:val="28"/>
          <w:szCs w:val="28"/>
          <w:u w:val="single"/>
        </w:rPr>
        <w:t xml:space="preserve"> Outside the Determination Scoring Rubric Process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332"/>
        <w:gridCol w:w="8172"/>
      </w:tblGrid>
      <w:tr w:rsidR="00C002E3" w:rsidTr="00C002E3">
        <w:trPr>
          <w:cantSplit/>
          <w:trHeight w:val="432"/>
        </w:trPr>
        <w:tc>
          <w:tcPr>
            <w:tcW w:w="1332" w:type="dxa"/>
          </w:tcPr>
          <w:p w:rsidR="00C002E3" w:rsidRDefault="00C002E3" w:rsidP="00C002E3">
            <w:pPr>
              <w:rPr>
                <w:b/>
                <w:sz w:val="28"/>
                <w:szCs w:val="28"/>
                <w:u w:val="single"/>
              </w:rPr>
            </w:pPr>
            <w:r w:rsidRPr="002443F7">
              <w:rPr>
                <w:b/>
              </w:rPr>
              <w:t>Persistent</w:t>
            </w:r>
            <w:r>
              <w:rPr>
                <w:b/>
              </w:rPr>
              <w:t xml:space="preserve"> Failure </w:t>
            </w:r>
            <w:r w:rsidRPr="002443F7">
              <w:rPr>
                <w:b/>
              </w:rPr>
              <w:t>o</w:t>
            </w:r>
            <w:r>
              <w:rPr>
                <w:b/>
              </w:rPr>
              <w:t>r Not Able to Comply:</w:t>
            </w:r>
          </w:p>
        </w:tc>
        <w:tc>
          <w:tcPr>
            <w:tcW w:w="8172" w:type="dxa"/>
          </w:tcPr>
          <w:p w:rsidR="00C002E3" w:rsidRDefault="00C002E3" w:rsidP="00C002E3">
            <w:r w:rsidRPr="00745D8B">
              <w:rPr>
                <w:i/>
              </w:rPr>
              <w:t>General Supervision</w:t>
            </w:r>
            <w:r>
              <w:t xml:space="preserve">:  District is under a Corrective Action Plan or Orders of Hearing Officer or otherwise found by KDE to be in violation of the IDEA or other Federal or State Laws and regulations for three </w:t>
            </w:r>
            <w:r w:rsidRPr="004F6E84">
              <w:t>(3)</w:t>
            </w:r>
            <w:r>
              <w:t xml:space="preserve"> or more consecutive years for the same issue, and KDE has determined that the district has failed to comply, or, after two (2) or more years, KDE has determined the district is not able to comply. </w:t>
            </w:r>
          </w:p>
          <w:p w:rsidR="00C002E3" w:rsidRDefault="00C002E3" w:rsidP="00C002E3">
            <w:pPr>
              <w:tabs>
                <w:tab w:val="left" w:pos="1440"/>
              </w:tabs>
              <w:spacing w:before="120"/>
            </w:pPr>
            <w:r w:rsidRPr="00397748">
              <w:rPr>
                <w:b/>
              </w:rPr>
              <w:t>Met Target</w:t>
            </w:r>
            <w:r>
              <w:t>:  District complied with all Corrective Action Plans or Decisions of a Hearing Officer on a timely basis and provided sufficient documentation to demonstrate it is making substantial effort and progress to comply.</w:t>
            </w:r>
          </w:p>
          <w:p w:rsidR="00C002E3" w:rsidRDefault="00C002E3" w:rsidP="00C002E3">
            <w:pPr>
              <w:tabs>
                <w:tab w:val="left" w:pos="1440"/>
              </w:tabs>
              <w:spacing w:before="120"/>
              <w:rPr>
                <w:b/>
                <w:sz w:val="28"/>
                <w:szCs w:val="28"/>
                <w:u w:val="single"/>
              </w:rPr>
            </w:pPr>
            <w:r w:rsidRPr="00397748">
              <w:rPr>
                <w:b/>
              </w:rPr>
              <w:t>Did Not Meet Target</w:t>
            </w:r>
            <w:r>
              <w:t>:  District fails or is not able to comply with a Corrective Action Plan or Decisions of a Hearing Officer or to meet the requirements of the IDEA as determined by KDE.</w:t>
            </w:r>
          </w:p>
        </w:tc>
      </w:tr>
      <w:tr w:rsidR="00C002E3" w:rsidTr="00C002E3">
        <w:trPr>
          <w:cantSplit/>
          <w:trHeight w:val="432"/>
        </w:trPr>
        <w:tc>
          <w:tcPr>
            <w:tcW w:w="1332" w:type="dxa"/>
          </w:tcPr>
          <w:p w:rsidR="00C002E3" w:rsidRPr="002443F7" w:rsidRDefault="00C002E3" w:rsidP="00C002E3">
            <w:pPr>
              <w:rPr>
                <w:b/>
              </w:rPr>
            </w:pPr>
            <w:r w:rsidRPr="004A4111">
              <w:rPr>
                <w:b/>
              </w:rPr>
              <w:t>On-Site Monitoring Visit:</w:t>
            </w:r>
          </w:p>
        </w:tc>
        <w:tc>
          <w:tcPr>
            <w:tcW w:w="8172" w:type="dxa"/>
          </w:tcPr>
          <w:p w:rsidR="00C002E3" w:rsidRDefault="00C002E3" w:rsidP="00C002E3">
            <w:r w:rsidRPr="00745D8B">
              <w:rPr>
                <w:i/>
              </w:rPr>
              <w:t>General Supervision</w:t>
            </w:r>
            <w:r>
              <w:t xml:space="preserve">:  District has received an On-Site Monitoring Visit due to specific criteria resulting in </w:t>
            </w:r>
            <w:r w:rsidRPr="000F1D3E">
              <w:rPr>
                <w:b/>
              </w:rPr>
              <w:t>Findings of Non-Compliance</w:t>
            </w:r>
            <w:r>
              <w:t xml:space="preserve"> (</w:t>
            </w:r>
            <w:r w:rsidRPr="001259E8">
              <w:rPr>
                <w:i/>
              </w:rPr>
              <w:t>Needs Assistance,</w:t>
            </w:r>
            <w:r>
              <w:t xml:space="preserve"> </w:t>
            </w:r>
            <w:r w:rsidRPr="001259E8">
              <w:rPr>
                <w:i/>
              </w:rPr>
              <w:t>Needs</w:t>
            </w:r>
            <w:r>
              <w:rPr>
                <w:i/>
              </w:rPr>
              <w:t xml:space="preserve"> </w:t>
            </w:r>
            <w:r w:rsidRPr="001259E8">
              <w:rPr>
                <w:i/>
              </w:rPr>
              <w:t>Intervention,</w:t>
            </w:r>
            <w:r>
              <w:rPr>
                <w:i/>
              </w:rPr>
              <w:t xml:space="preserve"> </w:t>
            </w:r>
            <w:r w:rsidRPr="001259E8">
              <w:rPr>
                <w:i/>
              </w:rPr>
              <w:t>or Needs Substantial Intervention</w:t>
            </w:r>
            <w:r>
              <w:t xml:space="preserve">).  These </w:t>
            </w:r>
            <w:r w:rsidRPr="000F1D3E">
              <w:rPr>
                <w:b/>
              </w:rPr>
              <w:t>Findings</w:t>
            </w:r>
            <w:r>
              <w:t xml:space="preserve"> are independent of the normal </w:t>
            </w:r>
            <w:r w:rsidRPr="000F1D3E">
              <w:rPr>
                <w:i/>
              </w:rPr>
              <w:t>‘District Determination Process’</w:t>
            </w:r>
            <w:r>
              <w:t xml:space="preserve"> and may be used to justify any level of Determination based on the level of compliance found by the KDE monitoring team.</w:t>
            </w:r>
          </w:p>
          <w:p w:rsidR="00C002E3" w:rsidRDefault="00C002E3" w:rsidP="00C002E3">
            <w:pPr>
              <w:spacing w:before="120"/>
              <w:ind w:left="14"/>
            </w:pPr>
            <w:r w:rsidRPr="00397748">
              <w:rPr>
                <w:b/>
              </w:rPr>
              <w:t>Met Target</w:t>
            </w:r>
            <w:r>
              <w:t>:  On-Site Monitoring team found district to be in 90.0% compliance or more of areas reviewed.</w:t>
            </w:r>
          </w:p>
          <w:p w:rsidR="00C002E3" w:rsidRPr="00745D8B" w:rsidRDefault="00C002E3" w:rsidP="00C002E3">
            <w:pPr>
              <w:spacing w:before="120"/>
              <w:ind w:left="14"/>
              <w:rPr>
                <w:i/>
              </w:rPr>
            </w:pPr>
            <w:r>
              <w:rPr>
                <w:b/>
              </w:rPr>
              <w:t>Did Not Meet Target</w:t>
            </w:r>
            <w:r>
              <w:t>:  On-Site Monitoring team found district to be less than 90.0% compliance of areas reviewed.</w:t>
            </w:r>
          </w:p>
        </w:tc>
      </w:tr>
    </w:tbl>
    <w:p w:rsidR="00E81CD2" w:rsidRDefault="00E81CD2">
      <w:pPr>
        <w:rPr>
          <w:b/>
          <w:sz w:val="28"/>
          <w:szCs w:val="28"/>
          <w:u w:val="single"/>
        </w:rPr>
      </w:pPr>
      <w:r>
        <w:rPr>
          <w:b/>
          <w:sz w:val="28"/>
          <w:szCs w:val="28"/>
          <w:u w:val="single"/>
        </w:rPr>
        <w:br w:type="page"/>
      </w:r>
    </w:p>
    <w:p w:rsidR="005729B7" w:rsidRDefault="005729B7" w:rsidP="00524F2C">
      <w:pPr>
        <w:spacing w:before="240" w:after="0"/>
        <w:rPr>
          <w:b/>
          <w:sz w:val="28"/>
          <w:szCs w:val="28"/>
          <w:u w:val="single"/>
        </w:rPr>
      </w:pPr>
      <w:r w:rsidRPr="005729B7">
        <w:rPr>
          <w:b/>
          <w:sz w:val="28"/>
          <w:szCs w:val="28"/>
          <w:u w:val="single"/>
        </w:rPr>
        <w:lastRenderedPageBreak/>
        <w:t xml:space="preserve">Criteria for </w:t>
      </w:r>
      <w:r>
        <w:rPr>
          <w:b/>
          <w:sz w:val="28"/>
          <w:szCs w:val="28"/>
          <w:u w:val="single"/>
        </w:rPr>
        <w:t xml:space="preserve">Local District </w:t>
      </w:r>
      <w:r w:rsidRPr="005729B7">
        <w:rPr>
          <w:b/>
          <w:sz w:val="28"/>
          <w:szCs w:val="28"/>
          <w:u w:val="single"/>
        </w:rPr>
        <w:t>Determination:</w:t>
      </w:r>
    </w:p>
    <w:p w:rsidR="00C627A1" w:rsidRDefault="00C627A1" w:rsidP="0031004E">
      <w:pPr>
        <w:tabs>
          <w:tab w:val="left" w:pos="1440"/>
        </w:tabs>
        <w:spacing w:before="120" w:after="0"/>
      </w:pPr>
      <w:r>
        <w:t xml:space="preserve">A finding of </w:t>
      </w:r>
      <w:r w:rsidRPr="00985FE6">
        <w:rPr>
          <w:b/>
          <w:i/>
        </w:rPr>
        <w:t>Persistent Failure to Comply/Not Able to Comply</w:t>
      </w:r>
      <w:r w:rsidRPr="004C626D">
        <w:t xml:space="preserve"> </w:t>
      </w:r>
      <w:r>
        <w:t xml:space="preserve">supersedes all other factors used in the Determinations process and is documented on the </w:t>
      </w:r>
      <w:r w:rsidRPr="00987F73">
        <w:rPr>
          <w:i/>
        </w:rPr>
        <w:t xml:space="preserve">Determinations </w:t>
      </w:r>
      <w:r>
        <w:rPr>
          <w:i/>
        </w:rPr>
        <w:t>S</w:t>
      </w:r>
      <w:r w:rsidRPr="0030389A">
        <w:rPr>
          <w:i/>
        </w:rPr>
        <w:t xml:space="preserve">coring </w:t>
      </w:r>
      <w:r>
        <w:rPr>
          <w:i/>
        </w:rPr>
        <w:t>R</w:t>
      </w:r>
      <w:r w:rsidRPr="0030389A">
        <w:rPr>
          <w:i/>
        </w:rPr>
        <w:t>ubr</w:t>
      </w:r>
      <w:r>
        <w:t xml:space="preserve">ic as either </w:t>
      </w:r>
      <w:r w:rsidRPr="00BF5F76">
        <w:rPr>
          <w:b/>
          <w:i/>
        </w:rPr>
        <w:t>No Finding</w:t>
      </w:r>
      <w:r>
        <w:t xml:space="preserve"> or </w:t>
      </w:r>
      <w:r w:rsidRPr="00BF5F76">
        <w:rPr>
          <w:b/>
          <w:i/>
        </w:rPr>
        <w:t>NSI</w:t>
      </w:r>
      <w:r>
        <w:t>.</w:t>
      </w:r>
      <w:r w:rsidR="0031004E">
        <w:t xml:space="preserve">  A status of </w:t>
      </w:r>
      <w:r w:rsidR="0031004E" w:rsidRPr="0031004E">
        <w:rPr>
          <w:b/>
          <w:i/>
        </w:rPr>
        <w:t>No Finding</w:t>
      </w:r>
      <w:r w:rsidR="0031004E">
        <w:t xml:space="preserve"> means the district’s Determination will be based on other factors described below.</w:t>
      </w:r>
      <w:r>
        <w:t xml:space="preserve">  A status of </w:t>
      </w:r>
      <w:r w:rsidRPr="0031004E">
        <w:rPr>
          <w:b/>
          <w:i/>
        </w:rPr>
        <w:t>NSI</w:t>
      </w:r>
      <w:r>
        <w:t xml:space="preserve"> means the district has been identified in this category and will have a Determination of </w:t>
      </w:r>
      <w:r w:rsidRPr="004C626D">
        <w:t>Needs Substantial Intervention</w:t>
      </w:r>
      <w:r>
        <w:rPr>
          <w:b/>
          <w:i/>
        </w:rPr>
        <w:t xml:space="preserve"> </w:t>
      </w:r>
      <w:r w:rsidRPr="004C626D">
        <w:t>(</w:t>
      </w:r>
      <w:r>
        <w:rPr>
          <w:b/>
          <w:i/>
        </w:rPr>
        <w:t>NSI</w:t>
      </w:r>
      <w:r w:rsidRPr="004C626D">
        <w:t>)</w:t>
      </w:r>
      <w:r>
        <w:t>.</w:t>
      </w:r>
    </w:p>
    <w:p w:rsidR="0031004E" w:rsidRDefault="0031004E" w:rsidP="0031004E">
      <w:pPr>
        <w:tabs>
          <w:tab w:val="left" w:pos="1440"/>
        </w:tabs>
        <w:spacing w:before="120" w:after="0"/>
      </w:pPr>
      <w:r>
        <w:t xml:space="preserve">When a district has an </w:t>
      </w:r>
      <w:r w:rsidRPr="00652E65">
        <w:rPr>
          <w:b/>
          <w:i/>
        </w:rPr>
        <w:t>On-Site Monitoring Visit</w:t>
      </w:r>
      <w:r>
        <w:t xml:space="preserve"> with a Finding of Non-Compliance, this supersedes the results of the </w:t>
      </w:r>
      <w:r w:rsidRPr="00985FE6">
        <w:rPr>
          <w:i/>
        </w:rPr>
        <w:t>Determinations Scoring Rubric</w:t>
      </w:r>
      <w:r>
        <w:t xml:space="preserve"> but not the finding of </w:t>
      </w:r>
      <w:r w:rsidRPr="00F75594">
        <w:rPr>
          <w:b/>
          <w:i/>
        </w:rPr>
        <w:t>Persistent Failure to Comply</w:t>
      </w:r>
      <w:r>
        <w:rPr>
          <w:b/>
          <w:i/>
        </w:rPr>
        <w:t>/Not Able to Comply</w:t>
      </w:r>
      <w:r>
        <w:t xml:space="preserve">.  The Determinations Scoring Rubric documents the decision of the monitoring team as:  </w:t>
      </w:r>
      <w:r w:rsidRPr="008F7862">
        <w:rPr>
          <w:b/>
          <w:i/>
        </w:rPr>
        <w:t>MEETS, NA, NI</w:t>
      </w:r>
      <w:r>
        <w:rPr>
          <w:b/>
          <w:i/>
        </w:rPr>
        <w:t>,</w:t>
      </w:r>
      <w:r w:rsidRPr="008F7862">
        <w:rPr>
          <w:b/>
          <w:i/>
        </w:rPr>
        <w:t xml:space="preserve"> NSI</w:t>
      </w:r>
      <w:r w:rsidRPr="0031004E">
        <w:rPr>
          <w:b/>
          <w:i/>
        </w:rPr>
        <w:t xml:space="preserve"> </w:t>
      </w:r>
      <w:r w:rsidRPr="008F7862">
        <w:rPr>
          <w:b/>
          <w:i/>
        </w:rPr>
        <w:t>or</w:t>
      </w:r>
      <w:r>
        <w:rPr>
          <w:b/>
          <w:i/>
        </w:rPr>
        <w:t xml:space="preserve"> No Visit</w:t>
      </w:r>
      <w:r>
        <w:t xml:space="preserve">.  When the monitoring team finds non-compliances, the percentage of Non-compliance fixes the level of the district’s Determination.  Determinations under this category can be </w:t>
      </w:r>
      <w:r w:rsidR="00EB21D8">
        <w:t>Meets (</w:t>
      </w:r>
      <w:r w:rsidR="00EB21D8" w:rsidRPr="00EB21D8">
        <w:rPr>
          <w:b/>
          <w:i/>
        </w:rPr>
        <w:t>MEETS</w:t>
      </w:r>
      <w:r w:rsidR="00EB21D8">
        <w:t xml:space="preserve">), </w:t>
      </w:r>
      <w:r>
        <w:t>Needs Assistance (</w:t>
      </w:r>
      <w:r w:rsidRPr="0031004E">
        <w:rPr>
          <w:b/>
          <w:i/>
        </w:rPr>
        <w:t>NA1/NA2</w:t>
      </w:r>
      <w:r>
        <w:t>), Needs Intervention (</w:t>
      </w:r>
      <w:r w:rsidRPr="0031004E">
        <w:rPr>
          <w:b/>
          <w:i/>
        </w:rPr>
        <w:t>NI1/NI2/NI3</w:t>
      </w:r>
      <w:r>
        <w:t>), or Needs Substantial Intervention (</w:t>
      </w:r>
      <w:r w:rsidRPr="0031004E">
        <w:rPr>
          <w:b/>
          <w:i/>
        </w:rPr>
        <w:t>NSI</w:t>
      </w:r>
      <w:r>
        <w:t xml:space="preserve">).  If the monitoring team </w:t>
      </w:r>
      <w:r w:rsidR="00EB21D8">
        <w:t>calculates the percentage of compliance as 90.0% or greater</w:t>
      </w:r>
      <w:r>
        <w:t xml:space="preserve"> </w:t>
      </w:r>
      <w:r w:rsidRPr="008F7862">
        <w:rPr>
          <w:b/>
          <w:i/>
        </w:rPr>
        <w:t>MEETS</w:t>
      </w:r>
      <w:r w:rsidR="00EB21D8">
        <w:rPr>
          <w:b/>
          <w:i/>
        </w:rPr>
        <w:t xml:space="preserve"> </w:t>
      </w:r>
      <w:r w:rsidR="00EB21D8">
        <w:t>is documented on the Determinations Scoring Rubric and the</w:t>
      </w:r>
      <w:r>
        <w:t xml:space="preserve"> district’s Determination is based on </w:t>
      </w:r>
      <w:r w:rsidR="00EB21D8">
        <w:t>other factors</w:t>
      </w:r>
      <w:r>
        <w:t>.  If the monitoring team determines that a district  Needs Assistance (</w:t>
      </w:r>
      <w:r w:rsidRPr="008F7862">
        <w:rPr>
          <w:b/>
          <w:i/>
        </w:rPr>
        <w:t>NA</w:t>
      </w:r>
      <w:r>
        <w:t xml:space="preserve">), then depending on the district’s prior year Determination the new Determination could be </w:t>
      </w:r>
      <w:r w:rsidRPr="008F7862">
        <w:rPr>
          <w:b/>
          <w:i/>
        </w:rPr>
        <w:t>NA1, NA2, NI1, NI2, NI3  or NSI</w:t>
      </w:r>
      <w:r>
        <w:t xml:space="preserve"> based on the progression of Determinations noted on the </w:t>
      </w:r>
      <w:r w:rsidRPr="00BF5F76">
        <w:rPr>
          <w:i/>
        </w:rPr>
        <w:t>Determination Scoring Guide</w:t>
      </w:r>
      <w:r>
        <w:t xml:space="preserve"> </w:t>
      </w:r>
      <w:r w:rsidRPr="00BF5F76">
        <w:rPr>
          <w:i/>
        </w:rPr>
        <w:t>Table</w:t>
      </w:r>
      <w:r>
        <w:t xml:space="preserve"> below.  If the monitoring team determines that a district Needs Intervention (</w:t>
      </w:r>
      <w:r w:rsidRPr="008F7862">
        <w:rPr>
          <w:b/>
          <w:i/>
        </w:rPr>
        <w:t>NI</w:t>
      </w:r>
      <w:r>
        <w:t xml:space="preserve">) then depending on the district’s prior year Determination the district could have a new Determination of </w:t>
      </w:r>
      <w:r w:rsidRPr="008F7862">
        <w:rPr>
          <w:b/>
          <w:i/>
        </w:rPr>
        <w:t>NI1, NI2, NI3 or NSI</w:t>
      </w:r>
      <w:r>
        <w:t>.  Finally, if the monitoring team determines the district Needs Substantial Intervention (</w:t>
      </w:r>
      <w:r w:rsidRPr="004C626D">
        <w:rPr>
          <w:b/>
          <w:i/>
        </w:rPr>
        <w:t>NSI</w:t>
      </w:r>
      <w:r>
        <w:t xml:space="preserve">) then their Determination will be </w:t>
      </w:r>
      <w:r w:rsidRPr="004C626D">
        <w:rPr>
          <w:b/>
          <w:i/>
        </w:rPr>
        <w:t>NSI</w:t>
      </w:r>
      <w:r>
        <w:t xml:space="preserve"> regardless of prior year Determinations.</w:t>
      </w:r>
    </w:p>
    <w:p w:rsidR="000F1D3E" w:rsidRDefault="005729B7" w:rsidP="00C930E2">
      <w:pPr>
        <w:tabs>
          <w:tab w:val="left" w:pos="1440"/>
        </w:tabs>
        <w:spacing w:before="120" w:after="0"/>
      </w:pPr>
      <w:r>
        <w:t xml:space="preserve">Districts </w:t>
      </w:r>
      <w:r w:rsidR="00A8231D">
        <w:t>receive scores</w:t>
      </w:r>
      <w:r w:rsidR="000F1D3E">
        <w:t xml:space="preserve"> on the </w:t>
      </w:r>
      <w:r w:rsidR="000F1D3E" w:rsidRPr="000F1D3E">
        <w:rPr>
          <w:i/>
        </w:rPr>
        <w:t>Determinations Scoring Rubric</w:t>
      </w:r>
      <w:r w:rsidR="00A8231D">
        <w:t xml:space="preserve"> in each of </w:t>
      </w:r>
      <w:r w:rsidR="002443F7">
        <w:t>f</w:t>
      </w:r>
      <w:r w:rsidR="00EB1A1F">
        <w:t>our</w:t>
      </w:r>
      <w:r w:rsidR="00A8231D">
        <w:t xml:space="preserve"> categories; </w:t>
      </w:r>
      <w:r w:rsidR="00A8231D" w:rsidRPr="00A8231D">
        <w:rPr>
          <w:b/>
          <w:i/>
        </w:rPr>
        <w:t>Indicators</w:t>
      </w:r>
      <w:r w:rsidR="00A8231D">
        <w:t xml:space="preserve">, </w:t>
      </w:r>
      <w:r w:rsidR="00A8231D" w:rsidRPr="00A8231D">
        <w:rPr>
          <w:b/>
          <w:i/>
        </w:rPr>
        <w:t>Waivers</w:t>
      </w:r>
      <w:r w:rsidR="00A8231D">
        <w:t xml:space="preserve">, </w:t>
      </w:r>
      <w:r w:rsidR="00A8231D" w:rsidRPr="00A8231D">
        <w:rPr>
          <w:b/>
          <w:i/>
        </w:rPr>
        <w:t>Hearings</w:t>
      </w:r>
      <w:r w:rsidR="00A8231D">
        <w:t xml:space="preserve">, </w:t>
      </w:r>
      <w:r w:rsidR="00EB1A1F">
        <w:t xml:space="preserve">and </w:t>
      </w:r>
      <w:r w:rsidR="00A8231D" w:rsidRPr="00A8231D">
        <w:rPr>
          <w:b/>
          <w:i/>
        </w:rPr>
        <w:t>Audits</w:t>
      </w:r>
      <w:r w:rsidR="00A8231D">
        <w:t>.</w:t>
      </w:r>
      <w:r>
        <w:t xml:space="preserve">  </w:t>
      </w:r>
      <w:r w:rsidR="000F1D3E">
        <w:t xml:space="preserve">The </w:t>
      </w:r>
      <w:r w:rsidR="000F1D3E">
        <w:rPr>
          <w:i/>
        </w:rPr>
        <w:t>R</w:t>
      </w:r>
      <w:r w:rsidR="000F1D3E" w:rsidRPr="0030389A">
        <w:rPr>
          <w:i/>
        </w:rPr>
        <w:t>ubr</w:t>
      </w:r>
      <w:r w:rsidR="000F1D3E">
        <w:t xml:space="preserve">ic is used to assign </w:t>
      </w:r>
      <w:r w:rsidR="000B5CCF">
        <w:t>a score</w:t>
      </w:r>
      <w:r w:rsidR="000F1D3E">
        <w:t xml:space="preserve"> to each of </w:t>
      </w:r>
      <w:r w:rsidR="00EB1A1F">
        <w:t>the</w:t>
      </w:r>
      <w:r w:rsidR="000F1D3E">
        <w:t xml:space="preserve"> categories and</w:t>
      </w:r>
      <w:r w:rsidR="00714FFD">
        <w:t xml:space="preserve"> to</w:t>
      </w:r>
      <w:r w:rsidR="000F1D3E">
        <w:t xml:space="preserve"> </w:t>
      </w:r>
      <w:r w:rsidR="000B5CCF">
        <w:t>document the KDE’s</w:t>
      </w:r>
      <w:r w:rsidR="000F1D3E">
        <w:t xml:space="preserve"> annual </w:t>
      </w:r>
      <w:r w:rsidR="000F1D3E" w:rsidRPr="00985FE6">
        <w:t>Determination</w:t>
      </w:r>
      <w:r w:rsidR="000B5CCF" w:rsidRPr="00985FE6">
        <w:t>s of</w:t>
      </w:r>
      <w:r w:rsidR="000B5CCF">
        <w:t xml:space="preserve"> each local district’s special education program</w:t>
      </w:r>
      <w:r w:rsidR="000F1D3E">
        <w:t>.</w:t>
      </w:r>
    </w:p>
    <w:p w:rsidR="000F1D3E" w:rsidRDefault="000F1D3E" w:rsidP="00C930E2">
      <w:pPr>
        <w:pStyle w:val="ListParagraph"/>
        <w:numPr>
          <w:ilvl w:val="0"/>
          <w:numId w:val="9"/>
        </w:numPr>
        <w:tabs>
          <w:tab w:val="left" w:pos="720"/>
        </w:tabs>
        <w:spacing w:before="120" w:after="0"/>
      </w:pPr>
      <w:r>
        <w:t xml:space="preserve">For </w:t>
      </w:r>
      <w:r w:rsidR="000B5CCF">
        <w:t>the</w:t>
      </w:r>
      <w:r>
        <w:t xml:space="preserve"> </w:t>
      </w:r>
      <w:r w:rsidRPr="000F1D3E">
        <w:rPr>
          <w:b/>
          <w:i/>
        </w:rPr>
        <w:t>Indicators</w:t>
      </w:r>
      <w:r>
        <w:t xml:space="preserve"> </w:t>
      </w:r>
      <w:r w:rsidR="000B5CCF">
        <w:t xml:space="preserve">category </w:t>
      </w:r>
      <w:r>
        <w:t xml:space="preserve">a district </w:t>
      </w:r>
      <w:r w:rsidR="000B5CCF">
        <w:t>will</w:t>
      </w:r>
      <w:r>
        <w:t xml:space="preserve"> receive a </w:t>
      </w:r>
      <w:r w:rsidR="00652219" w:rsidRPr="00652219">
        <w:rPr>
          <w:i/>
        </w:rPr>
        <w:t>C</w:t>
      </w:r>
      <w:r w:rsidR="000B5CCF" w:rsidRPr="00652219">
        <w:rPr>
          <w:i/>
        </w:rPr>
        <w:t xml:space="preserve">umulative </w:t>
      </w:r>
      <w:r w:rsidR="00652219" w:rsidRPr="00652219">
        <w:rPr>
          <w:i/>
        </w:rPr>
        <w:t>Indicator S</w:t>
      </w:r>
      <w:r w:rsidRPr="00652219">
        <w:rPr>
          <w:i/>
        </w:rPr>
        <w:t>core</w:t>
      </w:r>
      <w:r>
        <w:t xml:space="preserve"> of </w:t>
      </w:r>
      <w:r w:rsidRPr="000F1D3E">
        <w:rPr>
          <w:b/>
        </w:rPr>
        <w:t>0</w:t>
      </w:r>
      <w:r>
        <w:t xml:space="preserve">, </w:t>
      </w:r>
      <w:r w:rsidRPr="000F1D3E">
        <w:rPr>
          <w:b/>
        </w:rPr>
        <w:t>1</w:t>
      </w:r>
      <w:r>
        <w:t xml:space="preserve">, </w:t>
      </w:r>
      <w:r w:rsidRPr="000F1D3E">
        <w:rPr>
          <w:b/>
        </w:rPr>
        <w:t>2</w:t>
      </w:r>
      <w:r>
        <w:t xml:space="preserve">, or </w:t>
      </w:r>
      <w:r w:rsidRPr="000F1D3E">
        <w:rPr>
          <w:b/>
        </w:rPr>
        <w:t>3</w:t>
      </w:r>
      <w:r w:rsidR="000B5CCF">
        <w:t>.  (Each of eight</w:t>
      </w:r>
      <w:r w:rsidR="00652219">
        <w:t xml:space="preserve"> separate</w:t>
      </w:r>
      <w:r w:rsidR="000B5CCF">
        <w:t xml:space="preserve"> Indicators </w:t>
      </w:r>
      <w:r w:rsidR="00652219">
        <w:t xml:space="preserve">receives a score of </w:t>
      </w:r>
      <w:r w:rsidR="00652219" w:rsidRPr="00652219">
        <w:rPr>
          <w:b/>
        </w:rPr>
        <w:t>0</w:t>
      </w:r>
      <w:r w:rsidR="00652219">
        <w:t xml:space="preserve"> if the indicator meets state established criteria and </w:t>
      </w:r>
      <w:r w:rsidR="00652219" w:rsidRPr="00652219">
        <w:rPr>
          <w:b/>
        </w:rPr>
        <w:t>1</w:t>
      </w:r>
      <w:r w:rsidR="00652219">
        <w:t xml:space="preserve"> if the indicator fails to meet criteria.  When the sum total of all 8 indicators is </w:t>
      </w:r>
      <w:r w:rsidR="00652219" w:rsidRPr="00652219">
        <w:rPr>
          <w:b/>
        </w:rPr>
        <w:t>0</w:t>
      </w:r>
      <w:r w:rsidR="00652219">
        <w:t xml:space="preserve">, the </w:t>
      </w:r>
      <w:r w:rsidR="00652219" w:rsidRPr="00652219">
        <w:rPr>
          <w:i/>
        </w:rPr>
        <w:t>Cumulative Indicator Score</w:t>
      </w:r>
      <w:r w:rsidR="00652219">
        <w:t xml:space="preserve"> is </w:t>
      </w:r>
      <w:r w:rsidR="00652219" w:rsidRPr="00652219">
        <w:rPr>
          <w:b/>
        </w:rPr>
        <w:t>0</w:t>
      </w:r>
      <w:r w:rsidR="00652219">
        <w:t xml:space="preserve">.  If the sum total of all 8 indicators is </w:t>
      </w:r>
      <w:r w:rsidR="00652219" w:rsidRPr="00652219">
        <w:rPr>
          <w:b/>
        </w:rPr>
        <w:t>1</w:t>
      </w:r>
      <w:r w:rsidR="00652219">
        <w:t xml:space="preserve">, the </w:t>
      </w:r>
      <w:r w:rsidR="00652219" w:rsidRPr="00652219">
        <w:rPr>
          <w:i/>
        </w:rPr>
        <w:t>Cumulative Indicator Score</w:t>
      </w:r>
      <w:r w:rsidR="00652219">
        <w:t xml:space="preserve"> is </w:t>
      </w:r>
      <w:r w:rsidR="00652219" w:rsidRPr="00652219">
        <w:rPr>
          <w:b/>
        </w:rPr>
        <w:t>1</w:t>
      </w:r>
      <w:r w:rsidR="00652219">
        <w:t xml:space="preserve">.  When the sum total of all 8 indicators is </w:t>
      </w:r>
      <w:r w:rsidR="00652219" w:rsidRPr="00652219">
        <w:rPr>
          <w:b/>
        </w:rPr>
        <w:t>2, 3,</w:t>
      </w:r>
      <w:r w:rsidR="00652219">
        <w:t xml:space="preserve"> or </w:t>
      </w:r>
      <w:r w:rsidR="00652219" w:rsidRPr="00652219">
        <w:rPr>
          <w:b/>
        </w:rPr>
        <w:t>4</w:t>
      </w:r>
      <w:r w:rsidR="00652219">
        <w:t xml:space="preserve">, the </w:t>
      </w:r>
      <w:r w:rsidR="00652219" w:rsidRPr="00652219">
        <w:rPr>
          <w:i/>
        </w:rPr>
        <w:t>Cumulative Indicator Score</w:t>
      </w:r>
      <w:r w:rsidR="00652219">
        <w:t xml:space="preserve"> is </w:t>
      </w:r>
      <w:r w:rsidR="00652219" w:rsidRPr="00652219">
        <w:rPr>
          <w:b/>
        </w:rPr>
        <w:t>2</w:t>
      </w:r>
      <w:r w:rsidR="00652219">
        <w:t xml:space="preserve">.  When the sum total of all 8 indicators is greater than </w:t>
      </w:r>
      <w:r w:rsidR="00652219" w:rsidRPr="00652219">
        <w:rPr>
          <w:b/>
        </w:rPr>
        <w:t>4</w:t>
      </w:r>
      <w:r w:rsidR="00652219">
        <w:t xml:space="preserve">, the </w:t>
      </w:r>
      <w:r w:rsidR="00652219" w:rsidRPr="00652219">
        <w:rPr>
          <w:i/>
        </w:rPr>
        <w:t>Cumulative Indicator Score</w:t>
      </w:r>
      <w:r w:rsidR="00652219">
        <w:t xml:space="preserve"> is </w:t>
      </w:r>
      <w:r w:rsidR="00652219" w:rsidRPr="00652219">
        <w:rPr>
          <w:b/>
        </w:rPr>
        <w:t>3</w:t>
      </w:r>
      <w:r w:rsidR="00652219">
        <w:t>.</w:t>
      </w:r>
    </w:p>
    <w:p w:rsidR="000F1D3E" w:rsidRPr="000F1D3E" w:rsidRDefault="000F1D3E" w:rsidP="00C930E2">
      <w:pPr>
        <w:pStyle w:val="ListParagraph"/>
        <w:numPr>
          <w:ilvl w:val="0"/>
          <w:numId w:val="9"/>
        </w:numPr>
        <w:tabs>
          <w:tab w:val="left" w:pos="720"/>
        </w:tabs>
        <w:spacing w:after="0"/>
        <w:rPr>
          <w:b/>
        </w:rPr>
      </w:pPr>
      <w:r>
        <w:t>For</w:t>
      </w:r>
      <w:r w:rsidR="000B5CCF">
        <w:t xml:space="preserve"> the</w:t>
      </w:r>
      <w:r>
        <w:t xml:space="preserve"> </w:t>
      </w:r>
      <w:r w:rsidRPr="000F1D3E">
        <w:rPr>
          <w:b/>
          <w:i/>
        </w:rPr>
        <w:t>Waivers</w:t>
      </w:r>
      <w:r>
        <w:t xml:space="preserve">, </w:t>
      </w:r>
      <w:r w:rsidRPr="000F1D3E">
        <w:rPr>
          <w:b/>
          <w:i/>
        </w:rPr>
        <w:t>Hearings</w:t>
      </w:r>
      <w:r>
        <w:t xml:space="preserve">, and </w:t>
      </w:r>
      <w:r w:rsidRPr="000F1D3E">
        <w:rPr>
          <w:b/>
          <w:i/>
        </w:rPr>
        <w:t>Audits</w:t>
      </w:r>
      <w:r w:rsidR="000B5CCF">
        <w:rPr>
          <w:b/>
          <w:i/>
        </w:rPr>
        <w:t xml:space="preserve"> </w:t>
      </w:r>
      <w:r w:rsidR="000B5CCF">
        <w:t>categories</w:t>
      </w:r>
      <w:r>
        <w:t xml:space="preserve">, a district </w:t>
      </w:r>
      <w:r w:rsidR="000B5CCF">
        <w:t xml:space="preserve">will </w:t>
      </w:r>
      <w:r>
        <w:t xml:space="preserve">receive </w:t>
      </w:r>
      <w:r w:rsidR="00652219">
        <w:t xml:space="preserve">in each category </w:t>
      </w:r>
      <w:r>
        <w:t xml:space="preserve">a score of </w:t>
      </w:r>
      <w:r w:rsidR="000B5CCF" w:rsidRPr="000B5CCF">
        <w:rPr>
          <w:b/>
        </w:rPr>
        <w:t>0</w:t>
      </w:r>
      <w:r w:rsidR="000B5CCF">
        <w:t xml:space="preserve"> </w:t>
      </w:r>
      <w:r w:rsidR="00652219">
        <w:t xml:space="preserve">when state established criteria is met </w:t>
      </w:r>
      <w:r w:rsidR="000B5CCF">
        <w:t xml:space="preserve">or </w:t>
      </w:r>
      <w:r w:rsidRPr="000B5CCF">
        <w:rPr>
          <w:b/>
        </w:rPr>
        <w:t>1</w:t>
      </w:r>
      <w:r w:rsidR="00652219">
        <w:rPr>
          <w:b/>
        </w:rPr>
        <w:t xml:space="preserve"> </w:t>
      </w:r>
      <w:r w:rsidR="00652219" w:rsidRPr="00652219">
        <w:t>when th</w:t>
      </w:r>
      <w:r w:rsidR="00652219">
        <w:t>e criteria is not met</w:t>
      </w:r>
      <w:r w:rsidR="00C627A1">
        <w:t xml:space="preserve">.  The total combined possible score for these categories is </w:t>
      </w:r>
      <w:r w:rsidR="00C627A1" w:rsidRPr="00C627A1">
        <w:rPr>
          <w:b/>
        </w:rPr>
        <w:t>3</w:t>
      </w:r>
      <w:r w:rsidR="00C627A1">
        <w:t xml:space="preserve"> points on the </w:t>
      </w:r>
      <w:r w:rsidR="00C627A1" w:rsidRPr="00985FE6">
        <w:rPr>
          <w:i/>
        </w:rPr>
        <w:t>Determinations Scoring Rubric</w:t>
      </w:r>
      <w:r w:rsidR="00C627A1">
        <w:t>.</w:t>
      </w:r>
    </w:p>
    <w:p w:rsidR="00C930E2" w:rsidRDefault="00C930E2">
      <w:pPr>
        <w:rPr>
          <w:b/>
          <w:i/>
        </w:rPr>
      </w:pPr>
      <w:r>
        <w:rPr>
          <w:b/>
          <w:i/>
        </w:rPr>
        <w:br w:type="page"/>
      </w:r>
    </w:p>
    <w:p w:rsidR="000F1D3E" w:rsidRDefault="000F1D3E" w:rsidP="00C930E2">
      <w:pPr>
        <w:tabs>
          <w:tab w:val="left" w:pos="1440"/>
        </w:tabs>
        <w:spacing w:before="120" w:after="0"/>
      </w:pPr>
      <w:r w:rsidRPr="00C627A1">
        <w:rPr>
          <w:b/>
          <w:i/>
        </w:rPr>
        <w:lastRenderedPageBreak/>
        <w:t xml:space="preserve">Persistent Failure </w:t>
      </w:r>
      <w:r w:rsidR="00DC34DE" w:rsidRPr="00C627A1">
        <w:rPr>
          <w:b/>
          <w:i/>
        </w:rPr>
        <w:t>to Comply/</w:t>
      </w:r>
      <w:r w:rsidR="00966706" w:rsidRPr="00C627A1">
        <w:rPr>
          <w:b/>
          <w:i/>
        </w:rPr>
        <w:t xml:space="preserve">Not Able </w:t>
      </w:r>
      <w:r w:rsidRPr="00C627A1">
        <w:rPr>
          <w:b/>
          <w:i/>
        </w:rPr>
        <w:t>to Comply</w:t>
      </w:r>
      <w:r>
        <w:t xml:space="preserve"> </w:t>
      </w:r>
      <w:r w:rsidR="00966706" w:rsidRPr="00966706">
        <w:t>and</w:t>
      </w:r>
      <w:r w:rsidR="00966706" w:rsidRPr="00C627A1">
        <w:rPr>
          <w:b/>
          <w:i/>
        </w:rPr>
        <w:t xml:space="preserve"> On Site Monitoring Visit</w:t>
      </w:r>
      <w:r w:rsidR="00966706">
        <w:t xml:space="preserve"> </w:t>
      </w:r>
      <w:r w:rsidR="00987F73">
        <w:t xml:space="preserve">though included on the </w:t>
      </w:r>
      <w:r w:rsidR="00966706" w:rsidRPr="00985FE6">
        <w:rPr>
          <w:i/>
        </w:rPr>
        <w:t xml:space="preserve">Determinations </w:t>
      </w:r>
      <w:r w:rsidRPr="00985FE6">
        <w:rPr>
          <w:i/>
        </w:rPr>
        <w:t>Scoring Rubric</w:t>
      </w:r>
      <w:r w:rsidR="00987F73" w:rsidRPr="00987F73">
        <w:t xml:space="preserve"> </w:t>
      </w:r>
      <w:r w:rsidR="00987F73">
        <w:t xml:space="preserve">are independent of the </w:t>
      </w:r>
      <w:r w:rsidR="00EB1A1F">
        <w:t xml:space="preserve">rubric’s </w:t>
      </w:r>
      <w:r w:rsidR="00987F73">
        <w:t>scoring</w:t>
      </w:r>
      <w:r w:rsidR="00C627A1">
        <w:t xml:space="preserve"> matrix</w:t>
      </w:r>
      <w:r>
        <w:t xml:space="preserve">.  Districts </w:t>
      </w:r>
      <w:r w:rsidR="00987F73">
        <w:t xml:space="preserve">identified as </w:t>
      </w:r>
      <w:r w:rsidR="00966706" w:rsidRPr="00C627A1">
        <w:rPr>
          <w:b/>
          <w:i/>
        </w:rPr>
        <w:t>Persistent Failure to Comply</w:t>
      </w:r>
      <w:r w:rsidR="00987F73" w:rsidRPr="00C627A1">
        <w:rPr>
          <w:b/>
          <w:i/>
        </w:rPr>
        <w:t>/</w:t>
      </w:r>
      <w:r w:rsidR="00966706" w:rsidRPr="00C627A1">
        <w:rPr>
          <w:b/>
          <w:i/>
        </w:rPr>
        <w:t>Not Able to Comply</w:t>
      </w:r>
      <w:r>
        <w:t xml:space="preserve"> </w:t>
      </w:r>
      <w:r w:rsidR="00987F73">
        <w:t>receive a</w:t>
      </w:r>
      <w:r>
        <w:t xml:space="preserve"> Determination of </w:t>
      </w:r>
      <w:r w:rsidR="00985FE6">
        <w:rPr>
          <w:b/>
          <w:i/>
        </w:rPr>
        <w:t>NSI</w:t>
      </w:r>
      <w:r>
        <w:t xml:space="preserve"> regardless of their score on the </w:t>
      </w:r>
      <w:r w:rsidRPr="00C627A1">
        <w:rPr>
          <w:i/>
        </w:rPr>
        <w:t>Rubric</w:t>
      </w:r>
      <w:r w:rsidR="00DC34DE">
        <w:t xml:space="preserve">.  Districts with Findings of Non-Compliance resulting from an </w:t>
      </w:r>
      <w:r w:rsidR="00DC34DE" w:rsidRPr="00C627A1">
        <w:rPr>
          <w:b/>
          <w:i/>
        </w:rPr>
        <w:t>On Site Monitoring Visit</w:t>
      </w:r>
      <w:r w:rsidR="00DC34DE">
        <w:t xml:space="preserve"> </w:t>
      </w:r>
      <w:r w:rsidR="00C627A1">
        <w:t>can</w:t>
      </w:r>
      <w:r w:rsidR="00DC34DE">
        <w:t xml:space="preserve"> have a Determination of any level as determined by the </w:t>
      </w:r>
      <w:r w:rsidR="00652E65">
        <w:t>results of</w:t>
      </w:r>
      <w:r w:rsidR="00DC34DE">
        <w:t xml:space="preserve"> on-site monitoring team</w:t>
      </w:r>
      <w:r w:rsidR="00987F73">
        <w:t xml:space="preserve"> </w:t>
      </w:r>
      <w:r w:rsidR="00C627A1">
        <w:t>and</w:t>
      </w:r>
      <w:r w:rsidR="00652E65">
        <w:t xml:space="preserve"> described in </w:t>
      </w:r>
      <w:r w:rsidR="00C627A1" w:rsidRPr="00985FE6">
        <w:rPr>
          <w:b/>
        </w:rPr>
        <w:t>Table A:</w:t>
      </w:r>
      <w:r w:rsidR="00C627A1" w:rsidRPr="00C627A1">
        <w:rPr>
          <w:i/>
        </w:rPr>
        <w:t xml:space="preserve"> </w:t>
      </w:r>
      <w:r w:rsidR="00652E65" w:rsidRPr="00C627A1">
        <w:rPr>
          <w:i/>
        </w:rPr>
        <w:t>Determinations Scoring Guide</w:t>
      </w:r>
      <w:r w:rsidR="00652E65">
        <w:t xml:space="preserve"> contained in this document.</w:t>
      </w:r>
    </w:p>
    <w:p w:rsidR="00322848" w:rsidRDefault="0045421C" w:rsidP="00985FE6">
      <w:pPr>
        <w:tabs>
          <w:tab w:val="left" w:pos="1440"/>
        </w:tabs>
        <w:spacing w:before="120" w:after="0"/>
      </w:pPr>
      <w:r>
        <w:t xml:space="preserve">The total score a district can </w:t>
      </w:r>
      <w:r w:rsidR="00987F73">
        <w:t xml:space="preserve">receive on the </w:t>
      </w:r>
      <w:r w:rsidR="00987F73" w:rsidRPr="00985FE6">
        <w:rPr>
          <w:i/>
        </w:rPr>
        <w:t xml:space="preserve">Determinations Scoring </w:t>
      </w:r>
      <w:r w:rsidR="00985FE6" w:rsidRPr="00985FE6">
        <w:rPr>
          <w:i/>
        </w:rPr>
        <w:t>Rubric</w:t>
      </w:r>
      <w:r w:rsidR="00987F73">
        <w:t xml:space="preserve"> for </w:t>
      </w:r>
      <w:r w:rsidR="00987F73" w:rsidRPr="00652E65">
        <w:rPr>
          <w:b/>
          <w:i/>
        </w:rPr>
        <w:t>Indicators, Waivers, Hearings and Audits</w:t>
      </w:r>
      <w:r>
        <w:t xml:space="preserve"> </w:t>
      </w:r>
      <w:r w:rsidR="00DC34DE">
        <w:t>range from</w:t>
      </w:r>
      <w:r w:rsidR="00987F73">
        <w:t xml:space="preserve"> a minimum of</w:t>
      </w:r>
      <w:r>
        <w:t xml:space="preserve"> </w:t>
      </w:r>
      <w:r w:rsidRPr="00DE6AE8">
        <w:rPr>
          <w:b/>
        </w:rPr>
        <w:t>0</w:t>
      </w:r>
      <w:r>
        <w:t xml:space="preserve"> </w:t>
      </w:r>
      <w:r w:rsidR="00987F73">
        <w:t>to a maximum of</w:t>
      </w:r>
      <w:r>
        <w:t xml:space="preserve"> </w:t>
      </w:r>
      <w:r>
        <w:rPr>
          <w:b/>
        </w:rPr>
        <w:t>6</w:t>
      </w:r>
      <w:r w:rsidR="00DC34DE">
        <w:rPr>
          <w:b/>
        </w:rPr>
        <w:t xml:space="preserve"> </w:t>
      </w:r>
      <w:r w:rsidR="00DC34DE">
        <w:t>points</w:t>
      </w:r>
      <w:r>
        <w:rPr>
          <w:b/>
        </w:rPr>
        <w:t xml:space="preserve">.  </w:t>
      </w:r>
      <w:r w:rsidR="00652E65">
        <w:t xml:space="preserve">A </w:t>
      </w:r>
      <w:r w:rsidR="00985FE6" w:rsidRPr="00985FE6">
        <w:rPr>
          <w:i/>
        </w:rPr>
        <w:t>C</w:t>
      </w:r>
      <w:r w:rsidR="00652E65" w:rsidRPr="00985FE6">
        <w:rPr>
          <w:i/>
        </w:rPr>
        <w:t xml:space="preserve">umulative </w:t>
      </w:r>
      <w:r w:rsidR="00985FE6" w:rsidRPr="00985FE6">
        <w:rPr>
          <w:i/>
        </w:rPr>
        <w:t>Indicator S</w:t>
      </w:r>
      <w:r w:rsidR="00652E65" w:rsidRPr="00985FE6">
        <w:rPr>
          <w:i/>
        </w:rPr>
        <w:t>core</w:t>
      </w:r>
      <w:r w:rsidR="00652E65">
        <w:t xml:space="preserve"> of </w:t>
      </w:r>
      <w:r w:rsidR="00652E65" w:rsidRPr="00C627A1">
        <w:rPr>
          <w:b/>
        </w:rPr>
        <w:t>2 or more</w:t>
      </w:r>
      <w:r w:rsidR="00652E65">
        <w:t xml:space="preserve"> across these categories means the district will have a Determination of something other than </w:t>
      </w:r>
      <w:r w:rsidR="00652E65" w:rsidRPr="00652E65">
        <w:rPr>
          <w:b/>
          <w:i/>
        </w:rPr>
        <w:t>MEETS</w:t>
      </w:r>
      <w:r w:rsidR="00652E65">
        <w:t>.</w:t>
      </w:r>
    </w:p>
    <w:p w:rsidR="00BD15D3" w:rsidRDefault="00A8231D" w:rsidP="00985FE6">
      <w:pPr>
        <w:tabs>
          <w:tab w:val="left" w:pos="1440"/>
        </w:tabs>
        <w:spacing w:before="120" w:after="0"/>
      </w:pPr>
      <w:r>
        <w:t xml:space="preserve">Because the </w:t>
      </w:r>
      <w:r w:rsidR="008E5B70" w:rsidRPr="00196BD6">
        <w:rPr>
          <w:b/>
          <w:i/>
        </w:rPr>
        <w:t>Indicators</w:t>
      </w:r>
      <w:r w:rsidR="008E5B70">
        <w:t xml:space="preserve"> </w:t>
      </w:r>
      <w:r>
        <w:t xml:space="preserve">category covers a broader </w:t>
      </w:r>
      <w:r w:rsidR="008E5B70">
        <w:t>range of program issues</w:t>
      </w:r>
      <w:r w:rsidR="009D7211">
        <w:t xml:space="preserve"> </w:t>
      </w:r>
      <w:r w:rsidR="008E5B70">
        <w:t>this area is weighted to allow</w:t>
      </w:r>
      <w:r>
        <w:t xml:space="preserve"> </w:t>
      </w:r>
      <w:r w:rsidR="008E5B70">
        <w:t xml:space="preserve">a </w:t>
      </w:r>
      <w:r>
        <w:t>score</w:t>
      </w:r>
      <w:r w:rsidR="008E5B70">
        <w:t xml:space="preserve"> of up to</w:t>
      </w:r>
      <w:r>
        <w:t xml:space="preserve"> 3 points </w:t>
      </w:r>
      <w:r w:rsidR="009D7211">
        <w:t xml:space="preserve">on the </w:t>
      </w:r>
      <w:r w:rsidR="00BF5F76" w:rsidRPr="00BF5F76">
        <w:rPr>
          <w:i/>
        </w:rPr>
        <w:t xml:space="preserve">Determinations </w:t>
      </w:r>
      <w:r w:rsidR="00DE6AE8">
        <w:rPr>
          <w:i/>
        </w:rPr>
        <w:t>S</w:t>
      </w:r>
      <w:r w:rsidR="00DE6AE8" w:rsidRPr="0030389A">
        <w:rPr>
          <w:i/>
        </w:rPr>
        <w:t>coring</w:t>
      </w:r>
      <w:r w:rsidR="006E0F01">
        <w:rPr>
          <w:i/>
        </w:rPr>
        <w:t xml:space="preserve"> Rubric as noted above</w:t>
      </w:r>
      <w:r w:rsidR="009D7211">
        <w:t xml:space="preserve">.  </w:t>
      </w:r>
      <w:r>
        <w:t>When</w:t>
      </w:r>
      <w:r w:rsidR="00895604">
        <w:t xml:space="preserve"> a district fails to meet the state established </w:t>
      </w:r>
      <w:r>
        <w:t>target</w:t>
      </w:r>
      <w:r w:rsidR="00895604">
        <w:t xml:space="preserve"> for any single indicator, a score of 1 is reported</w:t>
      </w:r>
      <w:r w:rsidR="00196BD6">
        <w:t xml:space="preserve"> </w:t>
      </w:r>
      <w:r w:rsidR="006E0F01">
        <w:t xml:space="preserve">on the </w:t>
      </w:r>
      <w:r w:rsidR="006E0F01">
        <w:rPr>
          <w:i/>
        </w:rPr>
        <w:t>S</w:t>
      </w:r>
      <w:r w:rsidR="006E0F01" w:rsidRPr="0030389A">
        <w:rPr>
          <w:i/>
        </w:rPr>
        <w:t>coring</w:t>
      </w:r>
      <w:r w:rsidR="006E0F01">
        <w:rPr>
          <w:i/>
        </w:rPr>
        <w:t xml:space="preserve"> Rubric </w:t>
      </w:r>
      <w:r w:rsidR="006E0F01">
        <w:t>for</w:t>
      </w:r>
      <w:r w:rsidR="00196BD6">
        <w:t xml:space="preserve"> </w:t>
      </w:r>
      <w:r w:rsidR="009D7211">
        <w:t>I</w:t>
      </w:r>
      <w:r w:rsidR="00196BD6">
        <w:t>ndicators</w:t>
      </w:r>
      <w:r w:rsidR="00895604">
        <w:t xml:space="preserve">.  </w:t>
      </w:r>
      <w:r w:rsidR="009D7211">
        <w:t xml:space="preserve">When </w:t>
      </w:r>
      <w:r w:rsidR="006E0F01">
        <w:t xml:space="preserve">a district fails to meet established targets on </w:t>
      </w:r>
      <w:r w:rsidR="00895604">
        <w:t xml:space="preserve">2 </w:t>
      </w:r>
      <w:r>
        <w:t>to 4</w:t>
      </w:r>
      <w:r w:rsidR="00895604">
        <w:t xml:space="preserve"> </w:t>
      </w:r>
      <w:r w:rsidR="00BD15D3">
        <w:t>of the indicators</w:t>
      </w:r>
      <w:r w:rsidR="009D7211">
        <w:t xml:space="preserve">, a </w:t>
      </w:r>
      <w:r w:rsidR="00895604">
        <w:t>score</w:t>
      </w:r>
      <w:r w:rsidR="009D7211">
        <w:t xml:space="preserve"> of</w:t>
      </w:r>
      <w:r w:rsidR="00895604">
        <w:t xml:space="preserve"> </w:t>
      </w:r>
      <w:r w:rsidR="00196BD6">
        <w:t xml:space="preserve">2 </w:t>
      </w:r>
      <w:r w:rsidR="006E0F01">
        <w:t>is entered, while</w:t>
      </w:r>
      <w:r w:rsidR="009D7211">
        <w:t xml:space="preserve"> </w:t>
      </w:r>
      <w:r w:rsidR="006E0F01">
        <w:t>a district failing to meet established targets on m</w:t>
      </w:r>
      <w:r>
        <w:t>ore than 4 Indicators</w:t>
      </w:r>
      <w:r w:rsidR="006E0F01">
        <w:t xml:space="preserve"> </w:t>
      </w:r>
      <w:r w:rsidR="003A1734">
        <w:t xml:space="preserve">receives </w:t>
      </w:r>
      <w:r w:rsidR="006E0F01">
        <w:t>a score of</w:t>
      </w:r>
      <w:r>
        <w:t xml:space="preserve"> </w:t>
      </w:r>
      <w:r w:rsidR="00196BD6">
        <w:t xml:space="preserve">3 </w:t>
      </w:r>
      <w:r w:rsidR="006E0F01">
        <w:t xml:space="preserve">on the </w:t>
      </w:r>
      <w:r w:rsidR="006E0F01">
        <w:rPr>
          <w:i/>
        </w:rPr>
        <w:t>S</w:t>
      </w:r>
      <w:r w:rsidR="006E0F01" w:rsidRPr="0030389A">
        <w:rPr>
          <w:i/>
        </w:rPr>
        <w:t>coring</w:t>
      </w:r>
      <w:r w:rsidR="006E0F01">
        <w:rPr>
          <w:i/>
        </w:rPr>
        <w:t xml:space="preserve"> Rubric</w:t>
      </w:r>
      <w:r w:rsidR="009D7211">
        <w:t xml:space="preserve">.  </w:t>
      </w:r>
      <w:r w:rsidR="006E0F01">
        <w:t xml:space="preserve">A </w:t>
      </w:r>
      <w:r w:rsidR="00202086">
        <w:t>score of</w:t>
      </w:r>
      <w:r w:rsidR="006E0F01">
        <w:t xml:space="preserve"> 2 or more on the </w:t>
      </w:r>
      <w:r w:rsidR="00202086" w:rsidRPr="00202086">
        <w:rPr>
          <w:i/>
        </w:rPr>
        <w:t xml:space="preserve">Determinations </w:t>
      </w:r>
      <w:r w:rsidR="006E0F01">
        <w:rPr>
          <w:i/>
        </w:rPr>
        <w:t>S</w:t>
      </w:r>
      <w:r w:rsidR="006E0F01" w:rsidRPr="0030389A">
        <w:rPr>
          <w:i/>
        </w:rPr>
        <w:t>coring</w:t>
      </w:r>
      <w:r w:rsidR="006E0F01">
        <w:rPr>
          <w:i/>
        </w:rPr>
        <w:t xml:space="preserve"> Rubric </w:t>
      </w:r>
      <w:r w:rsidR="006E0F01">
        <w:t xml:space="preserve">fails to meet program requirements and will </w:t>
      </w:r>
      <w:r w:rsidR="00202086">
        <w:t xml:space="preserve">result in </w:t>
      </w:r>
      <w:r w:rsidR="006E0F01">
        <w:t xml:space="preserve">a determination of </w:t>
      </w:r>
      <w:r w:rsidR="009D7211" w:rsidRPr="009D7211">
        <w:rPr>
          <w:b/>
          <w:i/>
        </w:rPr>
        <w:t>Needs Assistance</w:t>
      </w:r>
      <w:r w:rsidR="00DE6AE8">
        <w:rPr>
          <w:b/>
          <w:i/>
        </w:rPr>
        <w:t xml:space="preserve"> (NA</w:t>
      </w:r>
      <w:r w:rsidR="00202086">
        <w:rPr>
          <w:b/>
          <w:i/>
        </w:rPr>
        <w:t>1/NA2</w:t>
      </w:r>
      <w:r w:rsidR="00DE6AE8">
        <w:rPr>
          <w:b/>
          <w:i/>
        </w:rPr>
        <w:t>)</w:t>
      </w:r>
      <w:r w:rsidR="006E0F01">
        <w:rPr>
          <w:b/>
          <w:i/>
        </w:rPr>
        <w:t>, Needs Intervention (NI</w:t>
      </w:r>
      <w:r w:rsidR="00202086">
        <w:rPr>
          <w:b/>
          <w:i/>
        </w:rPr>
        <w:t>1/NI2/NI3</w:t>
      </w:r>
      <w:r w:rsidR="006E0F01">
        <w:rPr>
          <w:b/>
          <w:i/>
        </w:rPr>
        <w:t>) or Needs Substantial Intervention (NSI)</w:t>
      </w:r>
      <w:r w:rsidR="006E0F01">
        <w:t xml:space="preserve"> depending on the number of years the district </w:t>
      </w:r>
      <w:r w:rsidR="003A1734">
        <w:t>has failed to meet requi</w:t>
      </w:r>
      <w:r w:rsidR="006E0F01">
        <w:t>rements</w:t>
      </w:r>
      <w:r w:rsidR="009D7211">
        <w:t>.</w:t>
      </w:r>
    </w:p>
    <w:p w:rsidR="00AA12CC" w:rsidRPr="00202086" w:rsidRDefault="00202086" w:rsidP="000075C3">
      <w:pPr>
        <w:tabs>
          <w:tab w:val="left" w:pos="1440"/>
        </w:tabs>
        <w:spacing w:before="120" w:after="0"/>
        <w:rPr>
          <w:b/>
          <w:i/>
        </w:rPr>
      </w:pPr>
      <w:r w:rsidRPr="00202086">
        <w:rPr>
          <w:b/>
          <w:i/>
        </w:rPr>
        <w:t>Note</w:t>
      </w:r>
      <w:r w:rsidRPr="00202086">
        <w:rPr>
          <w:i/>
        </w:rPr>
        <w:t xml:space="preserve">:  </w:t>
      </w:r>
      <w:r w:rsidR="004C7438" w:rsidRPr="00202086">
        <w:rPr>
          <w:i/>
        </w:rPr>
        <w:t>Indicator 15 is</w:t>
      </w:r>
      <w:r w:rsidR="00196BD6" w:rsidRPr="00202086">
        <w:rPr>
          <w:i/>
        </w:rPr>
        <w:t xml:space="preserve"> weighted </w:t>
      </w:r>
      <w:r w:rsidRPr="00202086">
        <w:rPr>
          <w:i/>
        </w:rPr>
        <w:t>two times the value</w:t>
      </w:r>
      <w:r w:rsidR="00196BD6" w:rsidRPr="00202086">
        <w:rPr>
          <w:i/>
        </w:rPr>
        <w:t xml:space="preserve"> of other indicators.  This means </w:t>
      </w:r>
      <w:r w:rsidR="003A1734" w:rsidRPr="00202086">
        <w:rPr>
          <w:i/>
        </w:rPr>
        <w:t xml:space="preserve">when a district fails to meet the established criteria for </w:t>
      </w:r>
      <w:r w:rsidRPr="00202086">
        <w:rPr>
          <w:i/>
        </w:rPr>
        <w:t>I</w:t>
      </w:r>
      <w:r w:rsidR="003A1734" w:rsidRPr="00202086">
        <w:rPr>
          <w:i/>
        </w:rPr>
        <w:t xml:space="preserve">ndicator </w:t>
      </w:r>
      <w:r w:rsidRPr="00202086">
        <w:rPr>
          <w:i/>
        </w:rPr>
        <w:t>15 the district will score at least 2 on the Determinations</w:t>
      </w:r>
      <w:r w:rsidR="003A1734" w:rsidRPr="00202086">
        <w:rPr>
          <w:i/>
        </w:rPr>
        <w:t xml:space="preserve"> Scoring Rubric</w:t>
      </w:r>
      <w:r w:rsidRPr="00202086">
        <w:rPr>
          <w:i/>
        </w:rPr>
        <w:t xml:space="preserve"> and as a result will fail to meet special education program requirements</w:t>
      </w:r>
      <w:r w:rsidR="003C0F9C" w:rsidRPr="00202086">
        <w:rPr>
          <w:i/>
        </w:rPr>
        <w:t xml:space="preserve"> </w:t>
      </w:r>
      <w:r w:rsidR="003C0F9C" w:rsidRPr="00C930E2">
        <w:t>(</w:t>
      </w:r>
      <w:r w:rsidR="003C0F9C" w:rsidRPr="00202086">
        <w:rPr>
          <w:i/>
        </w:rPr>
        <w:t xml:space="preserve">See </w:t>
      </w:r>
      <w:r w:rsidR="000075C3" w:rsidRPr="009A12B2">
        <w:rPr>
          <w:b/>
        </w:rPr>
        <w:t>Table A:</w:t>
      </w:r>
      <w:r w:rsidR="000075C3">
        <w:t xml:space="preserve">  </w:t>
      </w:r>
      <w:r w:rsidR="000075C3" w:rsidRPr="009A12B2">
        <w:rPr>
          <w:i/>
        </w:rPr>
        <w:t>Determination</w:t>
      </w:r>
      <w:r w:rsidR="000075C3">
        <w:rPr>
          <w:i/>
        </w:rPr>
        <w:t>s</w:t>
      </w:r>
      <w:r w:rsidR="000075C3" w:rsidRPr="009A12B2">
        <w:rPr>
          <w:i/>
        </w:rPr>
        <w:t xml:space="preserve"> Scoring Guide</w:t>
      </w:r>
      <w:r w:rsidR="00C930E2">
        <w:rPr>
          <w:i/>
        </w:rPr>
        <w:t xml:space="preserve"> </w:t>
      </w:r>
      <w:r w:rsidR="00C930E2" w:rsidRPr="00C930E2">
        <w:t>on the following page</w:t>
      </w:r>
      <w:r w:rsidR="003C0F9C" w:rsidRPr="00C930E2">
        <w:t>)</w:t>
      </w:r>
      <w:r w:rsidR="000075C3" w:rsidRPr="00C930E2">
        <w:t>.</w:t>
      </w:r>
    </w:p>
    <w:p w:rsidR="00C930E2" w:rsidRDefault="00C930E2">
      <w:pPr>
        <w:rPr>
          <w:b/>
        </w:rPr>
      </w:pPr>
      <w:r>
        <w:rPr>
          <w:b/>
        </w:rPr>
        <w:br w:type="page"/>
      </w:r>
    </w:p>
    <w:p w:rsidR="005F7066" w:rsidRPr="00AA12CC" w:rsidRDefault="009A12B2" w:rsidP="00985FE6">
      <w:pPr>
        <w:tabs>
          <w:tab w:val="left" w:pos="1440"/>
        </w:tabs>
        <w:spacing w:before="120" w:after="120"/>
        <w:rPr>
          <w:b/>
        </w:rPr>
      </w:pPr>
      <w:r w:rsidRPr="009A12B2">
        <w:rPr>
          <w:b/>
        </w:rPr>
        <w:lastRenderedPageBreak/>
        <w:t>Table A:</w:t>
      </w:r>
      <w:r>
        <w:t xml:space="preserve">  </w:t>
      </w:r>
      <w:r w:rsidRPr="009A12B2">
        <w:rPr>
          <w:i/>
        </w:rPr>
        <w:t>Determination</w:t>
      </w:r>
      <w:r w:rsidR="00202086">
        <w:rPr>
          <w:i/>
        </w:rPr>
        <w:t>s</w:t>
      </w:r>
      <w:r w:rsidRPr="009A12B2">
        <w:rPr>
          <w:i/>
        </w:rPr>
        <w:t xml:space="preserve"> Scoring Guide</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2430"/>
        <w:gridCol w:w="990"/>
        <w:gridCol w:w="5760"/>
      </w:tblGrid>
      <w:tr w:rsidR="00895604" w:rsidRPr="00895604" w:rsidTr="000E4063">
        <w:trPr>
          <w:trHeight w:val="144"/>
          <w:jc w:val="center"/>
        </w:trPr>
        <w:tc>
          <w:tcPr>
            <w:tcW w:w="2430" w:type="dxa"/>
            <w:tcBorders>
              <w:top w:val="single" w:sz="12" w:space="0" w:color="000000" w:themeColor="text1"/>
              <w:bottom w:val="single" w:sz="12" w:space="0" w:color="000000" w:themeColor="text1"/>
              <w:right w:val="single" w:sz="12" w:space="0" w:color="000000" w:themeColor="text1"/>
            </w:tcBorders>
          </w:tcPr>
          <w:p w:rsidR="00895604" w:rsidRPr="00794820" w:rsidRDefault="00BA1C1B" w:rsidP="00794820">
            <w:pPr>
              <w:tabs>
                <w:tab w:val="left" w:pos="1440"/>
              </w:tabs>
              <w:jc w:val="center"/>
              <w:rPr>
                <w:b/>
                <w:sz w:val="28"/>
                <w:szCs w:val="28"/>
              </w:rPr>
            </w:pPr>
            <w:r>
              <w:rPr>
                <w:b/>
                <w:sz w:val="28"/>
                <w:szCs w:val="28"/>
              </w:rPr>
              <w:t xml:space="preserve">Score from the </w:t>
            </w:r>
            <w:r w:rsidR="007A066B">
              <w:rPr>
                <w:b/>
                <w:sz w:val="28"/>
                <w:szCs w:val="28"/>
              </w:rPr>
              <w:t xml:space="preserve">Determination </w:t>
            </w:r>
            <w:r>
              <w:rPr>
                <w:b/>
                <w:sz w:val="28"/>
                <w:szCs w:val="28"/>
              </w:rPr>
              <w:t>Scoring Rubric</w:t>
            </w:r>
          </w:p>
        </w:tc>
        <w:tc>
          <w:tcPr>
            <w:tcW w:w="6750" w:type="dxa"/>
            <w:gridSpan w:val="2"/>
            <w:tcBorders>
              <w:top w:val="single" w:sz="12" w:space="0" w:color="000000" w:themeColor="text1"/>
              <w:left w:val="single" w:sz="12" w:space="0" w:color="000000" w:themeColor="text1"/>
              <w:bottom w:val="single" w:sz="12" w:space="0" w:color="000000" w:themeColor="text1"/>
            </w:tcBorders>
            <w:vAlign w:val="center"/>
          </w:tcPr>
          <w:p w:rsidR="00895604" w:rsidRPr="00794820" w:rsidRDefault="00895604" w:rsidP="000E4063">
            <w:pPr>
              <w:tabs>
                <w:tab w:val="left" w:pos="1440"/>
              </w:tabs>
              <w:jc w:val="center"/>
              <w:rPr>
                <w:b/>
                <w:sz w:val="28"/>
                <w:szCs w:val="28"/>
              </w:rPr>
            </w:pPr>
            <w:r w:rsidRPr="00794820">
              <w:rPr>
                <w:b/>
                <w:sz w:val="28"/>
                <w:szCs w:val="28"/>
              </w:rPr>
              <w:t>Determination</w:t>
            </w:r>
          </w:p>
        </w:tc>
      </w:tr>
      <w:tr w:rsidR="00895604" w:rsidTr="00C627A1">
        <w:trPr>
          <w:cantSplit/>
          <w:trHeight w:val="259"/>
          <w:jc w:val="center"/>
        </w:trPr>
        <w:tc>
          <w:tcPr>
            <w:tcW w:w="2430" w:type="dxa"/>
            <w:tcBorders>
              <w:top w:val="single" w:sz="12" w:space="0" w:color="000000" w:themeColor="text1"/>
              <w:bottom w:val="single" w:sz="12" w:space="0" w:color="000000" w:themeColor="text1"/>
              <w:right w:val="single" w:sz="12" w:space="0" w:color="000000" w:themeColor="text1"/>
            </w:tcBorders>
          </w:tcPr>
          <w:p w:rsidR="00895604" w:rsidRDefault="00895604" w:rsidP="005161F9">
            <w:pPr>
              <w:tabs>
                <w:tab w:val="left" w:pos="1440"/>
              </w:tabs>
              <w:jc w:val="center"/>
            </w:pPr>
            <w:r>
              <w:t>0</w:t>
            </w:r>
            <w:r w:rsidR="00A44D19">
              <w:t>-1</w:t>
            </w:r>
          </w:p>
        </w:tc>
        <w:tc>
          <w:tcPr>
            <w:tcW w:w="6750" w:type="dxa"/>
            <w:gridSpan w:val="2"/>
            <w:tcBorders>
              <w:top w:val="single" w:sz="12" w:space="0" w:color="000000" w:themeColor="text1"/>
              <w:left w:val="single" w:sz="12" w:space="0" w:color="000000" w:themeColor="text1"/>
              <w:bottom w:val="single" w:sz="12" w:space="0" w:color="000000" w:themeColor="text1"/>
            </w:tcBorders>
          </w:tcPr>
          <w:p w:rsidR="00895604" w:rsidRPr="00794820" w:rsidRDefault="00895604" w:rsidP="005729B7">
            <w:pPr>
              <w:tabs>
                <w:tab w:val="left" w:pos="1440"/>
              </w:tabs>
              <w:rPr>
                <w:b/>
              </w:rPr>
            </w:pPr>
            <w:r w:rsidRPr="000C5069">
              <w:rPr>
                <w:b/>
                <w:i/>
              </w:rPr>
              <w:t>Meets Requirements</w:t>
            </w:r>
            <w:r w:rsidR="00F35C78">
              <w:rPr>
                <w:b/>
              </w:rPr>
              <w:t xml:space="preserve"> </w:t>
            </w:r>
            <w:r w:rsidR="00F35C78" w:rsidRPr="00F35C78">
              <w:rPr>
                <w:b/>
                <w:i/>
              </w:rPr>
              <w:t>(MEETS)</w:t>
            </w:r>
          </w:p>
        </w:tc>
      </w:tr>
      <w:tr w:rsidR="00D814F7" w:rsidTr="00C627A1">
        <w:trPr>
          <w:cantSplit/>
          <w:trHeight w:val="259"/>
          <w:jc w:val="center"/>
        </w:trPr>
        <w:tc>
          <w:tcPr>
            <w:tcW w:w="2430" w:type="dxa"/>
            <w:vMerge w:val="restart"/>
            <w:tcBorders>
              <w:top w:val="single" w:sz="12" w:space="0" w:color="000000" w:themeColor="text1"/>
              <w:bottom w:val="thinThickThinSmallGap" w:sz="24" w:space="0" w:color="auto"/>
              <w:right w:val="single" w:sz="12" w:space="0" w:color="000000" w:themeColor="text1"/>
            </w:tcBorders>
          </w:tcPr>
          <w:p w:rsidR="00D814F7" w:rsidRDefault="00D814F7" w:rsidP="00E408DE">
            <w:pPr>
              <w:tabs>
                <w:tab w:val="left" w:pos="1440"/>
              </w:tabs>
              <w:jc w:val="center"/>
            </w:pPr>
            <w:r>
              <w:t xml:space="preserve">2 through </w:t>
            </w:r>
            <w:r w:rsidR="00E408DE">
              <w:t>6</w:t>
            </w:r>
          </w:p>
        </w:tc>
        <w:tc>
          <w:tcPr>
            <w:tcW w:w="6750" w:type="dxa"/>
            <w:gridSpan w:val="2"/>
            <w:tcBorders>
              <w:top w:val="single" w:sz="12" w:space="0" w:color="000000" w:themeColor="text1"/>
              <w:left w:val="single" w:sz="12" w:space="0" w:color="000000" w:themeColor="text1"/>
              <w:bottom w:val="single" w:sz="6" w:space="0" w:color="000000" w:themeColor="text1"/>
            </w:tcBorders>
          </w:tcPr>
          <w:p w:rsidR="00D814F7" w:rsidRPr="00384387" w:rsidRDefault="00D814F7" w:rsidP="00384387">
            <w:pPr>
              <w:tabs>
                <w:tab w:val="left" w:pos="1440"/>
              </w:tabs>
              <w:rPr>
                <w:b/>
                <w:i/>
              </w:rPr>
            </w:pPr>
            <w:r w:rsidRPr="00384387">
              <w:rPr>
                <w:b/>
                <w:i/>
              </w:rPr>
              <w:t>Needs Assistance</w:t>
            </w:r>
            <w:r>
              <w:rPr>
                <w:b/>
                <w:i/>
              </w:rPr>
              <w:t xml:space="preserve"> (NA)</w:t>
            </w:r>
          </w:p>
        </w:tc>
      </w:tr>
      <w:tr w:rsidR="00D814F7"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D814F7" w:rsidRDefault="00D814F7" w:rsidP="005161F9">
            <w:pPr>
              <w:tabs>
                <w:tab w:val="left" w:pos="1440"/>
              </w:tabs>
              <w:jc w:val="center"/>
            </w:pPr>
          </w:p>
        </w:tc>
        <w:tc>
          <w:tcPr>
            <w:tcW w:w="990" w:type="dxa"/>
            <w:tcBorders>
              <w:top w:val="single" w:sz="6" w:space="0" w:color="000000" w:themeColor="text1"/>
              <w:left w:val="single" w:sz="12" w:space="0" w:color="000000" w:themeColor="text1"/>
              <w:bottom w:val="single" w:sz="6" w:space="0" w:color="000000" w:themeColor="text1"/>
            </w:tcBorders>
          </w:tcPr>
          <w:p w:rsidR="00D814F7" w:rsidRPr="005161F9" w:rsidRDefault="00D814F7" w:rsidP="00384387">
            <w:pPr>
              <w:pStyle w:val="ListParagraph"/>
              <w:tabs>
                <w:tab w:val="left" w:pos="1440"/>
                <w:tab w:val="left" w:pos="5555"/>
              </w:tabs>
              <w:ind w:left="-25"/>
              <w:jc w:val="center"/>
            </w:pPr>
            <w:r w:rsidRPr="005161F9">
              <w:rPr>
                <w:b/>
              </w:rPr>
              <w:t>NA1</w:t>
            </w:r>
          </w:p>
        </w:tc>
        <w:tc>
          <w:tcPr>
            <w:tcW w:w="5760" w:type="dxa"/>
            <w:tcBorders>
              <w:top w:val="single" w:sz="6" w:space="0" w:color="000000" w:themeColor="text1"/>
              <w:bottom w:val="single" w:sz="6" w:space="0" w:color="000000" w:themeColor="text1"/>
            </w:tcBorders>
          </w:tcPr>
          <w:p w:rsidR="00D814F7" w:rsidRDefault="00D814F7" w:rsidP="00885C75">
            <w:pPr>
              <w:pStyle w:val="ListParagraph"/>
              <w:numPr>
                <w:ilvl w:val="0"/>
                <w:numId w:val="5"/>
              </w:numPr>
              <w:tabs>
                <w:tab w:val="left" w:pos="1440"/>
                <w:tab w:val="left" w:pos="5555"/>
              </w:tabs>
              <w:ind w:left="425"/>
            </w:pPr>
            <w:r>
              <w:t>First year in Needs Assistance.</w:t>
            </w:r>
          </w:p>
        </w:tc>
      </w:tr>
      <w:tr w:rsidR="00D814F7"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D814F7" w:rsidRDefault="00D814F7" w:rsidP="005161F9">
            <w:pPr>
              <w:tabs>
                <w:tab w:val="left" w:pos="1440"/>
              </w:tabs>
              <w:jc w:val="center"/>
            </w:pPr>
          </w:p>
        </w:tc>
        <w:tc>
          <w:tcPr>
            <w:tcW w:w="990" w:type="dxa"/>
            <w:tcBorders>
              <w:top w:val="single" w:sz="6" w:space="0" w:color="000000" w:themeColor="text1"/>
              <w:left w:val="single" w:sz="12" w:space="0" w:color="000000" w:themeColor="text1"/>
              <w:bottom w:val="single" w:sz="6" w:space="0" w:color="000000" w:themeColor="text1"/>
            </w:tcBorders>
          </w:tcPr>
          <w:p w:rsidR="00D814F7" w:rsidRPr="005161F9" w:rsidRDefault="00D814F7" w:rsidP="00384387">
            <w:pPr>
              <w:pStyle w:val="ListParagraph"/>
              <w:tabs>
                <w:tab w:val="left" w:pos="1440"/>
                <w:tab w:val="left" w:pos="5555"/>
              </w:tabs>
              <w:ind w:left="-25"/>
              <w:jc w:val="center"/>
            </w:pPr>
            <w:r w:rsidRPr="005161F9">
              <w:rPr>
                <w:b/>
              </w:rPr>
              <w:t>NA</w:t>
            </w:r>
            <w:r>
              <w:rPr>
                <w:b/>
              </w:rPr>
              <w:t>2</w:t>
            </w:r>
          </w:p>
        </w:tc>
        <w:tc>
          <w:tcPr>
            <w:tcW w:w="5760" w:type="dxa"/>
            <w:tcBorders>
              <w:top w:val="single" w:sz="6" w:space="0" w:color="000000" w:themeColor="text1"/>
              <w:bottom w:val="single" w:sz="6" w:space="0" w:color="000000" w:themeColor="text1"/>
            </w:tcBorders>
          </w:tcPr>
          <w:p w:rsidR="00D814F7" w:rsidRDefault="00D814F7" w:rsidP="00885C75">
            <w:pPr>
              <w:pStyle w:val="ListParagraph"/>
              <w:numPr>
                <w:ilvl w:val="0"/>
                <w:numId w:val="5"/>
              </w:numPr>
              <w:tabs>
                <w:tab w:val="left" w:pos="1440"/>
                <w:tab w:val="left" w:pos="5555"/>
              </w:tabs>
              <w:ind w:left="425"/>
            </w:pPr>
            <w:r>
              <w:t>Second consecutive year of Needs Assistance.</w:t>
            </w:r>
          </w:p>
        </w:tc>
      </w:tr>
      <w:tr w:rsidR="00D814F7"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D814F7" w:rsidRDefault="00D814F7" w:rsidP="005161F9">
            <w:pPr>
              <w:tabs>
                <w:tab w:val="left" w:pos="1440"/>
              </w:tabs>
              <w:jc w:val="center"/>
            </w:pPr>
          </w:p>
        </w:tc>
        <w:tc>
          <w:tcPr>
            <w:tcW w:w="6750" w:type="dxa"/>
            <w:gridSpan w:val="2"/>
            <w:tcBorders>
              <w:top w:val="single" w:sz="12" w:space="0" w:color="000000" w:themeColor="text1"/>
              <w:left w:val="single" w:sz="12" w:space="0" w:color="000000" w:themeColor="text1"/>
              <w:bottom w:val="single" w:sz="6" w:space="0" w:color="000000" w:themeColor="text1"/>
            </w:tcBorders>
          </w:tcPr>
          <w:p w:rsidR="00D814F7" w:rsidRPr="00384387" w:rsidRDefault="00D814F7" w:rsidP="005729B7">
            <w:pPr>
              <w:tabs>
                <w:tab w:val="left" w:pos="1440"/>
              </w:tabs>
              <w:rPr>
                <w:b/>
                <w:i/>
              </w:rPr>
            </w:pPr>
            <w:r w:rsidRPr="00384387">
              <w:rPr>
                <w:b/>
                <w:i/>
              </w:rPr>
              <w:t>Needs Intervention</w:t>
            </w:r>
            <w:r>
              <w:rPr>
                <w:b/>
                <w:i/>
              </w:rPr>
              <w:t xml:space="preserve"> (NI)</w:t>
            </w:r>
          </w:p>
        </w:tc>
      </w:tr>
      <w:tr w:rsidR="00D814F7"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D814F7" w:rsidRDefault="00D814F7" w:rsidP="005161F9">
            <w:pPr>
              <w:tabs>
                <w:tab w:val="left" w:pos="1440"/>
              </w:tabs>
              <w:jc w:val="center"/>
            </w:pPr>
          </w:p>
        </w:tc>
        <w:tc>
          <w:tcPr>
            <w:tcW w:w="990" w:type="dxa"/>
            <w:tcBorders>
              <w:top w:val="single" w:sz="6" w:space="0" w:color="000000" w:themeColor="text1"/>
              <w:left w:val="single" w:sz="12" w:space="0" w:color="000000" w:themeColor="text1"/>
              <w:bottom w:val="single" w:sz="6" w:space="0" w:color="000000" w:themeColor="text1"/>
            </w:tcBorders>
          </w:tcPr>
          <w:p w:rsidR="00D814F7" w:rsidRPr="005161F9" w:rsidRDefault="00D814F7" w:rsidP="00384387">
            <w:pPr>
              <w:pStyle w:val="ListParagraph"/>
              <w:tabs>
                <w:tab w:val="left" w:pos="1440"/>
                <w:tab w:val="left" w:pos="5555"/>
              </w:tabs>
              <w:ind w:left="-25"/>
              <w:jc w:val="center"/>
            </w:pPr>
            <w:r w:rsidRPr="005161F9">
              <w:rPr>
                <w:b/>
              </w:rPr>
              <w:t>N</w:t>
            </w:r>
            <w:r>
              <w:rPr>
                <w:b/>
              </w:rPr>
              <w:t>I</w:t>
            </w:r>
            <w:r w:rsidRPr="005161F9">
              <w:rPr>
                <w:b/>
              </w:rPr>
              <w:t>1</w:t>
            </w:r>
          </w:p>
        </w:tc>
        <w:tc>
          <w:tcPr>
            <w:tcW w:w="5760" w:type="dxa"/>
            <w:tcBorders>
              <w:top w:val="single" w:sz="6" w:space="0" w:color="000000" w:themeColor="text1"/>
              <w:bottom w:val="single" w:sz="6" w:space="0" w:color="000000" w:themeColor="text1"/>
            </w:tcBorders>
          </w:tcPr>
          <w:p w:rsidR="00D814F7" w:rsidRDefault="00D814F7" w:rsidP="00384387">
            <w:pPr>
              <w:pStyle w:val="ListParagraph"/>
              <w:numPr>
                <w:ilvl w:val="0"/>
                <w:numId w:val="5"/>
              </w:numPr>
              <w:tabs>
                <w:tab w:val="left" w:pos="1440"/>
                <w:tab w:val="left" w:pos="5555"/>
              </w:tabs>
              <w:ind w:left="425"/>
            </w:pPr>
            <w:r>
              <w:t>Third consecutive year of Needs Assistance.</w:t>
            </w:r>
          </w:p>
        </w:tc>
      </w:tr>
      <w:tr w:rsidR="00A17054"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A17054" w:rsidRDefault="00A17054" w:rsidP="005161F9">
            <w:pPr>
              <w:tabs>
                <w:tab w:val="left" w:pos="1440"/>
              </w:tabs>
              <w:jc w:val="center"/>
            </w:pPr>
          </w:p>
        </w:tc>
        <w:tc>
          <w:tcPr>
            <w:tcW w:w="990" w:type="dxa"/>
            <w:tcBorders>
              <w:top w:val="single" w:sz="6" w:space="0" w:color="000000" w:themeColor="text1"/>
              <w:left w:val="single" w:sz="12" w:space="0" w:color="000000" w:themeColor="text1"/>
              <w:bottom w:val="single" w:sz="6" w:space="0" w:color="000000" w:themeColor="text1"/>
            </w:tcBorders>
          </w:tcPr>
          <w:p w:rsidR="00A17054" w:rsidRPr="005161F9" w:rsidRDefault="00A17054" w:rsidP="004B7C8D">
            <w:pPr>
              <w:pStyle w:val="ListParagraph"/>
              <w:tabs>
                <w:tab w:val="left" w:pos="1440"/>
                <w:tab w:val="left" w:pos="5555"/>
              </w:tabs>
              <w:ind w:left="-25"/>
              <w:jc w:val="center"/>
            </w:pPr>
            <w:r w:rsidRPr="005161F9">
              <w:rPr>
                <w:b/>
              </w:rPr>
              <w:t>N</w:t>
            </w:r>
            <w:r>
              <w:rPr>
                <w:b/>
              </w:rPr>
              <w:t>I2</w:t>
            </w:r>
          </w:p>
        </w:tc>
        <w:tc>
          <w:tcPr>
            <w:tcW w:w="5760" w:type="dxa"/>
            <w:tcBorders>
              <w:top w:val="single" w:sz="6" w:space="0" w:color="000000" w:themeColor="text1"/>
              <w:bottom w:val="single" w:sz="6" w:space="0" w:color="000000" w:themeColor="text1"/>
            </w:tcBorders>
          </w:tcPr>
          <w:p w:rsidR="00A17054" w:rsidRDefault="00A17054" w:rsidP="00384387">
            <w:pPr>
              <w:pStyle w:val="ListParagraph"/>
              <w:numPr>
                <w:ilvl w:val="0"/>
                <w:numId w:val="5"/>
              </w:numPr>
              <w:tabs>
                <w:tab w:val="left" w:pos="1440"/>
                <w:tab w:val="left" w:pos="5555"/>
              </w:tabs>
              <w:ind w:left="425"/>
            </w:pPr>
            <w:r>
              <w:t>Fourth consecutive year of Needs Assistance.</w:t>
            </w:r>
          </w:p>
        </w:tc>
      </w:tr>
      <w:tr w:rsidR="00A17054"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A17054" w:rsidRDefault="00A17054" w:rsidP="005161F9">
            <w:pPr>
              <w:tabs>
                <w:tab w:val="left" w:pos="1440"/>
              </w:tabs>
              <w:jc w:val="center"/>
            </w:pPr>
          </w:p>
        </w:tc>
        <w:tc>
          <w:tcPr>
            <w:tcW w:w="990" w:type="dxa"/>
            <w:tcBorders>
              <w:top w:val="single" w:sz="6" w:space="0" w:color="000000" w:themeColor="text1"/>
              <w:left w:val="single" w:sz="12" w:space="0" w:color="000000" w:themeColor="text1"/>
              <w:bottom w:val="single" w:sz="12" w:space="0" w:color="000000" w:themeColor="text1"/>
            </w:tcBorders>
          </w:tcPr>
          <w:p w:rsidR="00A17054" w:rsidRPr="005161F9" w:rsidRDefault="00A17054" w:rsidP="00A17054">
            <w:pPr>
              <w:pStyle w:val="ListParagraph"/>
              <w:tabs>
                <w:tab w:val="left" w:pos="1440"/>
                <w:tab w:val="left" w:pos="5555"/>
              </w:tabs>
              <w:ind w:left="-25"/>
              <w:jc w:val="center"/>
            </w:pPr>
            <w:r w:rsidRPr="005161F9">
              <w:rPr>
                <w:b/>
              </w:rPr>
              <w:t>N</w:t>
            </w:r>
            <w:r>
              <w:rPr>
                <w:b/>
              </w:rPr>
              <w:t>I3</w:t>
            </w:r>
          </w:p>
        </w:tc>
        <w:tc>
          <w:tcPr>
            <w:tcW w:w="5760" w:type="dxa"/>
            <w:tcBorders>
              <w:top w:val="single" w:sz="6" w:space="0" w:color="000000" w:themeColor="text1"/>
              <w:bottom w:val="single" w:sz="12" w:space="0" w:color="000000" w:themeColor="text1"/>
            </w:tcBorders>
          </w:tcPr>
          <w:p w:rsidR="00A17054" w:rsidRDefault="00B6694E" w:rsidP="00885C75">
            <w:pPr>
              <w:pStyle w:val="ListParagraph"/>
              <w:numPr>
                <w:ilvl w:val="0"/>
                <w:numId w:val="5"/>
              </w:numPr>
              <w:tabs>
                <w:tab w:val="left" w:pos="1440"/>
                <w:tab w:val="left" w:pos="5555"/>
              </w:tabs>
              <w:ind w:left="425"/>
            </w:pPr>
            <w:r>
              <w:t>Fifth c</w:t>
            </w:r>
            <w:r w:rsidR="00A17054">
              <w:t>onsecutive year of N</w:t>
            </w:r>
            <w:bookmarkStart w:id="0" w:name="_GoBack"/>
            <w:bookmarkEnd w:id="0"/>
            <w:r w:rsidR="00A17054">
              <w:t>eeds Assistance.</w:t>
            </w:r>
          </w:p>
        </w:tc>
      </w:tr>
      <w:tr w:rsidR="00A17054"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A17054" w:rsidRDefault="00A17054" w:rsidP="00794820">
            <w:pPr>
              <w:tabs>
                <w:tab w:val="left" w:pos="1440"/>
              </w:tabs>
              <w:jc w:val="center"/>
            </w:pPr>
          </w:p>
        </w:tc>
        <w:tc>
          <w:tcPr>
            <w:tcW w:w="6750" w:type="dxa"/>
            <w:gridSpan w:val="2"/>
            <w:tcBorders>
              <w:top w:val="single" w:sz="12" w:space="0" w:color="000000" w:themeColor="text1"/>
              <w:left w:val="single" w:sz="12" w:space="0" w:color="000000" w:themeColor="text1"/>
              <w:bottom w:val="single" w:sz="6" w:space="0" w:color="000000" w:themeColor="text1"/>
            </w:tcBorders>
          </w:tcPr>
          <w:p w:rsidR="00A17054" w:rsidRPr="00794820" w:rsidRDefault="00A17054" w:rsidP="004F6E84">
            <w:pPr>
              <w:tabs>
                <w:tab w:val="left" w:pos="1440"/>
              </w:tabs>
              <w:rPr>
                <w:b/>
                <w:i/>
              </w:rPr>
            </w:pPr>
            <w:r w:rsidRPr="00384387">
              <w:rPr>
                <w:b/>
                <w:i/>
              </w:rPr>
              <w:t xml:space="preserve">Needs </w:t>
            </w:r>
            <w:r>
              <w:rPr>
                <w:b/>
                <w:i/>
              </w:rPr>
              <w:t xml:space="preserve">Substantial </w:t>
            </w:r>
            <w:r w:rsidRPr="00384387">
              <w:rPr>
                <w:b/>
                <w:i/>
              </w:rPr>
              <w:t>Intervention</w:t>
            </w:r>
            <w:r>
              <w:rPr>
                <w:b/>
                <w:i/>
              </w:rPr>
              <w:t xml:space="preserve"> (NSI)</w:t>
            </w:r>
          </w:p>
        </w:tc>
      </w:tr>
      <w:tr w:rsidR="00A17054" w:rsidTr="00C627A1">
        <w:trPr>
          <w:cantSplit/>
          <w:trHeight w:val="259"/>
          <w:jc w:val="center"/>
        </w:trPr>
        <w:tc>
          <w:tcPr>
            <w:tcW w:w="2430" w:type="dxa"/>
            <w:vMerge/>
            <w:tcBorders>
              <w:top w:val="thinThickThinSmallGap" w:sz="24" w:space="0" w:color="auto"/>
              <w:bottom w:val="thinThickThinSmallGap" w:sz="24" w:space="0" w:color="auto"/>
              <w:right w:val="single" w:sz="12" w:space="0" w:color="000000" w:themeColor="text1"/>
            </w:tcBorders>
          </w:tcPr>
          <w:p w:rsidR="00A17054" w:rsidRDefault="00A17054" w:rsidP="00794820">
            <w:pPr>
              <w:tabs>
                <w:tab w:val="left" w:pos="1440"/>
              </w:tabs>
              <w:jc w:val="center"/>
            </w:pPr>
          </w:p>
        </w:tc>
        <w:tc>
          <w:tcPr>
            <w:tcW w:w="6750" w:type="dxa"/>
            <w:gridSpan w:val="2"/>
            <w:tcBorders>
              <w:top w:val="single" w:sz="6" w:space="0" w:color="000000" w:themeColor="text1"/>
              <w:left w:val="single" w:sz="12" w:space="0" w:color="000000" w:themeColor="text1"/>
              <w:bottom w:val="thinThickThinSmallGap" w:sz="24" w:space="0" w:color="auto"/>
            </w:tcBorders>
          </w:tcPr>
          <w:p w:rsidR="00A17054" w:rsidRDefault="00A17054" w:rsidP="00D814F7">
            <w:pPr>
              <w:pStyle w:val="ListParagraph"/>
              <w:numPr>
                <w:ilvl w:val="0"/>
                <w:numId w:val="7"/>
              </w:numPr>
              <w:tabs>
                <w:tab w:val="left" w:pos="1440"/>
              </w:tabs>
            </w:pPr>
            <w:r>
              <w:t xml:space="preserve">Sixth Consecutive year of Needs Assistance; </w:t>
            </w:r>
            <w:r w:rsidR="007A066B">
              <w:t>or</w:t>
            </w:r>
          </w:p>
          <w:p w:rsidR="00A17054" w:rsidRPr="007A066B" w:rsidRDefault="00A17054" w:rsidP="007A066B">
            <w:pPr>
              <w:pStyle w:val="ListParagraph"/>
              <w:numPr>
                <w:ilvl w:val="0"/>
                <w:numId w:val="7"/>
              </w:numPr>
              <w:tabs>
                <w:tab w:val="left" w:pos="1440"/>
              </w:tabs>
            </w:pPr>
            <w:r>
              <w:t xml:space="preserve">Finding of </w:t>
            </w:r>
            <w:r w:rsidRPr="00D814F7">
              <w:rPr>
                <w:b/>
                <w:i/>
              </w:rPr>
              <w:t>Persistent Failure or Not Able to Comply</w:t>
            </w:r>
            <w:r w:rsidR="007A066B" w:rsidRPr="00644B04">
              <w:t>;</w:t>
            </w:r>
            <w:r w:rsidR="007A066B">
              <w:rPr>
                <w:b/>
                <w:i/>
              </w:rPr>
              <w:t xml:space="preserve"> </w:t>
            </w:r>
            <w:r w:rsidR="007A066B">
              <w:t>or</w:t>
            </w:r>
          </w:p>
          <w:p w:rsidR="007A066B" w:rsidRPr="00D814F7" w:rsidRDefault="007A066B" w:rsidP="007A066B">
            <w:pPr>
              <w:pStyle w:val="ListParagraph"/>
              <w:numPr>
                <w:ilvl w:val="0"/>
                <w:numId w:val="7"/>
              </w:numPr>
              <w:tabs>
                <w:tab w:val="left" w:pos="1440"/>
              </w:tabs>
            </w:pPr>
            <w:r>
              <w:t>Results of an On-Site Monitoring Visit (Based on Monitoring Team Findings described Below)</w:t>
            </w:r>
          </w:p>
        </w:tc>
      </w:tr>
    </w:tbl>
    <w:p w:rsidR="00C930E2" w:rsidRDefault="00C930E2"/>
    <w:p w:rsidR="00C930E2" w:rsidRDefault="00C930E2">
      <w:r>
        <w:br w:type="page"/>
      </w:r>
    </w:p>
    <w:p w:rsidR="00C930E2" w:rsidRDefault="00C930E2" w:rsidP="00C930E2">
      <w:pPr>
        <w:tabs>
          <w:tab w:val="left" w:pos="1440"/>
        </w:tabs>
        <w:spacing w:before="120" w:after="120"/>
      </w:pPr>
      <w:r w:rsidRPr="009A12B2">
        <w:rPr>
          <w:b/>
        </w:rPr>
        <w:lastRenderedPageBreak/>
        <w:t>Table A:</w:t>
      </w:r>
      <w:r>
        <w:t xml:space="preserve">  </w:t>
      </w:r>
      <w:r w:rsidRPr="009A12B2">
        <w:rPr>
          <w:i/>
        </w:rPr>
        <w:t>Determination</w:t>
      </w:r>
      <w:r>
        <w:rPr>
          <w:i/>
        </w:rPr>
        <w:t>s</w:t>
      </w:r>
      <w:r w:rsidRPr="009A12B2">
        <w:rPr>
          <w:i/>
        </w:rPr>
        <w:t xml:space="preserve"> Scoring Guide</w:t>
      </w:r>
      <w:r>
        <w:rPr>
          <w:i/>
        </w:rPr>
        <w:t xml:space="preserve"> (Continued)</w:t>
      </w: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2430"/>
        <w:gridCol w:w="6750"/>
      </w:tblGrid>
      <w:tr w:rsidR="007A066B" w:rsidTr="00C627A1">
        <w:trPr>
          <w:cantSplit/>
          <w:trHeight w:val="288"/>
          <w:jc w:val="center"/>
        </w:trPr>
        <w:tc>
          <w:tcPr>
            <w:tcW w:w="2430" w:type="dxa"/>
            <w:tcBorders>
              <w:top w:val="thinThickThinSmallGap" w:sz="24" w:space="0" w:color="auto"/>
              <w:bottom w:val="single" w:sz="12" w:space="0" w:color="000000" w:themeColor="text1"/>
              <w:right w:val="single" w:sz="12" w:space="0" w:color="000000" w:themeColor="text1"/>
            </w:tcBorders>
          </w:tcPr>
          <w:p w:rsidR="007A066B" w:rsidRPr="0052605E" w:rsidRDefault="000E4063" w:rsidP="000E4063">
            <w:pPr>
              <w:tabs>
                <w:tab w:val="left" w:pos="1440"/>
              </w:tabs>
              <w:jc w:val="center"/>
              <w:rPr>
                <w:b/>
              </w:rPr>
            </w:pPr>
            <w:r>
              <w:rPr>
                <w:b/>
              </w:rPr>
              <w:t>Persistent Failure to Comply or Not Able to Comply</w:t>
            </w:r>
          </w:p>
        </w:tc>
        <w:tc>
          <w:tcPr>
            <w:tcW w:w="6750" w:type="dxa"/>
            <w:tcBorders>
              <w:top w:val="thinThickThinSmallGap" w:sz="24" w:space="0" w:color="auto"/>
              <w:left w:val="single" w:sz="12" w:space="0" w:color="000000" w:themeColor="text1"/>
              <w:bottom w:val="single" w:sz="12" w:space="0" w:color="000000" w:themeColor="text1"/>
            </w:tcBorders>
          </w:tcPr>
          <w:p w:rsidR="007A066B" w:rsidRDefault="000E4063" w:rsidP="000E4063">
            <w:pPr>
              <w:tabs>
                <w:tab w:val="left" w:pos="1440"/>
              </w:tabs>
            </w:pPr>
            <w:r>
              <w:t xml:space="preserve">Districts that are identified as </w:t>
            </w:r>
            <w:r w:rsidRPr="000E4063">
              <w:rPr>
                <w:b/>
                <w:i/>
              </w:rPr>
              <w:t>Persistent Failure to Comply</w:t>
            </w:r>
            <w:r>
              <w:t xml:space="preserve"> or </w:t>
            </w:r>
            <w:r w:rsidRPr="000E4063">
              <w:rPr>
                <w:b/>
                <w:i/>
              </w:rPr>
              <w:t>Not Able to Comply</w:t>
            </w:r>
            <w:r>
              <w:t xml:space="preserve"> will have a Determination of </w:t>
            </w:r>
            <w:r w:rsidRPr="00051AF6">
              <w:rPr>
                <w:b/>
                <w:i/>
              </w:rPr>
              <w:t>Needs Substantial Intervention</w:t>
            </w:r>
            <w:r>
              <w:t xml:space="preserve"> (NSI) regardless of any other factors.</w:t>
            </w:r>
          </w:p>
        </w:tc>
      </w:tr>
      <w:tr w:rsidR="00A17054" w:rsidTr="00C627A1">
        <w:trPr>
          <w:cantSplit/>
          <w:trHeight w:val="288"/>
          <w:jc w:val="center"/>
        </w:trPr>
        <w:tc>
          <w:tcPr>
            <w:tcW w:w="2430" w:type="dxa"/>
            <w:tcBorders>
              <w:top w:val="single" w:sz="12" w:space="0" w:color="000000" w:themeColor="text1"/>
              <w:bottom w:val="single" w:sz="12" w:space="0" w:color="000000" w:themeColor="text1"/>
              <w:right w:val="single" w:sz="12" w:space="0" w:color="000000" w:themeColor="text1"/>
            </w:tcBorders>
          </w:tcPr>
          <w:p w:rsidR="00A17054" w:rsidRPr="0052605E" w:rsidRDefault="00A17054" w:rsidP="00794820">
            <w:pPr>
              <w:tabs>
                <w:tab w:val="left" w:pos="1440"/>
              </w:tabs>
              <w:jc w:val="center"/>
              <w:rPr>
                <w:b/>
              </w:rPr>
            </w:pPr>
            <w:r w:rsidRPr="0052605E">
              <w:rPr>
                <w:b/>
              </w:rPr>
              <w:t>Results of an On-Site Monitoring Visit</w:t>
            </w:r>
          </w:p>
        </w:tc>
        <w:tc>
          <w:tcPr>
            <w:tcW w:w="6750" w:type="dxa"/>
            <w:tcBorders>
              <w:top w:val="single" w:sz="12" w:space="0" w:color="000000" w:themeColor="text1"/>
              <w:left w:val="single" w:sz="12" w:space="0" w:color="000000" w:themeColor="text1"/>
              <w:bottom w:val="single" w:sz="12" w:space="0" w:color="000000" w:themeColor="text1"/>
            </w:tcBorders>
          </w:tcPr>
          <w:p w:rsidR="00B6694E" w:rsidRDefault="00455A6B" w:rsidP="00E408DE">
            <w:pPr>
              <w:tabs>
                <w:tab w:val="left" w:pos="1440"/>
              </w:tabs>
            </w:pPr>
            <w:r>
              <w:t>A</w:t>
            </w:r>
            <w:r w:rsidR="00A17054">
              <w:t xml:space="preserve"> district may have </w:t>
            </w:r>
            <w:r w:rsidR="00A17054" w:rsidRPr="00EB21D8">
              <w:t xml:space="preserve">a </w:t>
            </w:r>
            <w:r w:rsidR="00EB21D8" w:rsidRPr="00EB21D8">
              <w:t>status</w:t>
            </w:r>
            <w:r w:rsidR="00EB21D8">
              <w:rPr>
                <w:b/>
              </w:rPr>
              <w:t xml:space="preserve"> </w:t>
            </w:r>
            <w:r w:rsidR="00EB21D8">
              <w:t xml:space="preserve">in this area of </w:t>
            </w:r>
            <w:r w:rsidR="00EB21D8" w:rsidRPr="00EB21D8">
              <w:rPr>
                <w:b/>
                <w:i/>
              </w:rPr>
              <w:t>No Visit</w:t>
            </w:r>
            <w:r w:rsidR="00EB21D8">
              <w:t xml:space="preserve">, </w:t>
            </w:r>
            <w:r w:rsidR="00EB21D8" w:rsidRPr="00EB21D8">
              <w:rPr>
                <w:b/>
                <w:i/>
              </w:rPr>
              <w:t>MEETS</w:t>
            </w:r>
            <w:r w:rsidR="00EB21D8" w:rsidRPr="001D7FA3">
              <w:rPr>
                <w:b/>
                <w:i/>
              </w:rPr>
              <w:t xml:space="preserve">, </w:t>
            </w:r>
            <w:r w:rsidR="00A17054" w:rsidRPr="001D7FA3">
              <w:rPr>
                <w:b/>
                <w:i/>
              </w:rPr>
              <w:t>NA, NI or NSI</w:t>
            </w:r>
            <w:r>
              <w:t xml:space="preserve"> documented on the </w:t>
            </w:r>
            <w:r w:rsidRPr="00455A6B">
              <w:rPr>
                <w:b/>
                <w:i/>
              </w:rPr>
              <w:t>Determinations Scoring Rubric</w:t>
            </w:r>
            <w:r w:rsidR="001D7FA3">
              <w:t xml:space="preserve">.  A status of </w:t>
            </w:r>
            <w:r w:rsidR="001D7FA3" w:rsidRPr="00EB5719">
              <w:rPr>
                <w:b/>
                <w:i/>
              </w:rPr>
              <w:t>No Visit</w:t>
            </w:r>
            <w:r w:rsidR="001D7FA3">
              <w:t xml:space="preserve"> or </w:t>
            </w:r>
            <w:r w:rsidR="00EB5719" w:rsidRPr="00EB21D8">
              <w:rPr>
                <w:b/>
                <w:i/>
              </w:rPr>
              <w:t>MEETS</w:t>
            </w:r>
            <w:r w:rsidR="001D7FA3">
              <w:t xml:space="preserve"> means other factors will be used to decide the district’s Determination.  However, a status of </w:t>
            </w:r>
            <w:r w:rsidR="001D7FA3" w:rsidRPr="00455A6B">
              <w:rPr>
                <w:b/>
                <w:i/>
              </w:rPr>
              <w:t>NA, NI</w:t>
            </w:r>
            <w:r w:rsidR="001D7FA3">
              <w:t xml:space="preserve"> or </w:t>
            </w:r>
            <w:r w:rsidR="001D7FA3" w:rsidRPr="00455A6B">
              <w:rPr>
                <w:b/>
                <w:i/>
              </w:rPr>
              <w:t>NSI</w:t>
            </w:r>
            <w:r w:rsidR="001D7FA3">
              <w:t xml:space="preserve"> in this category will dictate a Determination as follows </w:t>
            </w:r>
            <w:r w:rsidR="00A17054">
              <w:t>regardless of the</w:t>
            </w:r>
            <w:r>
              <w:t xml:space="preserve"> district’s</w:t>
            </w:r>
            <w:r w:rsidR="00A17054">
              <w:t xml:space="preserve"> score </w:t>
            </w:r>
            <w:r w:rsidR="001D7FA3">
              <w:t>o</w:t>
            </w:r>
            <w:r w:rsidR="00A17054">
              <w:t xml:space="preserve">n the </w:t>
            </w:r>
            <w:r w:rsidRPr="00455A6B">
              <w:t>rubric</w:t>
            </w:r>
            <w:r w:rsidR="00A17054" w:rsidRPr="00455A6B">
              <w:t>.</w:t>
            </w:r>
          </w:p>
          <w:p w:rsidR="00B6694E" w:rsidRDefault="00A17054" w:rsidP="00C627A1">
            <w:pPr>
              <w:pStyle w:val="ListParagraph"/>
              <w:numPr>
                <w:ilvl w:val="0"/>
                <w:numId w:val="5"/>
              </w:numPr>
              <w:tabs>
                <w:tab w:val="left" w:pos="1440"/>
              </w:tabs>
            </w:pPr>
            <w:r>
              <w:t xml:space="preserve">An </w:t>
            </w:r>
            <w:r w:rsidRPr="00C627A1">
              <w:rPr>
                <w:i/>
              </w:rPr>
              <w:t>On-Site Monitoring Visit</w:t>
            </w:r>
            <w:r>
              <w:t xml:space="preserve"> resulting in a compliance rate of </w:t>
            </w:r>
            <w:r w:rsidRPr="00C627A1">
              <w:rPr>
                <w:b/>
              </w:rPr>
              <w:t>90% or more</w:t>
            </w:r>
            <w:r>
              <w:t xml:space="preserve"> </w:t>
            </w:r>
            <w:r w:rsidR="00455A6B">
              <w:t xml:space="preserve">is reported as </w:t>
            </w:r>
            <w:r w:rsidR="00455A6B" w:rsidRPr="00455A6B">
              <w:rPr>
                <w:b/>
                <w:i/>
              </w:rPr>
              <w:t>MEETS</w:t>
            </w:r>
            <w:r w:rsidR="00455A6B">
              <w:t xml:space="preserve"> and </w:t>
            </w:r>
            <w:r>
              <w:t xml:space="preserve">will result in a </w:t>
            </w:r>
            <w:r w:rsidRPr="00295C18">
              <w:t xml:space="preserve">Determination </w:t>
            </w:r>
            <w:r>
              <w:t xml:space="preserve">based on the </w:t>
            </w:r>
            <w:r w:rsidRPr="00C627A1">
              <w:rPr>
                <w:i/>
              </w:rPr>
              <w:t xml:space="preserve">Determinations </w:t>
            </w:r>
            <w:r w:rsidR="00295C18">
              <w:rPr>
                <w:i/>
              </w:rPr>
              <w:t xml:space="preserve">Scoring </w:t>
            </w:r>
            <w:r w:rsidRPr="00C627A1">
              <w:rPr>
                <w:i/>
              </w:rPr>
              <w:t>rubric</w:t>
            </w:r>
            <w:r>
              <w:t xml:space="preserve">.  </w:t>
            </w:r>
          </w:p>
          <w:p w:rsidR="00B6694E" w:rsidRDefault="00A17054" w:rsidP="00C627A1">
            <w:pPr>
              <w:pStyle w:val="ListParagraph"/>
              <w:numPr>
                <w:ilvl w:val="0"/>
                <w:numId w:val="5"/>
              </w:numPr>
              <w:tabs>
                <w:tab w:val="left" w:pos="1440"/>
              </w:tabs>
            </w:pPr>
            <w:r>
              <w:t xml:space="preserve">An </w:t>
            </w:r>
            <w:r w:rsidRPr="00C627A1">
              <w:rPr>
                <w:i/>
              </w:rPr>
              <w:t>On-Site Monitoring Visit</w:t>
            </w:r>
            <w:r>
              <w:t xml:space="preserve"> resulting in a compliance rate of 75% but less than 90% </w:t>
            </w:r>
            <w:r w:rsidR="00455A6B">
              <w:t xml:space="preserve">has a status on the rubric of </w:t>
            </w:r>
            <w:r w:rsidR="00455A6B" w:rsidRPr="00455A6B">
              <w:rPr>
                <w:b/>
                <w:i/>
              </w:rPr>
              <w:t>NA</w:t>
            </w:r>
            <w:r w:rsidR="00455A6B">
              <w:rPr>
                <w:b/>
                <w:i/>
              </w:rPr>
              <w:t xml:space="preserve">.  </w:t>
            </w:r>
            <w:r w:rsidR="00F35C78">
              <w:t xml:space="preserve">This means the district’s Determination will be based on the prior year Determination as described above </w:t>
            </w:r>
            <w:r w:rsidR="00295C18">
              <w:t>under</w:t>
            </w:r>
            <w:r w:rsidR="00F35C78">
              <w:t xml:space="preserve"> </w:t>
            </w:r>
            <w:r w:rsidR="00F35C78" w:rsidRPr="00295C18">
              <w:rPr>
                <w:b/>
                <w:i/>
              </w:rPr>
              <w:t>Needs Assistance</w:t>
            </w:r>
            <w:r>
              <w:t>.</w:t>
            </w:r>
          </w:p>
          <w:p w:rsidR="00B6694E" w:rsidRDefault="00A17054" w:rsidP="00C627A1">
            <w:pPr>
              <w:pStyle w:val="ListParagraph"/>
              <w:numPr>
                <w:ilvl w:val="0"/>
                <w:numId w:val="5"/>
              </w:numPr>
              <w:tabs>
                <w:tab w:val="left" w:pos="1440"/>
              </w:tabs>
            </w:pPr>
            <w:r>
              <w:t xml:space="preserve">An </w:t>
            </w:r>
            <w:r w:rsidRPr="00C627A1">
              <w:rPr>
                <w:i/>
              </w:rPr>
              <w:t>On-Site Monitoring Visit</w:t>
            </w:r>
            <w:r>
              <w:t xml:space="preserve"> resulting in a compliance rate of 50% but less than 75% </w:t>
            </w:r>
            <w:r w:rsidR="00F35C78">
              <w:t xml:space="preserve">has a status on the rubric of </w:t>
            </w:r>
            <w:r w:rsidR="00F35C78" w:rsidRPr="00455A6B">
              <w:rPr>
                <w:b/>
                <w:i/>
              </w:rPr>
              <w:t>N</w:t>
            </w:r>
            <w:r w:rsidR="00F35C78">
              <w:rPr>
                <w:b/>
                <w:i/>
              </w:rPr>
              <w:t>I</w:t>
            </w:r>
            <w:r w:rsidR="00F35C78">
              <w:t xml:space="preserve">. </w:t>
            </w:r>
            <w:r>
              <w:t xml:space="preserve"> </w:t>
            </w:r>
            <w:r w:rsidR="00F35C78">
              <w:t xml:space="preserve">If the district’s prior year Determination was </w:t>
            </w:r>
            <w:r w:rsidR="00EB5719" w:rsidRPr="00EB21D8">
              <w:rPr>
                <w:b/>
                <w:i/>
              </w:rPr>
              <w:t>MEETS</w:t>
            </w:r>
            <w:r w:rsidR="00F35C78" w:rsidRPr="00F35C78">
              <w:rPr>
                <w:b/>
              </w:rPr>
              <w:t>, NA1, or NA2</w:t>
            </w:r>
            <w:r>
              <w:t xml:space="preserve">, the </w:t>
            </w:r>
            <w:r w:rsidR="00F35C78">
              <w:t xml:space="preserve">new </w:t>
            </w:r>
            <w:r w:rsidRPr="00F35C78">
              <w:t xml:space="preserve">Determination </w:t>
            </w:r>
            <w:r>
              <w:t xml:space="preserve">will be </w:t>
            </w:r>
            <w:r w:rsidRPr="00EB5719">
              <w:rPr>
                <w:b/>
                <w:i/>
              </w:rPr>
              <w:t>NI1</w:t>
            </w:r>
            <w:r>
              <w:t>.  If the pr</w:t>
            </w:r>
            <w:r w:rsidR="00EB5719">
              <w:t>ior</w:t>
            </w:r>
            <w:r>
              <w:t xml:space="preserve"> year </w:t>
            </w:r>
            <w:r w:rsidRPr="00F35C78">
              <w:t xml:space="preserve">Determination </w:t>
            </w:r>
            <w:r>
              <w:t xml:space="preserve">was </w:t>
            </w:r>
            <w:r w:rsidRPr="00EB5719">
              <w:rPr>
                <w:b/>
                <w:i/>
              </w:rPr>
              <w:t>NI1</w:t>
            </w:r>
            <w:r>
              <w:t xml:space="preserve"> the Determination will be </w:t>
            </w:r>
            <w:r w:rsidRPr="00EB5719">
              <w:rPr>
                <w:b/>
                <w:i/>
              </w:rPr>
              <w:t>NI2</w:t>
            </w:r>
            <w:r w:rsidR="00F35C78">
              <w:rPr>
                <w:b/>
              </w:rPr>
              <w:t>.</w:t>
            </w:r>
            <w:r w:rsidR="00E408DE">
              <w:t xml:space="preserve"> </w:t>
            </w:r>
            <w:r w:rsidR="00F35C78">
              <w:t>If the pr</w:t>
            </w:r>
            <w:r w:rsidR="00EB5719">
              <w:t>ior</w:t>
            </w:r>
            <w:r w:rsidR="00F35C78">
              <w:t xml:space="preserve"> year </w:t>
            </w:r>
            <w:r w:rsidR="00F35C78" w:rsidRPr="00F35C78">
              <w:t xml:space="preserve">Determination </w:t>
            </w:r>
            <w:r w:rsidR="00F35C78">
              <w:t xml:space="preserve">was </w:t>
            </w:r>
            <w:r w:rsidR="00F35C78" w:rsidRPr="00EB5719">
              <w:rPr>
                <w:b/>
                <w:i/>
              </w:rPr>
              <w:t>NI2</w:t>
            </w:r>
            <w:r w:rsidR="00F35C78">
              <w:t xml:space="preserve"> the Determination will be </w:t>
            </w:r>
            <w:r w:rsidR="00F35C78" w:rsidRPr="00EB5719">
              <w:rPr>
                <w:b/>
                <w:i/>
              </w:rPr>
              <w:t>NI3</w:t>
            </w:r>
            <w:r>
              <w:t>.  If the pr</w:t>
            </w:r>
            <w:r w:rsidR="00EB5719">
              <w:t>ior</w:t>
            </w:r>
            <w:r>
              <w:t xml:space="preserve"> year</w:t>
            </w:r>
            <w:r w:rsidRPr="00F35C78">
              <w:t xml:space="preserve"> Determination</w:t>
            </w:r>
            <w:r>
              <w:t xml:space="preserve"> was </w:t>
            </w:r>
            <w:r w:rsidRPr="00EB5719">
              <w:rPr>
                <w:b/>
                <w:i/>
              </w:rPr>
              <w:t>NI</w:t>
            </w:r>
            <w:r w:rsidR="00E408DE" w:rsidRPr="00EB5719">
              <w:rPr>
                <w:b/>
                <w:i/>
              </w:rPr>
              <w:t>3</w:t>
            </w:r>
            <w:r>
              <w:t xml:space="preserve"> then the Determination will be </w:t>
            </w:r>
            <w:r w:rsidR="00F35C78" w:rsidRPr="00EB5719">
              <w:rPr>
                <w:b/>
                <w:i/>
              </w:rPr>
              <w:t>NSI</w:t>
            </w:r>
            <w:r>
              <w:t xml:space="preserve">.  </w:t>
            </w:r>
          </w:p>
          <w:p w:rsidR="00A17054" w:rsidRPr="004F6E84" w:rsidRDefault="00A17054" w:rsidP="00F35C78">
            <w:pPr>
              <w:pStyle w:val="ListParagraph"/>
              <w:numPr>
                <w:ilvl w:val="0"/>
                <w:numId w:val="5"/>
              </w:numPr>
              <w:tabs>
                <w:tab w:val="left" w:pos="1440"/>
              </w:tabs>
            </w:pPr>
            <w:r>
              <w:t xml:space="preserve">An </w:t>
            </w:r>
            <w:r w:rsidRPr="00C627A1">
              <w:rPr>
                <w:i/>
              </w:rPr>
              <w:t>On-Site Monitoring Visit</w:t>
            </w:r>
            <w:r>
              <w:t xml:space="preserve"> resulting in a compliance rate of less than 50% will have a </w:t>
            </w:r>
            <w:r w:rsidRPr="00F35C78">
              <w:t xml:space="preserve">Determination </w:t>
            </w:r>
            <w:r w:rsidR="00F35C78">
              <w:t xml:space="preserve">of </w:t>
            </w:r>
            <w:r w:rsidR="00F35C78" w:rsidRPr="00EB5719">
              <w:rPr>
                <w:b/>
                <w:i/>
              </w:rPr>
              <w:t>NSI</w:t>
            </w:r>
            <w:r>
              <w:t xml:space="preserve"> regardless of </w:t>
            </w:r>
            <w:r w:rsidR="00F35C78">
              <w:t>the</w:t>
            </w:r>
            <w:r>
              <w:t xml:space="preserve"> prior year </w:t>
            </w:r>
            <w:r w:rsidRPr="00F35C78">
              <w:t>Determination</w:t>
            </w:r>
            <w:r>
              <w:t>.</w:t>
            </w:r>
          </w:p>
        </w:tc>
      </w:tr>
    </w:tbl>
    <w:p w:rsidR="004B7C8D" w:rsidRDefault="004B7C8D">
      <w:pPr>
        <w:rPr>
          <w:b/>
          <w:u w:val="single"/>
        </w:rPr>
      </w:pPr>
      <w:r>
        <w:rPr>
          <w:b/>
          <w:u w:val="single"/>
        </w:rPr>
        <w:br w:type="page"/>
      </w:r>
    </w:p>
    <w:p w:rsidR="003C0F9C" w:rsidRDefault="003C0F9C" w:rsidP="003C0F9C">
      <w:pPr>
        <w:spacing w:before="240" w:after="0"/>
        <w:rPr>
          <w:b/>
          <w:sz w:val="28"/>
          <w:szCs w:val="28"/>
          <w:u w:val="single"/>
        </w:rPr>
      </w:pPr>
      <w:r>
        <w:rPr>
          <w:b/>
          <w:sz w:val="28"/>
          <w:szCs w:val="28"/>
          <w:u w:val="single"/>
        </w:rPr>
        <w:lastRenderedPageBreak/>
        <w:t>Determination Levels</w:t>
      </w:r>
      <w:r w:rsidRPr="005729B7">
        <w:rPr>
          <w:b/>
          <w:sz w:val="28"/>
          <w:szCs w:val="28"/>
          <w:u w:val="single"/>
        </w:rPr>
        <w:t>:</w:t>
      </w:r>
    </w:p>
    <w:p w:rsidR="00895604" w:rsidRPr="00A44D19" w:rsidRDefault="00A44D19" w:rsidP="00C930E2">
      <w:pPr>
        <w:tabs>
          <w:tab w:val="left" w:pos="1440"/>
        </w:tabs>
        <w:spacing w:before="120" w:after="0"/>
        <w:rPr>
          <w:b/>
          <w:u w:val="single"/>
        </w:rPr>
      </w:pPr>
      <w:r w:rsidRPr="00A44D19">
        <w:rPr>
          <w:b/>
          <w:u w:val="single"/>
        </w:rPr>
        <w:t>Meets Requirements</w:t>
      </w:r>
      <w:r w:rsidR="009E1B69">
        <w:rPr>
          <w:b/>
          <w:u w:val="single"/>
        </w:rPr>
        <w:t xml:space="preserve"> </w:t>
      </w:r>
      <w:r w:rsidR="009E1B69" w:rsidRPr="00985FE6">
        <w:rPr>
          <w:b/>
          <w:u w:val="single"/>
        </w:rPr>
        <w:t>(</w:t>
      </w:r>
      <w:r w:rsidR="00EB5719" w:rsidRPr="00EB5719">
        <w:rPr>
          <w:i/>
          <w:u w:val="single"/>
        </w:rPr>
        <w:t>MEETS</w:t>
      </w:r>
      <w:r w:rsidR="009E1B69" w:rsidRPr="00EB5719">
        <w:rPr>
          <w:b/>
          <w:u w:val="single"/>
        </w:rPr>
        <w:t>)</w:t>
      </w:r>
    </w:p>
    <w:p w:rsidR="00A44D19" w:rsidRDefault="00C87D1D" w:rsidP="005729B7">
      <w:pPr>
        <w:tabs>
          <w:tab w:val="left" w:pos="1440"/>
        </w:tabs>
        <w:spacing w:after="0"/>
      </w:pPr>
      <w:r>
        <w:t xml:space="preserve">District scored either </w:t>
      </w:r>
      <w:r w:rsidRPr="00C930E2">
        <w:rPr>
          <w:b/>
        </w:rPr>
        <w:t>0</w:t>
      </w:r>
      <w:r>
        <w:t xml:space="preserve"> or </w:t>
      </w:r>
      <w:r w:rsidRPr="00C930E2">
        <w:rPr>
          <w:b/>
        </w:rPr>
        <w:t>1</w:t>
      </w:r>
      <w:r>
        <w:t xml:space="preserve"> on the </w:t>
      </w:r>
      <w:r w:rsidR="00C930E2" w:rsidRPr="00C930E2">
        <w:rPr>
          <w:i/>
        </w:rPr>
        <w:t xml:space="preserve">Determinations </w:t>
      </w:r>
      <w:r w:rsidRPr="00794820">
        <w:rPr>
          <w:i/>
        </w:rPr>
        <w:t>Scoring Rubric</w:t>
      </w:r>
      <w:r w:rsidR="00A44D19">
        <w:t>.</w:t>
      </w:r>
    </w:p>
    <w:p w:rsidR="00A44D19" w:rsidRPr="009E1B69" w:rsidRDefault="00A44D19" w:rsidP="00524F2C">
      <w:pPr>
        <w:tabs>
          <w:tab w:val="left" w:pos="1440"/>
        </w:tabs>
        <w:spacing w:before="120" w:after="0"/>
        <w:rPr>
          <w:u w:val="single"/>
        </w:rPr>
      </w:pPr>
      <w:r w:rsidRPr="00A44D19">
        <w:rPr>
          <w:b/>
          <w:u w:val="single"/>
        </w:rPr>
        <w:t>Needs Assistance</w:t>
      </w:r>
      <w:r w:rsidR="009E1B69">
        <w:rPr>
          <w:u w:val="single"/>
        </w:rPr>
        <w:t xml:space="preserve"> (</w:t>
      </w:r>
      <w:r w:rsidR="009E1B69" w:rsidRPr="00524F2C">
        <w:rPr>
          <w:i/>
          <w:u w:val="single"/>
        </w:rPr>
        <w:t>NA</w:t>
      </w:r>
      <w:r w:rsidR="009E1B69">
        <w:rPr>
          <w:u w:val="single"/>
        </w:rPr>
        <w:t>)</w:t>
      </w:r>
    </w:p>
    <w:p w:rsidR="00A44D19" w:rsidRDefault="00C87D1D" w:rsidP="005729B7">
      <w:pPr>
        <w:tabs>
          <w:tab w:val="left" w:pos="1440"/>
        </w:tabs>
        <w:spacing w:after="0"/>
      </w:pPr>
      <w:r>
        <w:t>District score</w:t>
      </w:r>
      <w:r w:rsidR="007778F4">
        <w:t>d</w:t>
      </w:r>
      <w:r>
        <w:t xml:space="preserve"> </w:t>
      </w:r>
      <w:r w:rsidR="007778F4">
        <w:t>a</w:t>
      </w:r>
      <w:r>
        <w:t xml:space="preserve"> </w:t>
      </w:r>
      <w:r w:rsidRPr="00C930E2">
        <w:rPr>
          <w:b/>
        </w:rPr>
        <w:t xml:space="preserve">2 </w:t>
      </w:r>
      <w:r w:rsidR="00F15777" w:rsidRPr="00C930E2">
        <w:rPr>
          <w:b/>
        </w:rPr>
        <w:t>or more</w:t>
      </w:r>
      <w:r w:rsidR="00F15777">
        <w:t xml:space="preserve"> </w:t>
      </w:r>
      <w:r>
        <w:t xml:space="preserve">on the </w:t>
      </w:r>
      <w:r w:rsidR="002A2C57" w:rsidRPr="00295C18">
        <w:rPr>
          <w:i/>
        </w:rPr>
        <w:t xml:space="preserve">Determinations </w:t>
      </w:r>
      <w:r w:rsidRPr="00794820">
        <w:rPr>
          <w:i/>
        </w:rPr>
        <w:t>Scoring Rubric</w:t>
      </w:r>
      <w:r>
        <w:t>.</w:t>
      </w:r>
      <w:r w:rsidR="007778F4">
        <w:t xml:space="preserve">  </w:t>
      </w:r>
      <w:r w:rsidR="00F15777">
        <w:t xml:space="preserve">If this is the first year of scoring 2 or more on the </w:t>
      </w:r>
      <w:r w:rsidR="00295C18" w:rsidRPr="00295C18">
        <w:rPr>
          <w:i/>
        </w:rPr>
        <w:t xml:space="preserve">Determinations </w:t>
      </w:r>
      <w:r w:rsidR="00020C09" w:rsidRPr="00794820">
        <w:rPr>
          <w:i/>
        </w:rPr>
        <w:t>Scoring Rubric</w:t>
      </w:r>
      <w:r w:rsidR="00020C09">
        <w:t xml:space="preserve"> </w:t>
      </w:r>
      <w:r w:rsidR="00F15777">
        <w:t xml:space="preserve">the district Determination will be </w:t>
      </w:r>
      <w:r w:rsidR="00F15777" w:rsidRPr="00C930E2">
        <w:rPr>
          <w:b/>
          <w:i/>
        </w:rPr>
        <w:t>NA1</w:t>
      </w:r>
      <w:r w:rsidR="00F15777">
        <w:t xml:space="preserve">.  </w:t>
      </w:r>
      <w:r w:rsidR="00020C09">
        <w:t>The 2nd</w:t>
      </w:r>
      <w:r w:rsidR="00F15777">
        <w:t xml:space="preserve"> consecutive year of scoring </w:t>
      </w:r>
      <w:r w:rsidR="00F15777" w:rsidRPr="00C930E2">
        <w:rPr>
          <w:b/>
        </w:rPr>
        <w:t>2 or more</w:t>
      </w:r>
      <w:r w:rsidR="00F15777">
        <w:t xml:space="preserve"> on the rubric</w:t>
      </w:r>
      <w:r w:rsidR="00295C18">
        <w:t xml:space="preserve"> (or a prior year Determination of </w:t>
      </w:r>
      <w:r w:rsidR="00295C18" w:rsidRPr="00C930E2">
        <w:rPr>
          <w:b/>
          <w:i/>
        </w:rPr>
        <w:t>NA1</w:t>
      </w:r>
      <w:r w:rsidR="00295C18">
        <w:t>)</w:t>
      </w:r>
      <w:r w:rsidR="00F15777">
        <w:t xml:space="preserve">, the district Determination will </w:t>
      </w:r>
      <w:r w:rsidR="004B7C8D">
        <w:t>b</w:t>
      </w:r>
      <w:r w:rsidR="00F15777">
        <w:t xml:space="preserve">e </w:t>
      </w:r>
      <w:r w:rsidR="00F15777" w:rsidRPr="004B7C8D">
        <w:rPr>
          <w:b/>
          <w:i/>
        </w:rPr>
        <w:t>NA2</w:t>
      </w:r>
      <w:r w:rsidR="00F15777">
        <w:t>.</w:t>
      </w:r>
    </w:p>
    <w:p w:rsidR="00A44D19" w:rsidRPr="009E1B69" w:rsidRDefault="00A44D19" w:rsidP="00524F2C">
      <w:pPr>
        <w:tabs>
          <w:tab w:val="left" w:pos="1440"/>
        </w:tabs>
        <w:spacing w:before="120" w:after="0"/>
        <w:rPr>
          <w:u w:val="single"/>
        </w:rPr>
      </w:pPr>
      <w:r w:rsidRPr="00524F2C">
        <w:rPr>
          <w:b/>
          <w:u w:val="single"/>
        </w:rPr>
        <w:t>Needs Intervention</w:t>
      </w:r>
      <w:r w:rsidR="009E1B69">
        <w:rPr>
          <w:u w:val="single"/>
        </w:rPr>
        <w:t xml:space="preserve"> (</w:t>
      </w:r>
      <w:r w:rsidR="009E1B69" w:rsidRPr="00524F2C">
        <w:rPr>
          <w:i/>
          <w:u w:val="single"/>
        </w:rPr>
        <w:t>NI</w:t>
      </w:r>
      <w:r w:rsidR="009E1B69">
        <w:rPr>
          <w:u w:val="single"/>
        </w:rPr>
        <w:t>)</w:t>
      </w:r>
    </w:p>
    <w:p w:rsidR="007778F4" w:rsidRDefault="00F15777" w:rsidP="007778F4">
      <w:pPr>
        <w:tabs>
          <w:tab w:val="left" w:pos="1440"/>
        </w:tabs>
        <w:spacing w:after="0"/>
      </w:pPr>
      <w:r>
        <w:t xml:space="preserve">District scored a </w:t>
      </w:r>
      <w:r w:rsidRPr="00C930E2">
        <w:rPr>
          <w:b/>
        </w:rPr>
        <w:t>2 or more</w:t>
      </w:r>
      <w:r>
        <w:t xml:space="preserve"> on the </w:t>
      </w:r>
      <w:r w:rsidR="002A2C57" w:rsidRPr="00295C18">
        <w:rPr>
          <w:i/>
        </w:rPr>
        <w:t xml:space="preserve">Determinations </w:t>
      </w:r>
      <w:r w:rsidRPr="00794820">
        <w:rPr>
          <w:i/>
        </w:rPr>
        <w:t>Scoring Rubric</w:t>
      </w:r>
      <w:r>
        <w:t>.  If this is the 3</w:t>
      </w:r>
      <w:r w:rsidRPr="00F15777">
        <w:rPr>
          <w:vertAlign w:val="superscript"/>
        </w:rPr>
        <w:t>rd</w:t>
      </w:r>
      <w:r>
        <w:t xml:space="preserve"> consecutive year of scoring 2 or more on the </w:t>
      </w:r>
      <w:r w:rsidR="00295C18" w:rsidRPr="00295C18">
        <w:rPr>
          <w:i/>
        </w:rPr>
        <w:t xml:space="preserve">Determinations </w:t>
      </w:r>
      <w:r w:rsidR="00020C09" w:rsidRPr="00794820">
        <w:rPr>
          <w:i/>
        </w:rPr>
        <w:t>Scoring Rubric</w:t>
      </w:r>
      <w:r w:rsidR="00020C09">
        <w:t xml:space="preserve"> </w:t>
      </w:r>
      <w:r w:rsidR="002A2C57">
        <w:t xml:space="preserve">(or a prior year Determination of </w:t>
      </w:r>
      <w:r w:rsidR="002A2C57" w:rsidRPr="002A2C57">
        <w:rPr>
          <w:b/>
          <w:i/>
        </w:rPr>
        <w:t>NA2</w:t>
      </w:r>
      <w:r w:rsidR="002A2C57">
        <w:t xml:space="preserve">) </w:t>
      </w:r>
      <w:r>
        <w:t xml:space="preserve">the district Determination will be </w:t>
      </w:r>
      <w:r w:rsidRPr="004B7C8D">
        <w:rPr>
          <w:b/>
          <w:i/>
        </w:rPr>
        <w:t>NI1</w:t>
      </w:r>
      <w:r>
        <w:t xml:space="preserve">.  </w:t>
      </w:r>
      <w:r w:rsidR="004B7C8D">
        <w:t>T</w:t>
      </w:r>
      <w:r>
        <w:t>he 4</w:t>
      </w:r>
      <w:r w:rsidRPr="00F15777">
        <w:rPr>
          <w:vertAlign w:val="superscript"/>
        </w:rPr>
        <w:t>th</w:t>
      </w:r>
      <w:r>
        <w:t xml:space="preserve"> consecutive year of scoring </w:t>
      </w:r>
      <w:r w:rsidRPr="00C930E2">
        <w:rPr>
          <w:b/>
        </w:rPr>
        <w:t>2 or more</w:t>
      </w:r>
      <w:r>
        <w:t xml:space="preserve"> on the </w:t>
      </w:r>
      <w:r w:rsidR="002A2C57" w:rsidRPr="00295C18">
        <w:rPr>
          <w:i/>
        </w:rPr>
        <w:t xml:space="preserve">Determinations </w:t>
      </w:r>
      <w:r w:rsidR="00020C09" w:rsidRPr="00794820">
        <w:rPr>
          <w:i/>
        </w:rPr>
        <w:t>Scoring Rubric</w:t>
      </w:r>
      <w:r w:rsidR="002A2C57">
        <w:t xml:space="preserve"> (or a prior year Determination of </w:t>
      </w:r>
      <w:r w:rsidR="002A2C57" w:rsidRPr="002A2C57">
        <w:rPr>
          <w:b/>
          <w:i/>
        </w:rPr>
        <w:t>NI1</w:t>
      </w:r>
      <w:r w:rsidR="002A2C57">
        <w:t>)</w:t>
      </w:r>
      <w:r>
        <w:t xml:space="preserve"> </w:t>
      </w:r>
      <w:r w:rsidR="002A2C57">
        <w:t>results in a</w:t>
      </w:r>
      <w:r>
        <w:t xml:space="preserve"> Determination </w:t>
      </w:r>
      <w:r w:rsidR="002A2C57">
        <w:t>of</w:t>
      </w:r>
      <w:r>
        <w:t xml:space="preserve"> </w:t>
      </w:r>
      <w:r w:rsidRPr="004B7C8D">
        <w:rPr>
          <w:b/>
          <w:i/>
        </w:rPr>
        <w:t>NI2</w:t>
      </w:r>
      <w:r w:rsidR="002A2C57">
        <w:rPr>
          <w:b/>
          <w:i/>
        </w:rPr>
        <w:t>.</w:t>
      </w:r>
      <w:r w:rsidR="004B7C8D">
        <w:t xml:space="preserve"> </w:t>
      </w:r>
      <w:r w:rsidR="002A2C57">
        <w:t xml:space="preserve"> The</w:t>
      </w:r>
      <w:r w:rsidR="004B7C8D">
        <w:t xml:space="preserve"> 5</w:t>
      </w:r>
      <w:r w:rsidR="004B7C8D" w:rsidRPr="004B7C8D">
        <w:rPr>
          <w:vertAlign w:val="superscript"/>
        </w:rPr>
        <w:t>th</w:t>
      </w:r>
      <w:r w:rsidR="004B7C8D">
        <w:t xml:space="preserve"> consecutive year</w:t>
      </w:r>
      <w:r w:rsidR="002A2C57">
        <w:t xml:space="preserve"> of scoring </w:t>
      </w:r>
      <w:r w:rsidR="002A2C57" w:rsidRPr="00C930E2">
        <w:rPr>
          <w:b/>
        </w:rPr>
        <w:t>2 or more</w:t>
      </w:r>
      <w:r w:rsidR="002A2C57">
        <w:t xml:space="preserve"> on the </w:t>
      </w:r>
      <w:r w:rsidR="002A2C57" w:rsidRPr="00295C18">
        <w:rPr>
          <w:i/>
        </w:rPr>
        <w:t>Determinations</w:t>
      </w:r>
      <w:r w:rsidR="002A2C57">
        <w:rPr>
          <w:i/>
        </w:rPr>
        <w:t xml:space="preserve"> Scoring Rubric</w:t>
      </w:r>
      <w:r w:rsidR="002A2C57">
        <w:t xml:space="preserve"> (or prior year Determination of </w:t>
      </w:r>
      <w:r w:rsidR="002A2C57" w:rsidRPr="002A2C57">
        <w:rPr>
          <w:b/>
          <w:i/>
        </w:rPr>
        <w:t>NI2</w:t>
      </w:r>
      <w:r w:rsidR="002A2C57">
        <w:t>)</w:t>
      </w:r>
      <w:r w:rsidR="004B7C8D">
        <w:t xml:space="preserve"> </w:t>
      </w:r>
      <w:r w:rsidR="002A2C57">
        <w:t>results in a Determination of</w:t>
      </w:r>
      <w:r w:rsidR="004B7C8D">
        <w:t xml:space="preserve"> </w:t>
      </w:r>
      <w:r w:rsidR="004B7C8D" w:rsidRPr="004B7C8D">
        <w:rPr>
          <w:b/>
          <w:i/>
        </w:rPr>
        <w:t>NI3</w:t>
      </w:r>
      <w:r w:rsidR="007778F4">
        <w:t>.</w:t>
      </w:r>
    </w:p>
    <w:p w:rsidR="00A44D19" w:rsidRPr="009E1B69" w:rsidRDefault="00A44D19" w:rsidP="00524F2C">
      <w:pPr>
        <w:tabs>
          <w:tab w:val="left" w:pos="1440"/>
        </w:tabs>
        <w:spacing w:before="120" w:after="0"/>
        <w:rPr>
          <w:u w:val="single"/>
        </w:rPr>
      </w:pPr>
      <w:r w:rsidRPr="00524F2C">
        <w:rPr>
          <w:b/>
          <w:u w:val="single"/>
        </w:rPr>
        <w:t>Needs Substantial</w:t>
      </w:r>
      <w:r>
        <w:rPr>
          <w:b/>
          <w:u w:val="single"/>
        </w:rPr>
        <w:t xml:space="preserve"> </w:t>
      </w:r>
      <w:r w:rsidRPr="00A44D19">
        <w:rPr>
          <w:b/>
          <w:u w:val="single"/>
        </w:rPr>
        <w:t>Intervention</w:t>
      </w:r>
      <w:r w:rsidR="009E1B69">
        <w:rPr>
          <w:u w:val="single"/>
        </w:rPr>
        <w:t xml:space="preserve"> (</w:t>
      </w:r>
      <w:r w:rsidR="009E1B69" w:rsidRPr="00524F2C">
        <w:rPr>
          <w:i/>
          <w:u w:val="single"/>
        </w:rPr>
        <w:t>NSI</w:t>
      </w:r>
      <w:r w:rsidR="009E1B69">
        <w:rPr>
          <w:u w:val="single"/>
        </w:rPr>
        <w:t>)</w:t>
      </w:r>
    </w:p>
    <w:p w:rsidR="00F15777" w:rsidRPr="00F15777" w:rsidRDefault="00F15777" w:rsidP="00F15777">
      <w:pPr>
        <w:pStyle w:val="ListParagraph"/>
        <w:numPr>
          <w:ilvl w:val="0"/>
          <w:numId w:val="5"/>
        </w:numPr>
        <w:tabs>
          <w:tab w:val="left" w:pos="1440"/>
        </w:tabs>
        <w:spacing w:after="0"/>
        <w:rPr>
          <w:b/>
          <w:sz w:val="28"/>
          <w:szCs w:val="28"/>
          <w:u w:val="single"/>
        </w:rPr>
      </w:pPr>
      <w:r>
        <w:t xml:space="preserve">District scored </w:t>
      </w:r>
      <w:r w:rsidRPr="00C930E2">
        <w:rPr>
          <w:b/>
        </w:rPr>
        <w:t>2 or more</w:t>
      </w:r>
      <w:r>
        <w:t xml:space="preserve"> on the </w:t>
      </w:r>
      <w:r w:rsidR="002A2C57" w:rsidRPr="00295C18">
        <w:rPr>
          <w:i/>
        </w:rPr>
        <w:t xml:space="preserve">Determinations </w:t>
      </w:r>
      <w:r w:rsidRPr="00794820">
        <w:rPr>
          <w:i/>
        </w:rPr>
        <w:t>Scoring Rubric</w:t>
      </w:r>
      <w:r w:rsidR="002A2C57">
        <w:t xml:space="preserve">. If this is the </w:t>
      </w:r>
      <w:r w:rsidR="004B7C8D">
        <w:t>six</w:t>
      </w:r>
      <w:r>
        <w:t xml:space="preserve">th consecutive year </w:t>
      </w:r>
      <w:r w:rsidR="002A2C57">
        <w:t xml:space="preserve">of scoring </w:t>
      </w:r>
      <w:r w:rsidR="002A2C57" w:rsidRPr="00C930E2">
        <w:rPr>
          <w:b/>
        </w:rPr>
        <w:t>2 or more</w:t>
      </w:r>
      <w:r w:rsidR="002A2C57">
        <w:t xml:space="preserve"> on the rubric (or the prior year Determination was NI3)</w:t>
      </w:r>
      <w:r>
        <w:t xml:space="preserve"> the district Determination will be </w:t>
      </w:r>
      <w:r w:rsidRPr="00C930E2">
        <w:rPr>
          <w:b/>
          <w:i/>
        </w:rPr>
        <w:t>NSI</w:t>
      </w:r>
      <w:r>
        <w:t>; or</w:t>
      </w:r>
    </w:p>
    <w:p w:rsidR="005662F9" w:rsidRPr="00F15777" w:rsidRDefault="00F15777" w:rsidP="00F15777">
      <w:pPr>
        <w:pStyle w:val="ListParagraph"/>
        <w:numPr>
          <w:ilvl w:val="0"/>
          <w:numId w:val="5"/>
        </w:numPr>
        <w:tabs>
          <w:tab w:val="left" w:pos="1440"/>
        </w:tabs>
        <w:spacing w:after="0"/>
        <w:rPr>
          <w:b/>
          <w:sz w:val="28"/>
          <w:szCs w:val="28"/>
          <w:u w:val="single"/>
        </w:rPr>
      </w:pPr>
      <w:r>
        <w:t xml:space="preserve">If the district is </w:t>
      </w:r>
      <w:r w:rsidR="007778F4">
        <w:t xml:space="preserve">found to meet the criteria for </w:t>
      </w:r>
      <w:r w:rsidR="00B6694E" w:rsidRPr="00C930E2">
        <w:rPr>
          <w:b/>
        </w:rPr>
        <w:t>Persistent Failure to</w:t>
      </w:r>
      <w:r w:rsidR="002A2C57" w:rsidRPr="00C930E2">
        <w:rPr>
          <w:b/>
        </w:rPr>
        <w:t xml:space="preserve"> Comply/</w:t>
      </w:r>
      <w:r w:rsidR="009E1B69" w:rsidRPr="00C930E2">
        <w:rPr>
          <w:b/>
        </w:rPr>
        <w:t xml:space="preserve">Unable </w:t>
      </w:r>
      <w:r w:rsidR="007778F4" w:rsidRPr="00C930E2">
        <w:rPr>
          <w:b/>
        </w:rPr>
        <w:t>to Comply</w:t>
      </w:r>
      <w:r w:rsidR="00B6694E">
        <w:rPr>
          <w:i/>
        </w:rPr>
        <w:t>,</w:t>
      </w:r>
      <w:r w:rsidR="009E1B69" w:rsidRPr="009E1B69">
        <w:rPr>
          <w:i/>
        </w:rPr>
        <w:t xml:space="preserve"> the district Determination will be </w:t>
      </w:r>
      <w:r w:rsidR="009E1B69" w:rsidRPr="00C930E2">
        <w:rPr>
          <w:b/>
          <w:i/>
        </w:rPr>
        <w:t>NSI</w:t>
      </w:r>
      <w:r w:rsidR="007778F4" w:rsidRPr="009E1B69">
        <w:rPr>
          <w:i/>
        </w:rPr>
        <w:t>.</w:t>
      </w:r>
    </w:p>
    <w:p w:rsidR="009E1B69" w:rsidRDefault="009E1B69" w:rsidP="00524F2C">
      <w:pPr>
        <w:tabs>
          <w:tab w:val="left" w:pos="1440"/>
        </w:tabs>
        <w:spacing w:before="120" w:after="0"/>
        <w:rPr>
          <w:b/>
          <w:u w:val="single"/>
        </w:rPr>
      </w:pPr>
      <w:r w:rsidRPr="00524F2C">
        <w:rPr>
          <w:b/>
          <w:u w:val="single"/>
        </w:rPr>
        <w:t>Additional Determination</w:t>
      </w:r>
      <w:r>
        <w:rPr>
          <w:b/>
          <w:u w:val="single"/>
        </w:rPr>
        <w:t xml:space="preserve"> Factors</w:t>
      </w:r>
    </w:p>
    <w:p w:rsidR="00717571" w:rsidRDefault="009E1B69" w:rsidP="009E1B69">
      <w:pPr>
        <w:tabs>
          <w:tab w:val="left" w:pos="1440"/>
        </w:tabs>
        <w:spacing w:after="0"/>
      </w:pPr>
      <w:r>
        <w:t xml:space="preserve">A district may be placed in one of the above Determination levels outside of the </w:t>
      </w:r>
      <w:r w:rsidRPr="002A2C57">
        <w:rPr>
          <w:i/>
        </w:rPr>
        <w:t xml:space="preserve">Determination </w:t>
      </w:r>
      <w:r w:rsidR="00E408DE">
        <w:rPr>
          <w:i/>
        </w:rPr>
        <w:t>S</w:t>
      </w:r>
      <w:r w:rsidR="00E408DE" w:rsidRPr="0030389A">
        <w:rPr>
          <w:i/>
        </w:rPr>
        <w:t xml:space="preserve">coring </w:t>
      </w:r>
      <w:r w:rsidR="00E408DE">
        <w:rPr>
          <w:i/>
        </w:rPr>
        <w:t>R</w:t>
      </w:r>
      <w:r w:rsidR="00E408DE" w:rsidRPr="0030389A">
        <w:rPr>
          <w:i/>
        </w:rPr>
        <w:t>ubr</w:t>
      </w:r>
      <w:r w:rsidR="00E408DE">
        <w:t>ic</w:t>
      </w:r>
      <w:r>
        <w:t xml:space="preserve"> based on the results of an </w:t>
      </w:r>
      <w:r w:rsidRPr="002A2C57">
        <w:rPr>
          <w:b/>
        </w:rPr>
        <w:t>On-Site Monitoring Visit</w:t>
      </w:r>
      <w:r w:rsidR="002A2C57" w:rsidRPr="002A2C57">
        <w:t>.  In</w:t>
      </w:r>
      <w:r w:rsidR="00717571" w:rsidRPr="00717571">
        <w:t xml:space="preserve"> ad</w:t>
      </w:r>
      <w:r w:rsidR="00717571">
        <w:t>dition</w:t>
      </w:r>
      <w:r w:rsidR="002A2C57">
        <w:t xml:space="preserve"> when </w:t>
      </w:r>
      <w:r w:rsidR="00717571">
        <w:t>a</w:t>
      </w:r>
      <w:r w:rsidR="002A2C57">
        <w:t xml:space="preserve"> district is determined to meet the criteria for </w:t>
      </w:r>
      <w:r w:rsidR="002A2C57" w:rsidRPr="00717571">
        <w:rPr>
          <w:b/>
        </w:rPr>
        <w:t>Persistent Failure to Comply/Unable to Comply</w:t>
      </w:r>
      <w:r w:rsidR="002A2C57">
        <w:rPr>
          <w:i/>
        </w:rPr>
        <w:t>,</w:t>
      </w:r>
      <w:r w:rsidR="002A2C57" w:rsidRPr="009E1B69">
        <w:rPr>
          <w:i/>
        </w:rPr>
        <w:t xml:space="preserve"> </w:t>
      </w:r>
      <w:r w:rsidR="002A2C57" w:rsidRPr="002A2C57">
        <w:t>the district Determination</w:t>
      </w:r>
      <w:r w:rsidR="00717571">
        <w:t xml:space="preserve"> is Needs Substantial Intervention (</w:t>
      </w:r>
      <w:r w:rsidR="00717571" w:rsidRPr="00EB5719">
        <w:rPr>
          <w:b/>
          <w:i/>
        </w:rPr>
        <w:t>NSI</w:t>
      </w:r>
      <w:r w:rsidR="00717571">
        <w:t>) regardless of any other factors.</w:t>
      </w:r>
    </w:p>
    <w:p w:rsidR="00717571" w:rsidRDefault="00717571" w:rsidP="009E1B69">
      <w:pPr>
        <w:tabs>
          <w:tab w:val="left" w:pos="1440"/>
        </w:tabs>
        <w:spacing w:after="0"/>
      </w:pPr>
    </w:p>
    <w:p w:rsidR="009E1B69" w:rsidRPr="009E1B69" w:rsidRDefault="009E1B69" w:rsidP="009E1B69">
      <w:pPr>
        <w:tabs>
          <w:tab w:val="left" w:pos="1440"/>
        </w:tabs>
        <w:spacing w:after="0"/>
      </w:pPr>
      <w:r>
        <w:t xml:space="preserve">The results of an </w:t>
      </w:r>
      <w:r w:rsidRPr="00717571">
        <w:rPr>
          <w:b/>
        </w:rPr>
        <w:t>On-Site Monitoring Visit</w:t>
      </w:r>
      <w:r>
        <w:t xml:space="preserve"> report a percentage of compliance.  Based on that percent of compliance a district may have a Determination </w:t>
      </w:r>
      <w:r w:rsidR="00717571">
        <w:t>of</w:t>
      </w:r>
      <w:r>
        <w:t xml:space="preserve"> </w:t>
      </w:r>
      <w:r w:rsidR="00717571">
        <w:t>Meets (</w:t>
      </w:r>
      <w:r w:rsidR="00717571" w:rsidRPr="000075C3">
        <w:rPr>
          <w:b/>
          <w:i/>
        </w:rPr>
        <w:t>MEETS</w:t>
      </w:r>
      <w:r w:rsidR="00717571">
        <w:t xml:space="preserve">), </w:t>
      </w:r>
      <w:r>
        <w:t>Needs Assistance (</w:t>
      </w:r>
      <w:r w:rsidRPr="00E408DE">
        <w:rPr>
          <w:b/>
          <w:i/>
        </w:rPr>
        <w:t>NA1</w:t>
      </w:r>
      <w:r>
        <w:t xml:space="preserve"> or </w:t>
      </w:r>
      <w:r w:rsidRPr="00E408DE">
        <w:rPr>
          <w:b/>
          <w:i/>
        </w:rPr>
        <w:t>NA2</w:t>
      </w:r>
      <w:r>
        <w:t xml:space="preserve"> depending on number of years as Needs Assistance), Needs Intervention (</w:t>
      </w:r>
      <w:r w:rsidRPr="00E408DE">
        <w:rPr>
          <w:b/>
          <w:i/>
        </w:rPr>
        <w:t>NI1</w:t>
      </w:r>
      <w:r w:rsidR="00E408DE">
        <w:t xml:space="preserve">, </w:t>
      </w:r>
      <w:r w:rsidR="00E408DE" w:rsidRPr="00E408DE">
        <w:rPr>
          <w:b/>
          <w:i/>
        </w:rPr>
        <w:t>NI2</w:t>
      </w:r>
      <w:r>
        <w:t xml:space="preserve"> or </w:t>
      </w:r>
      <w:r w:rsidRPr="00E408DE">
        <w:rPr>
          <w:b/>
          <w:i/>
        </w:rPr>
        <w:t>NI</w:t>
      </w:r>
      <w:r w:rsidR="00E408DE" w:rsidRPr="00E408DE">
        <w:rPr>
          <w:b/>
          <w:i/>
        </w:rPr>
        <w:t>3</w:t>
      </w:r>
      <w:r>
        <w:t xml:space="preserve"> depending on the number of consecutive years </w:t>
      </w:r>
      <w:r w:rsidR="000075C3" w:rsidRPr="000075C3">
        <w:t>as Needs Assistance</w:t>
      </w:r>
      <w:r>
        <w:t>), or Needs Substantial Intervention (</w:t>
      </w:r>
      <w:r w:rsidRPr="00E408DE">
        <w:rPr>
          <w:b/>
          <w:i/>
        </w:rPr>
        <w:t>NSI</w:t>
      </w:r>
      <w:r>
        <w:t xml:space="preserve">) </w:t>
      </w:r>
      <w:r w:rsidR="00717571">
        <w:t xml:space="preserve">regardless of the score on the </w:t>
      </w:r>
      <w:r w:rsidR="00717571">
        <w:rPr>
          <w:i/>
        </w:rPr>
        <w:t xml:space="preserve">Determination </w:t>
      </w:r>
      <w:r w:rsidR="00717571" w:rsidRPr="00794820">
        <w:rPr>
          <w:i/>
        </w:rPr>
        <w:t>Scoring Rubric</w:t>
      </w:r>
      <w:r w:rsidR="00717571">
        <w:t xml:space="preserve">.  </w:t>
      </w:r>
      <w:r>
        <w:t xml:space="preserve">Determinations that are pursuant to the findings of an </w:t>
      </w:r>
      <w:r w:rsidRPr="00717571">
        <w:rPr>
          <w:b/>
        </w:rPr>
        <w:t>On-Site Monitoring Visit</w:t>
      </w:r>
      <w:r>
        <w:t xml:space="preserve"> are outlined in </w:t>
      </w:r>
      <w:r w:rsidR="00717571" w:rsidRPr="00717571">
        <w:rPr>
          <w:b/>
        </w:rPr>
        <w:t>Table A:</w:t>
      </w:r>
      <w:r w:rsidR="00717571" w:rsidRPr="00717571">
        <w:rPr>
          <w:i/>
        </w:rPr>
        <w:t xml:space="preserve"> Determinations Scoring Guide</w:t>
      </w:r>
      <w:r w:rsidR="00717571">
        <w:rPr>
          <w:i/>
        </w:rPr>
        <w:t xml:space="preserve"> </w:t>
      </w:r>
      <w:r w:rsidR="00717571" w:rsidRPr="00717571">
        <w:t>above</w:t>
      </w:r>
      <w:r>
        <w:t>.</w:t>
      </w:r>
    </w:p>
    <w:p w:rsidR="00985FE6" w:rsidRDefault="00985FE6">
      <w:pPr>
        <w:rPr>
          <w:b/>
          <w:sz w:val="28"/>
          <w:szCs w:val="28"/>
          <w:u w:val="single"/>
        </w:rPr>
      </w:pPr>
      <w:r>
        <w:rPr>
          <w:b/>
          <w:sz w:val="28"/>
          <w:szCs w:val="28"/>
          <w:u w:val="single"/>
        </w:rPr>
        <w:br w:type="page"/>
      </w:r>
    </w:p>
    <w:p w:rsidR="00A11670" w:rsidRDefault="00A11670" w:rsidP="00BA1C1B">
      <w:pPr>
        <w:spacing w:before="120" w:after="0"/>
        <w:rPr>
          <w:b/>
          <w:sz w:val="28"/>
          <w:szCs w:val="28"/>
          <w:u w:val="single"/>
        </w:rPr>
      </w:pPr>
      <w:r>
        <w:rPr>
          <w:b/>
          <w:sz w:val="28"/>
          <w:szCs w:val="28"/>
          <w:u w:val="single"/>
        </w:rPr>
        <w:lastRenderedPageBreak/>
        <w:t>Enforcement Actions</w:t>
      </w:r>
      <w:r w:rsidRPr="005729B7">
        <w:rPr>
          <w:b/>
          <w:sz w:val="28"/>
          <w:szCs w:val="28"/>
          <w:u w:val="single"/>
        </w:rPr>
        <w:t>:</w:t>
      </w:r>
    </w:p>
    <w:p w:rsidR="00A11670" w:rsidRDefault="00A11670" w:rsidP="00202086">
      <w:pPr>
        <w:tabs>
          <w:tab w:val="left" w:pos="1440"/>
        </w:tabs>
        <w:spacing w:after="0"/>
      </w:pPr>
      <w:r>
        <w:t>T</w:t>
      </w:r>
      <w:r w:rsidR="00A561EC">
        <w:t xml:space="preserve">he IDEA regulations at 34 C.F.R. </w:t>
      </w:r>
      <w:r w:rsidR="005662F9">
        <w:t xml:space="preserve">Section 300.600(a) specifically </w:t>
      </w:r>
      <w:r w:rsidR="00020C09">
        <w:t>designates</w:t>
      </w:r>
      <w:r w:rsidR="005662F9">
        <w:t xml:space="preserve"> the enforcement actions that states must apply after a determination is made. </w:t>
      </w:r>
    </w:p>
    <w:p w:rsidR="00202086" w:rsidRPr="00202086" w:rsidRDefault="00202086" w:rsidP="00E81CD2">
      <w:pPr>
        <w:tabs>
          <w:tab w:val="left" w:pos="1440"/>
        </w:tabs>
        <w:spacing w:before="120" w:after="120"/>
        <w:rPr>
          <w:b/>
        </w:rPr>
      </w:pPr>
      <w:r w:rsidRPr="009A12B2">
        <w:rPr>
          <w:b/>
        </w:rPr>
        <w:t xml:space="preserve">Table </w:t>
      </w:r>
      <w:r>
        <w:rPr>
          <w:b/>
        </w:rPr>
        <w:t>B</w:t>
      </w:r>
      <w:r w:rsidRPr="009A12B2">
        <w:rPr>
          <w:b/>
        </w:rPr>
        <w:t>:</w:t>
      </w:r>
      <w:r>
        <w:t xml:space="preserve">  </w:t>
      </w:r>
      <w:r w:rsidR="00717571">
        <w:rPr>
          <w:i/>
        </w:rPr>
        <w:t>Enforcement Actions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72" w:type="dxa"/>
          <w:left w:w="72" w:type="dxa"/>
          <w:bottom w:w="72" w:type="dxa"/>
          <w:right w:w="72" w:type="dxa"/>
        </w:tblCellMar>
        <w:tblLook w:val="04A0" w:firstRow="1" w:lastRow="0" w:firstColumn="1" w:lastColumn="0" w:noHBand="0" w:noVBand="1"/>
      </w:tblPr>
      <w:tblGrid>
        <w:gridCol w:w="2142"/>
        <w:gridCol w:w="1016"/>
        <w:gridCol w:w="6346"/>
      </w:tblGrid>
      <w:tr w:rsidR="005662F9" w:rsidRPr="009B4A7F" w:rsidTr="00F328F0">
        <w:trPr>
          <w:cantSplit/>
          <w:trHeight w:val="432"/>
          <w:tblHeader/>
        </w:trPr>
        <w:tc>
          <w:tcPr>
            <w:tcW w:w="2142" w:type="dxa"/>
            <w:tcBorders>
              <w:top w:val="single" w:sz="12" w:space="0" w:color="000000" w:themeColor="text1"/>
              <w:bottom w:val="single" w:sz="12" w:space="0" w:color="000000" w:themeColor="text1"/>
              <w:right w:val="single" w:sz="12" w:space="0" w:color="000000" w:themeColor="text1"/>
            </w:tcBorders>
            <w:vAlign w:val="center"/>
          </w:tcPr>
          <w:p w:rsidR="005662F9" w:rsidRPr="009B4A7F" w:rsidRDefault="005662F9" w:rsidP="00A561EC">
            <w:pPr>
              <w:tabs>
                <w:tab w:val="left" w:pos="1440"/>
              </w:tabs>
              <w:jc w:val="center"/>
              <w:rPr>
                <w:b/>
                <w:sz w:val="24"/>
                <w:szCs w:val="24"/>
              </w:rPr>
            </w:pPr>
            <w:r w:rsidRPr="009B4A7F">
              <w:rPr>
                <w:b/>
                <w:sz w:val="24"/>
                <w:szCs w:val="24"/>
              </w:rPr>
              <w:t>Determination</w:t>
            </w:r>
          </w:p>
        </w:tc>
        <w:tc>
          <w:tcPr>
            <w:tcW w:w="10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662F9" w:rsidRPr="009B4A7F" w:rsidRDefault="005662F9" w:rsidP="00A561EC">
            <w:pPr>
              <w:tabs>
                <w:tab w:val="left" w:pos="1440"/>
              </w:tabs>
              <w:jc w:val="center"/>
              <w:rPr>
                <w:b/>
                <w:sz w:val="24"/>
                <w:szCs w:val="24"/>
              </w:rPr>
            </w:pPr>
            <w:r w:rsidRPr="009B4A7F">
              <w:rPr>
                <w:b/>
                <w:sz w:val="24"/>
                <w:szCs w:val="24"/>
              </w:rPr>
              <w:t>Level</w:t>
            </w:r>
          </w:p>
        </w:tc>
        <w:tc>
          <w:tcPr>
            <w:tcW w:w="6346" w:type="dxa"/>
            <w:tcBorders>
              <w:top w:val="single" w:sz="12" w:space="0" w:color="000000" w:themeColor="text1"/>
              <w:left w:val="single" w:sz="12" w:space="0" w:color="000000" w:themeColor="text1"/>
              <w:bottom w:val="single" w:sz="12" w:space="0" w:color="000000" w:themeColor="text1"/>
            </w:tcBorders>
            <w:vAlign w:val="center"/>
          </w:tcPr>
          <w:p w:rsidR="005662F9" w:rsidRPr="009B4A7F" w:rsidRDefault="005662F9" w:rsidP="00A561EC">
            <w:pPr>
              <w:tabs>
                <w:tab w:val="left" w:pos="1440"/>
              </w:tabs>
              <w:jc w:val="center"/>
              <w:rPr>
                <w:b/>
                <w:sz w:val="24"/>
                <w:szCs w:val="24"/>
              </w:rPr>
            </w:pPr>
            <w:r w:rsidRPr="009B4A7F">
              <w:rPr>
                <w:b/>
                <w:sz w:val="24"/>
                <w:szCs w:val="24"/>
              </w:rPr>
              <w:t>Enforcement Actions</w:t>
            </w:r>
          </w:p>
        </w:tc>
      </w:tr>
      <w:tr w:rsidR="005662F9" w:rsidTr="00020C09">
        <w:trPr>
          <w:cantSplit/>
          <w:trHeight w:val="144"/>
        </w:trPr>
        <w:tc>
          <w:tcPr>
            <w:tcW w:w="2142" w:type="dxa"/>
            <w:tcBorders>
              <w:top w:val="single" w:sz="12" w:space="0" w:color="000000" w:themeColor="text1"/>
              <w:bottom w:val="single" w:sz="12" w:space="0" w:color="000000" w:themeColor="text1"/>
              <w:right w:val="single" w:sz="12" w:space="0" w:color="000000" w:themeColor="text1"/>
            </w:tcBorders>
            <w:vAlign w:val="center"/>
          </w:tcPr>
          <w:p w:rsidR="00A561EC" w:rsidRPr="00A561EC" w:rsidRDefault="005662F9" w:rsidP="00A561EC">
            <w:pPr>
              <w:tabs>
                <w:tab w:val="left" w:pos="1440"/>
              </w:tabs>
              <w:jc w:val="center"/>
              <w:rPr>
                <w:b/>
              </w:rPr>
            </w:pPr>
            <w:r w:rsidRPr="00A561EC">
              <w:rPr>
                <w:b/>
              </w:rPr>
              <w:t>Meets</w:t>
            </w:r>
          </w:p>
          <w:p w:rsidR="005662F9" w:rsidRDefault="005662F9" w:rsidP="00A561EC">
            <w:pPr>
              <w:tabs>
                <w:tab w:val="left" w:pos="1440"/>
              </w:tabs>
              <w:jc w:val="center"/>
            </w:pPr>
            <w:r w:rsidRPr="00A561EC">
              <w:rPr>
                <w:b/>
              </w:rPr>
              <w:t>Requirements</w:t>
            </w:r>
          </w:p>
        </w:tc>
        <w:tc>
          <w:tcPr>
            <w:tcW w:w="10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662F9" w:rsidRPr="00E408DE" w:rsidRDefault="00A561EC" w:rsidP="00A561EC">
            <w:pPr>
              <w:tabs>
                <w:tab w:val="left" w:pos="1440"/>
              </w:tabs>
              <w:jc w:val="center"/>
              <w:rPr>
                <w:b/>
                <w:i/>
              </w:rPr>
            </w:pPr>
            <w:r w:rsidRPr="00E408DE">
              <w:rPr>
                <w:b/>
                <w:i/>
              </w:rPr>
              <w:t>MEETS</w:t>
            </w:r>
          </w:p>
        </w:tc>
        <w:tc>
          <w:tcPr>
            <w:tcW w:w="6346" w:type="dxa"/>
            <w:tcBorders>
              <w:top w:val="single" w:sz="12" w:space="0" w:color="000000" w:themeColor="text1"/>
              <w:left w:val="single" w:sz="12" w:space="0" w:color="000000" w:themeColor="text1"/>
              <w:bottom w:val="single" w:sz="12" w:space="0" w:color="000000" w:themeColor="text1"/>
            </w:tcBorders>
          </w:tcPr>
          <w:p w:rsidR="005662F9" w:rsidRDefault="005662F9" w:rsidP="00C53B98">
            <w:pPr>
              <w:tabs>
                <w:tab w:val="left" w:pos="1440"/>
              </w:tabs>
              <w:ind w:left="162"/>
            </w:pPr>
            <w:r>
              <w:t>None</w:t>
            </w:r>
          </w:p>
        </w:tc>
      </w:tr>
      <w:tr w:rsidR="00983765" w:rsidTr="00020C09">
        <w:trPr>
          <w:cantSplit/>
          <w:trHeight w:val="144"/>
        </w:trPr>
        <w:tc>
          <w:tcPr>
            <w:tcW w:w="2142" w:type="dxa"/>
            <w:vMerge w:val="restart"/>
            <w:tcBorders>
              <w:top w:val="single" w:sz="12" w:space="0" w:color="000000" w:themeColor="text1"/>
              <w:bottom w:val="single" w:sz="6" w:space="0" w:color="000000" w:themeColor="text1"/>
              <w:right w:val="single" w:sz="12" w:space="0" w:color="000000" w:themeColor="text1"/>
            </w:tcBorders>
          </w:tcPr>
          <w:p w:rsidR="00983765" w:rsidRPr="00A561EC" w:rsidRDefault="00983765" w:rsidP="00A561EC">
            <w:pPr>
              <w:tabs>
                <w:tab w:val="left" w:pos="1440"/>
              </w:tabs>
              <w:jc w:val="center"/>
              <w:rPr>
                <w:b/>
              </w:rPr>
            </w:pPr>
            <w:r w:rsidRPr="00A561EC">
              <w:rPr>
                <w:b/>
              </w:rPr>
              <w:t>Needs</w:t>
            </w:r>
          </w:p>
          <w:p w:rsidR="00983765" w:rsidRDefault="00983765" w:rsidP="00A561EC">
            <w:pPr>
              <w:tabs>
                <w:tab w:val="left" w:pos="1440"/>
              </w:tabs>
              <w:jc w:val="center"/>
            </w:pPr>
            <w:r w:rsidRPr="00A561EC">
              <w:rPr>
                <w:b/>
              </w:rPr>
              <w:t>Assistance</w:t>
            </w:r>
          </w:p>
        </w:tc>
        <w:tc>
          <w:tcPr>
            <w:tcW w:w="1016"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983765" w:rsidRPr="00E408DE" w:rsidRDefault="00983765" w:rsidP="00A561EC">
            <w:pPr>
              <w:tabs>
                <w:tab w:val="left" w:pos="1440"/>
              </w:tabs>
              <w:jc w:val="center"/>
              <w:rPr>
                <w:b/>
                <w:i/>
              </w:rPr>
            </w:pPr>
            <w:r w:rsidRPr="00E408DE">
              <w:rPr>
                <w:b/>
                <w:i/>
              </w:rPr>
              <w:t>NA1</w:t>
            </w:r>
          </w:p>
        </w:tc>
        <w:tc>
          <w:tcPr>
            <w:tcW w:w="6346" w:type="dxa"/>
            <w:tcBorders>
              <w:top w:val="single" w:sz="12" w:space="0" w:color="000000" w:themeColor="text1"/>
              <w:left w:val="single" w:sz="12" w:space="0" w:color="000000" w:themeColor="text1"/>
              <w:bottom w:val="single" w:sz="6" w:space="0" w:color="000000" w:themeColor="text1"/>
            </w:tcBorders>
          </w:tcPr>
          <w:p w:rsidR="00983765" w:rsidRDefault="00983765" w:rsidP="00F658ED">
            <w:pPr>
              <w:tabs>
                <w:tab w:val="left" w:pos="1440"/>
              </w:tabs>
              <w:ind w:left="162"/>
            </w:pPr>
            <w:r>
              <w:t>None</w:t>
            </w:r>
          </w:p>
        </w:tc>
      </w:tr>
      <w:tr w:rsidR="009B4A7F" w:rsidTr="00EB5719">
        <w:trPr>
          <w:cantSplit/>
        </w:trPr>
        <w:tc>
          <w:tcPr>
            <w:tcW w:w="2142" w:type="dxa"/>
            <w:vMerge/>
            <w:tcBorders>
              <w:top w:val="single" w:sz="6" w:space="0" w:color="000000" w:themeColor="text1"/>
              <w:bottom w:val="single" w:sz="12" w:space="0" w:color="000000" w:themeColor="text1"/>
              <w:right w:val="single" w:sz="12" w:space="0" w:color="000000" w:themeColor="text1"/>
            </w:tcBorders>
          </w:tcPr>
          <w:p w:rsidR="009B4A7F" w:rsidRDefault="009B4A7F" w:rsidP="00A561EC">
            <w:pPr>
              <w:tabs>
                <w:tab w:val="left" w:pos="1440"/>
              </w:tabs>
              <w:jc w:val="center"/>
            </w:pPr>
          </w:p>
        </w:tc>
        <w:tc>
          <w:tcPr>
            <w:tcW w:w="1016"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9B4A7F" w:rsidRPr="00E408DE" w:rsidRDefault="009B4A7F" w:rsidP="00983765">
            <w:pPr>
              <w:tabs>
                <w:tab w:val="left" w:pos="1440"/>
              </w:tabs>
              <w:jc w:val="center"/>
              <w:rPr>
                <w:b/>
                <w:i/>
              </w:rPr>
            </w:pPr>
            <w:r w:rsidRPr="00E408DE">
              <w:rPr>
                <w:b/>
                <w:i/>
              </w:rPr>
              <w:t>NA</w:t>
            </w:r>
            <w:r w:rsidR="00983765" w:rsidRPr="00E408DE">
              <w:rPr>
                <w:b/>
                <w:i/>
              </w:rPr>
              <w:t>2</w:t>
            </w:r>
          </w:p>
        </w:tc>
        <w:tc>
          <w:tcPr>
            <w:tcW w:w="6346" w:type="dxa"/>
            <w:tcBorders>
              <w:top w:val="single" w:sz="6" w:space="0" w:color="000000" w:themeColor="text1"/>
              <w:left w:val="single" w:sz="12" w:space="0" w:color="000000" w:themeColor="text1"/>
              <w:bottom w:val="single" w:sz="12" w:space="0" w:color="000000" w:themeColor="text1"/>
            </w:tcBorders>
          </w:tcPr>
          <w:p w:rsidR="00020C09" w:rsidRDefault="00020C09" w:rsidP="00020C09">
            <w:pPr>
              <w:tabs>
                <w:tab w:val="left" w:pos="1440"/>
              </w:tabs>
              <w:ind w:left="172"/>
            </w:pPr>
            <w:r w:rsidRPr="004B7C8D">
              <w:rPr>
                <w:b/>
              </w:rPr>
              <w:t>KDE</w:t>
            </w:r>
            <w:r>
              <w:t xml:space="preserve"> </w:t>
            </w:r>
            <w:r w:rsidRPr="00B6694E">
              <w:t>shall take</w:t>
            </w:r>
            <w:r>
              <w:t xml:space="preserve"> one </w:t>
            </w:r>
            <w:r w:rsidR="006A3979">
              <w:t>or</w:t>
            </w:r>
            <w:r>
              <w:t xml:space="preserve"> more of the following actions:</w:t>
            </w:r>
          </w:p>
          <w:p w:rsidR="00BD15D3" w:rsidRDefault="009B4A7F" w:rsidP="009B4A7F">
            <w:pPr>
              <w:pStyle w:val="ListParagraph"/>
              <w:numPr>
                <w:ilvl w:val="0"/>
                <w:numId w:val="3"/>
              </w:numPr>
              <w:tabs>
                <w:tab w:val="left" w:pos="1440"/>
              </w:tabs>
              <w:ind w:left="522"/>
            </w:pPr>
            <w:r>
              <w:t xml:space="preserve">Advise the district of available resources of technical assistance to address areas in need of assistance </w:t>
            </w:r>
          </w:p>
          <w:p w:rsidR="009B4A7F" w:rsidRDefault="00BD15D3" w:rsidP="009B4A7F">
            <w:pPr>
              <w:pStyle w:val="ListParagraph"/>
              <w:numPr>
                <w:ilvl w:val="0"/>
                <w:numId w:val="3"/>
              </w:numPr>
              <w:tabs>
                <w:tab w:val="left" w:pos="1440"/>
              </w:tabs>
              <w:ind w:left="522"/>
            </w:pPr>
            <w:r>
              <w:t>Direct the use of State-level funds in the area(s) in which the district needs assistance</w:t>
            </w:r>
          </w:p>
          <w:p w:rsidR="00B65389" w:rsidRDefault="00BD15D3" w:rsidP="009B4A7F">
            <w:pPr>
              <w:pStyle w:val="ListParagraph"/>
              <w:numPr>
                <w:ilvl w:val="0"/>
                <w:numId w:val="3"/>
              </w:numPr>
              <w:tabs>
                <w:tab w:val="left" w:pos="1440"/>
              </w:tabs>
              <w:ind w:left="522"/>
            </w:pPr>
            <w:r>
              <w:t>Identify the district as a high-risk grantee and impose special conditions on the district’s Part B grant</w:t>
            </w:r>
          </w:p>
        </w:tc>
      </w:tr>
      <w:tr w:rsidR="00F328F0" w:rsidTr="00EB5719">
        <w:trPr>
          <w:cantSplit/>
        </w:trPr>
        <w:tc>
          <w:tcPr>
            <w:tcW w:w="2142" w:type="dxa"/>
            <w:vMerge w:val="restart"/>
            <w:tcBorders>
              <w:top w:val="single" w:sz="12" w:space="0" w:color="000000" w:themeColor="text1"/>
              <w:bottom w:val="single" w:sz="12" w:space="0" w:color="000000" w:themeColor="text1"/>
              <w:right w:val="single" w:sz="12" w:space="0" w:color="000000" w:themeColor="text1"/>
            </w:tcBorders>
          </w:tcPr>
          <w:p w:rsidR="00F328F0" w:rsidRPr="00A561EC" w:rsidRDefault="00F328F0" w:rsidP="00A561EC">
            <w:pPr>
              <w:tabs>
                <w:tab w:val="left" w:pos="1440"/>
              </w:tabs>
              <w:jc w:val="center"/>
              <w:rPr>
                <w:b/>
              </w:rPr>
            </w:pPr>
            <w:r w:rsidRPr="00A561EC">
              <w:rPr>
                <w:b/>
              </w:rPr>
              <w:t>Needs</w:t>
            </w:r>
          </w:p>
          <w:p w:rsidR="00F328F0" w:rsidRDefault="00F328F0" w:rsidP="00A561EC">
            <w:pPr>
              <w:tabs>
                <w:tab w:val="left" w:pos="1440"/>
              </w:tabs>
              <w:jc w:val="center"/>
            </w:pPr>
            <w:r w:rsidRPr="00A561EC">
              <w:rPr>
                <w:b/>
              </w:rPr>
              <w:t>Interventions</w:t>
            </w:r>
          </w:p>
          <w:p w:rsidR="00F328F0" w:rsidRDefault="00F328F0" w:rsidP="00F658ED">
            <w:pPr>
              <w:tabs>
                <w:tab w:val="left" w:pos="1440"/>
              </w:tabs>
              <w:jc w:val="center"/>
            </w:pPr>
          </w:p>
        </w:tc>
        <w:tc>
          <w:tcPr>
            <w:tcW w:w="1016" w:type="dxa"/>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F328F0" w:rsidRPr="00E408DE" w:rsidRDefault="00F328F0" w:rsidP="00A561EC">
            <w:pPr>
              <w:tabs>
                <w:tab w:val="left" w:pos="1440"/>
              </w:tabs>
              <w:jc w:val="center"/>
              <w:rPr>
                <w:b/>
                <w:i/>
              </w:rPr>
            </w:pPr>
            <w:r w:rsidRPr="00E408DE">
              <w:rPr>
                <w:b/>
                <w:i/>
              </w:rPr>
              <w:t>NI1</w:t>
            </w:r>
            <w:r w:rsidR="00020C09" w:rsidRPr="00E408DE">
              <w:rPr>
                <w:b/>
                <w:i/>
              </w:rPr>
              <w:t>/NI2</w:t>
            </w:r>
          </w:p>
        </w:tc>
        <w:tc>
          <w:tcPr>
            <w:tcW w:w="6346" w:type="dxa"/>
            <w:tcBorders>
              <w:top w:val="single" w:sz="12" w:space="0" w:color="000000" w:themeColor="text1"/>
              <w:left w:val="single" w:sz="12" w:space="0" w:color="000000" w:themeColor="text1"/>
              <w:bottom w:val="single" w:sz="6" w:space="0" w:color="000000" w:themeColor="text1"/>
            </w:tcBorders>
          </w:tcPr>
          <w:p w:rsidR="00F328F0" w:rsidRDefault="00020C09" w:rsidP="00B6694E">
            <w:pPr>
              <w:tabs>
                <w:tab w:val="left" w:pos="1440"/>
              </w:tabs>
              <w:ind w:left="172"/>
            </w:pPr>
            <w:r w:rsidRPr="00020C09">
              <w:rPr>
                <w:b/>
              </w:rPr>
              <w:t>KDE</w:t>
            </w:r>
            <w:r>
              <w:t xml:space="preserve"> </w:t>
            </w:r>
            <w:r w:rsidRPr="00B6694E">
              <w:t>shall take</w:t>
            </w:r>
            <w:r>
              <w:t xml:space="preserve"> one </w:t>
            </w:r>
            <w:r w:rsidR="006A3979">
              <w:t>or</w:t>
            </w:r>
            <w:r>
              <w:t xml:space="preserve"> more of actions listed above for </w:t>
            </w:r>
            <w:r w:rsidRPr="00020C09">
              <w:rPr>
                <w:b/>
              </w:rPr>
              <w:t>NA2</w:t>
            </w:r>
            <w:r>
              <w:t>.</w:t>
            </w:r>
            <w:r w:rsidR="006A3979">
              <w:t xml:space="preserve"> </w:t>
            </w:r>
          </w:p>
        </w:tc>
      </w:tr>
      <w:tr w:rsidR="00F328F0" w:rsidTr="00EB5719">
        <w:trPr>
          <w:cantSplit/>
          <w:trHeight w:val="4080"/>
        </w:trPr>
        <w:tc>
          <w:tcPr>
            <w:tcW w:w="2142" w:type="dxa"/>
            <w:vMerge/>
            <w:tcBorders>
              <w:top w:val="nil"/>
              <w:bottom w:val="single" w:sz="12" w:space="0" w:color="000000" w:themeColor="text1"/>
              <w:right w:val="single" w:sz="12" w:space="0" w:color="000000" w:themeColor="text1"/>
            </w:tcBorders>
          </w:tcPr>
          <w:p w:rsidR="00F328F0" w:rsidRDefault="00F328F0" w:rsidP="00A561EC">
            <w:pPr>
              <w:tabs>
                <w:tab w:val="left" w:pos="1440"/>
              </w:tabs>
              <w:jc w:val="center"/>
            </w:pPr>
          </w:p>
        </w:tc>
        <w:tc>
          <w:tcPr>
            <w:tcW w:w="1016"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rsidR="00F328F0" w:rsidRPr="00E408DE" w:rsidRDefault="00F328F0" w:rsidP="00A561EC">
            <w:pPr>
              <w:tabs>
                <w:tab w:val="left" w:pos="1440"/>
              </w:tabs>
              <w:jc w:val="center"/>
              <w:rPr>
                <w:b/>
                <w:i/>
              </w:rPr>
            </w:pPr>
            <w:r w:rsidRPr="00E408DE">
              <w:rPr>
                <w:b/>
                <w:i/>
              </w:rPr>
              <w:t>NI3</w:t>
            </w:r>
          </w:p>
        </w:tc>
        <w:tc>
          <w:tcPr>
            <w:tcW w:w="6346" w:type="dxa"/>
            <w:tcBorders>
              <w:top w:val="single" w:sz="6" w:space="0" w:color="000000" w:themeColor="text1"/>
              <w:left w:val="single" w:sz="12" w:space="0" w:color="000000" w:themeColor="text1"/>
              <w:bottom w:val="single" w:sz="12" w:space="0" w:color="000000" w:themeColor="text1"/>
            </w:tcBorders>
          </w:tcPr>
          <w:p w:rsidR="004B7C8D" w:rsidRDefault="004B7C8D" w:rsidP="00020C09">
            <w:pPr>
              <w:tabs>
                <w:tab w:val="left" w:pos="1440"/>
              </w:tabs>
              <w:ind w:left="172"/>
            </w:pPr>
            <w:r>
              <w:t xml:space="preserve">In addition to actions listed under </w:t>
            </w:r>
            <w:r w:rsidRPr="004B7C8D">
              <w:rPr>
                <w:b/>
                <w:i/>
              </w:rPr>
              <w:t>N</w:t>
            </w:r>
            <w:r w:rsidR="00020C09">
              <w:rPr>
                <w:b/>
                <w:i/>
              </w:rPr>
              <w:t>A2</w:t>
            </w:r>
            <w:r w:rsidRPr="004B7C8D">
              <w:rPr>
                <w:b/>
                <w:i/>
              </w:rPr>
              <w:t xml:space="preserve"> </w:t>
            </w:r>
            <w:r>
              <w:t xml:space="preserve">that </w:t>
            </w:r>
            <w:r w:rsidRPr="004B7C8D">
              <w:rPr>
                <w:b/>
              </w:rPr>
              <w:t>KDE</w:t>
            </w:r>
            <w:r>
              <w:t xml:space="preserve"> </w:t>
            </w:r>
            <w:r w:rsidRPr="00B6694E">
              <w:rPr>
                <w:u w:val="single"/>
              </w:rPr>
              <w:t>may</w:t>
            </w:r>
            <w:r w:rsidRPr="00B6694E">
              <w:t xml:space="preserve"> take</w:t>
            </w:r>
            <w:r>
              <w:t xml:space="preserve">, </w:t>
            </w:r>
            <w:r w:rsidRPr="004B7C8D">
              <w:rPr>
                <w:b/>
              </w:rPr>
              <w:t>KDE</w:t>
            </w:r>
            <w:r>
              <w:t xml:space="preserve"> </w:t>
            </w:r>
            <w:r w:rsidRPr="00B6694E">
              <w:t>shall take</w:t>
            </w:r>
            <w:r>
              <w:t xml:space="preserve"> one </w:t>
            </w:r>
            <w:r w:rsidR="006A3979">
              <w:t>or</w:t>
            </w:r>
            <w:r>
              <w:t xml:space="preserve"> more of the following actions:</w:t>
            </w:r>
          </w:p>
          <w:p w:rsidR="00F328F0" w:rsidRDefault="00284316" w:rsidP="00F328F0">
            <w:pPr>
              <w:pStyle w:val="ListParagraph"/>
              <w:numPr>
                <w:ilvl w:val="0"/>
                <w:numId w:val="3"/>
              </w:numPr>
              <w:tabs>
                <w:tab w:val="left" w:pos="1440"/>
              </w:tabs>
              <w:ind w:left="522"/>
            </w:pPr>
            <w:r>
              <w:t>R</w:t>
            </w:r>
            <w:r w:rsidR="00F328F0">
              <w:t>equire the district to prepare a corrective action plan or improvement plan if KDE determines the district should be able to correct the problem within one year</w:t>
            </w:r>
          </w:p>
          <w:p w:rsidR="00F328F0" w:rsidRDefault="00284316" w:rsidP="00F328F0">
            <w:pPr>
              <w:pStyle w:val="ListParagraph"/>
              <w:numPr>
                <w:ilvl w:val="0"/>
                <w:numId w:val="3"/>
              </w:numPr>
              <w:tabs>
                <w:tab w:val="left" w:pos="1440"/>
              </w:tabs>
              <w:ind w:left="522"/>
            </w:pPr>
            <w:r>
              <w:t>R</w:t>
            </w:r>
            <w:r w:rsidR="00F328F0">
              <w:t>equire the district to enter into a compliance agreement under the General Educations Provisions Act (GEPA), if KDE believes the district cannot correct the problem within one year</w:t>
            </w:r>
          </w:p>
          <w:p w:rsidR="00F328F0" w:rsidRDefault="00F328F0" w:rsidP="00F328F0">
            <w:pPr>
              <w:pStyle w:val="ListParagraph"/>
              <w:numPr>
                <w:ilvl w:val="0"/>
                <w:numId w:val="3"/>
              </w:numPr>
              <w:tabs>
                <w:tab w:val="left" w:pos="1440"/>
              </w:tabs>
              <w:ind w:left="522"/>
            </w:pPr>
            <w:r>
              <w:t xml:space="preserve">For each year of the determination, withhold not less than 20% and not more than 50% of the district’s </w:t>
            </w:r>
            <w:r w:rsidR="00F658ED">
              <w:t>awards under Part B of the IDEA</w:t>
            </w:r>
            <w:r>
              <w:t>, until the district has sufficiently addressed the intervention area(s)</w:t>
            </w:r>
          </w:p>
          <w:p w:rsidR="00F328F0" w:rsidRDefault="00F328F0" w:rsidP="00F328F0">
            <w:pPr>
              <w:pStyle w:val="ListParagraph"/>
              <w:numPr>
                <w:ilvl w:val="0"/>
                <w:numId w:val="3"/>
              </w:numPr>
              <w:tabs>
                <w:tab w:val="left" w:pos="1440"/>
              </w:tabs>
              <w:ind w:left="522"/>
            </w:pPr>
            <w:r>
              <w:t>Seek to recover funds under GEPA</w:t>
            </w:r>
          </w:p>
          <w:p w:rsidR="00F328F0" w:rsidRDefault="00F328F0" w:rsidP="00F328F0">
            <w:pPr>
              <w:pStyle w:val="ListParagraph"/>
              <w:numPr>
                <w:ilvl w:val="0"/>
                <w:numId w:val="3"/>
              </w:numPr>
              <w:tabs>
                <w:tab w:val="left" w:pos="1440"/>
              </w:tabs>
              <w:ind w:left="522"/>
            </w:pPr>
            <w:r>
              <w:t xml:space="preserve">Withhold in whole or in part, further payments to the district of </w:t>
            </w:r>
            <w:r w:rsidR="00F658ED">
              <w:t>IDEA, Part B</w:t>
            </w:r>
            <w:r>
              <w:t xml:space="preserve"> funds</w:t>
            </w:r>
          </w:p>
          <w:p w:rsidR="00F328F0" w:rsidRDefault="00F328F0" w:rsidP="00F328F0">
            <w:pPr>
              <w:pStyle w:val="ListParagraph"/>
              <w:numPr>
                <w:ilvl w:val="0"/>
                <w:numId w:val="3"/>
              </w:numPr>
              <w:tabs>
                <w:tab w:val="left" w:pos="1440"/>
              </w:tabs>
              <w:ind w:left="522"/>
            </w:pPr>
            <w:r>
              <w:t>Refer the matter for appropriate enforcement action</w:t>
            </w:r>
          </w:p>
        </w:tc>
      </w:tr>
      <w:tr w:rsidR="009B4A7F" w:rsidTr="00EB5719">
        <w:trPr>
          <w:cantSplit/>
        </w:trPr>
        <w:tc>
          <w:tcPr>
            <w:tcW w:w="2142" w:type="dxa"/>
            <w:tcBorders>
              <w:top w:val="single" w:sz="12" w:space="0" w:color="000000" w:themeColor="text1"/>
              <w:bottom w:val="single" w:sz="12" w:space="0" w:color="000000" w:themeColor="text1"/>
              <w:right w:val="single" w:sz="12" w:space="0" w:color="000000" w:themeColor="text1"/>
            </w:tcBorders>
          </w:tcPr>
          <w:p w:rsidR="00A561EC" w:rsidRPr="00A561EC" w:rsidRDefault="009B4A7F" w:rsidP="00A561EC">
            <w:pPr>
              <w:tabs>
                <w:tab w:val="left" w:pos="1440"/>
              </w:tabs>
              <w:jc w:val="center"/>
              <w:rPr>
                <w:b/>
              </w:rPr>
            </w:pPr>
            <w:r w:rsidRPr="00A561EC">
              <w:rPr>
                <w:b/>
              </w:rPr>
              <w:lastRenderedPageBreak/>
              <w:t>Needs</w:t>
            </w:r>
          </w:p>
          <w:p w:rsidR="009B4A7F" w:rsidRDefault="009B4A7F" w:rsidP="00A561EC">
            <w:pPr>
              <w:tabs>
                <w:tab w:val="left" w:pos="1440"/>
              </w:tabs>
              <w:jc w:val="center"/>
            </w:pPr>
            <w:r w:rsidRPr="00A561EC">
              <w:rPr>
                <w:b/>
              </w:rPr>
              <w:t>Substantial Intervention</w:t>
            </w:r>
          </w:p>
        </w:tc>
        <w:tc>
          <w:tcPr>
            <w:tcW w:w="10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B4A7F" w:rsidRPr="00E408DE" w:rsidRDefault="00A561EC" w:rsidP="00A561EC">
            <w:pPr>
              <w:tabs>
                <w:tab w:val="left" w:pos="1440"/>
              </w:tabs>
              <w:jc w:val="center"/>
              <w:rPr>
                <w:b/>
                <w:i/>
              </w:rPr>
            </w:pPr>
            <w:r w:rsidRPr="00E408DE">
              <w:rPr>
                <w:b/>
                <w:i/>
              </w:rPr>
              <w:t>NSI</w:t>
            </w:r>
          </w:p>
        </w:tc>
        <w:tc>
          <w:tcPr>
            <w:tcW w:w="6346" w:type="dxa"/>
            <w:tcBorders>
              <w:top w:val="single" w:sz="12" w:space="0" w:color="000000" w:themeColor="text1"/>
              <w:left w:val="single" w:sz="12" w:space="0" w:color="000000" w:themeColor="text1"/>
              <w:bottom w:val="single" w:sz="12" w:space="0" w:color="000000" w:themeColor="text1"/>
            </w:tcBorders>
          </w:tcPr>
          <w:p w:rsidR="001677A4" w:rsidRDefault="00FB47F3" w:rsidP="00020C09">
            <w:pPr>
              <w:tabs>
                <w:tab w:val="left" w:pos="1440"/>
              </w:tabs>
              <w:ind w:left="172"/>
            </w:pPr>
            <w:r w:rsidRPr="00020C09">
              <w:rPr>
                <w:b/>
              </w:rPr>
              <w:t>KDE</w:t>
            </w:r>
            <w:r>
              <w:t xml:space="preserve"> </w:t>
            </w:r>
            <w:r w:rsidR="001677A4" w:rsidRPr="00B6694E">
              <w:t>shall take</w:t>
            </w:r>
            <w:r w:rsidR="001677A4">
              <w:t xml:space="preserve"> one or more of the following actions any time it determines a </w:t>
            </w:r>
            <w:r>
              <w:t>district needs substantial intervention</w:t>
            </w:r>
            <w:r w:rsidR="001677A4">
              <w:t xml:space="preserve"> in implementing Part B of IDEA</w:t>
            </w:r>
            <w:r w:rsidR="00B6694E">
              <w:t>,</w:t>
            </w:r>
            <w:r w:rsidR="001677A4">
              <w:t xml:space="preserve"> or if there is a substantial failure to comply with any condition of the district’s eligibility under  Part B:</w:t>
            </w:r>
          </w:p>
          <w:p w:rsidR="001677A4" w:rsidRDefault="001677A4" w:rsidP="001677A4">
            <w:pPr>
              <w:pStyle w:val="ListParagraph"/>
              <w:numPr>
                <w:ilvl w:val="0"/>
                <w:numId w:val="3"/>
              </w:numPr>
              <w:tabs>
                <w:tab w:val="left" w:pos="1440"/>
              </w:tabs>
              <w:ind w:left="522"/>
            </w:pPr>
            <w:r>
              <w:t>Recover funds under GEPA</w:t>
            </w:r>
          </w:p>
          <w:p w:rsidR="00B67DC8" w:rsidRDefault="001677A4" w:rsidP="001677A4">
            <w:pPr>
              <w:pStyle w:val="ListParagraph"/>
              <w:numPr>
                <w:ilvl w:val="0"/>
                <w:numId w:val="3"/>
              </w:numPr>
              <w:tabs>
                <w:tab w:val="left" w:pos="1440"/>
              </w:tabs>
              <w:ind w:left="522"/>
            </w:pPr>
            <w:r>
              <w:t>Withhold in whole or in part, further payments to the district under Part B</w:t>
            </w:r>
            <w:r w:rsidR="00F658ED">
              <w:t xml:space="preserve"> of the IDEA</w:t>
            </w:r>
          </w:p>
          <w:p w:rsidR="001677A4" w:rsidRDefault="001677A4" w:rsidP="001677A4">
            <w:pPr>
              <w:pStyle w:val="ListParagraph"/>
              <w:numPr>
                <w:ilvl w:val="0"/>
                <w:numId w:val="3"/>
              </w:numPr>
              <w:tabs>
                <w:tab w:val="left" w:pos="1440"/>
              </w:tabs>
              <w:ind w:left="522"/>
            </w:pPr>
            <w:r>
              <w:t>Refer the case to the Office of the Inspector General at the U.S. Department of Education</w:t>
            </w:r>
          </w:p>
          <w:p w:rsidR="001677A4" w:rsidRDefault="001677A4" w:rsidP="001677A4">
            <w:pPr>
              <w:pStyle w:val="ListParagraph"/>
              <w:numPr>
                <w:ilvl w:val="0"/>
                <w:numId w:val="3"/>
              </w:numPr>
              <w:tabs>
                <w:tab w:val="left" w:pos="1440"/>
              </w:tabs>
              <w:ind w:left="522"/>
            </w:pPr>
            <w:r>
              <w:t>Refer the matter for appropriate enforcement action</w:t>
            </w:r>
          </w:p>
        </w:tc>
      </w:tr>
    </w:tbl>
    <w:p w:rsidR="005662F9" w:rsidRDefault="005662F9" w:rsidP="00F328F0">
      <w:pPr>
        <w:tabs>
          <w:tab w:val="left" w:pos="1440"/>
        </w:tabs>
        <w:spacing w:after="0"/>
      </w:pPr>
    </w:p>
    <w:sectPr w:rsidR="005662F9" w:rsidSect="00553267">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D2" w:rsidRDefault="00C963D2" w:rsidP="006A3979">
      <w:pPr>
        <w:spacing w:after="0" w:line="240" w:lineRule="auto"/>
      </w:pPr>
      <w:r>
        <w:separator/>
      </w:r>
    </w:p>
  </w:endnote>
  <w:endnote w:type="continuationSeparator" w:id="0">
    <w:p w:rsidR="00C963D2" w:rsidRDefault="00C963D2" w:rsidP="006A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87422"/>
      <w:docPartObj>
        <w:docPartGallery w:val="Page Numbers (Bottom of Page)"/>
        <w:docPartUnique/>
      </w:docPartObj>
    </w:sdtPr>
    <w:sdtEndPr>
      <w:rPr>
        <w:noProof/>
      </w:rPr>
    </w:sdtEndPr>
    <w:sdtContent>
      <w:p w:rsidR="00C963D2" w:rsidRDefault="00C963D2" w:rsidP="006A3979">
        <w:pPr>
          <w:pStyle w:val="Footer"/>
        </w:pPr>
        <w:r>
          <w:t xml:space="preserve">CT </w:t>
        </w:r>
        <w:r w:rsidR="006C034A">
          <w:t>08142012</w:t>
        </w:r>
        <w:r>
          <w:tab/>
        </w:r>
        <w:r>
          <w:tab/>
        </w:r>
        <w:r>
          <w:fldChar w:fldCharType="begin"/>
        </w:r>
        <w:r>
          <w:instrText xml:space="preserve"> PAGE   \* MERGEFORMAT </w:instrText>
        </w:r>
        <w:r>
          <w:fldChar w:fldCharType="separate"/>
        </w:r>
        <w:r w:rsidR="00644B04">
          <w:rPr>
            <w:noProof/>
          </w:rPr>
          <w:t>7</w:t>
        </w:r>
        <w:r>
          <w:rPr>
            <w:noProof/>
          </w:rPr>
          <w:fldChar w:fldCharType="end"/>
        </w:r>
      </w:p>
    </w:sdtContent>
  </w:sdt>
  <w:p w:rsidR="00C963D2" w:rsidRDefault="00C963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D2" w:rsidRDefault="00C963D2" w:rsidP="006A3979">
      <w:pPr>
        <w:spacing w:after="0" w:line="240" w:lineRule="auto"/>
      </w:pPr>
      <w:r>
        <w:separator/>
      </w:r>
    </w:p>
  </w:footnote>
  <w:footnote w:type="continuationSeparator" w:id="0">
    <w:p w:rsidR="00C963D2" w:rsidRDefault="00C963D2" w:rsidP="006A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D2" w:rsidRDefault="00C963D2" w:rsidP="006A3979">
    <w:pPr>
      <w:pStyle w:val="NoSpacing"/>
      <w:jc w:val="center"/>
      <w:rPr>
        <w:b/>
        <w:sz w:val="24"/>
        <w:szCs w:val="24"/>
      </w:rPr>
    </w:pPr>
    <w:r w:rsidRPr="006A3979">
      <w:rPr>
        <w:b/>
        <w:sz w:val="24"/>
        <w:szCs w:val="24"/>
      </w:rPr>
      <w:t>Kentucky Department of Education</w:t>
    </w:r>
  </w:p>
  <w:p w:rsidR="00C963D2" w:rsidRDefault="00C963D2" w:rsidP="006A3979">
    <w:pPr>
      <w:pStyle w:val="NoSpacing"/>
      <w:jc w:val="center"/>
      <w:rPr>
        <w:b/>
        <w:sz w:val="24"/>
        <w:szCs w:val="24"/>
      </w:rPr>
    </w:pPr>
    <w:r w:rsidRPr="006A3979">
      <w:rPr>
        <w:b/>
        <w:sz w:val="24"/>
        <w:szCs w:val="24"/>
      </w:rPr>
      <w:t>Office of Next Generation Learners</w:t>
    </w:r>
  </w:p>
  <w:p w:rsidR="00C963D2" w:rsidRDefault="00C963D2" w:rsidP="006A3979">
    <w:pPr>
      <w:pStyle w:val="NoSpacing"/>
      <w:jc w:val="center"/>
      <w:rPr>
        <w:b/>
        <w:sz w:val="24"/>
        <w:szCs w:val="24"/>
      </w:rPr>
    </w:pPr>
    <w:r w:rsidRPr="006A3979">
      <w:rPr>
        <w:b/>
        <w:sz w:val="24"/>
        <w:szCs w:val="24"/>
      </w:rPr>
      <w:t>Division of Learning Services</w:t>
    </w:r>
  </w:p>
  <w:p w:rsidR="00C963D2" w:rsidRDefault="00C963D2" w:rsidP="006A3979">
    <w:pPr>
      <w:pStyle w:val="NoSpacing"/>
      <w:jc w:val="center"/>
      <w:rPr>
        <w:b/>
        <w:sz w:val="24"/>
        <w:szCs w:val="24"/>
      </w:rPr>
    </w:pPr>
  </w:p>
  <w:p w:rsidR="00C963D2" w:rsidRPr="006A3979" w:rsidRDefault="00C963D2" w:rsidP="000075C3">
    <w:pPr>
      <w:pStyle w:val="NoSpacing"/>
      <w:spacing w:after="240"/>
      <w:jc w:val="center"/>
      <w:rPr>
        <w:i/>
        <w:sz w:val="24"/>
        <w:szCs w:val="24"/>
      </w:rPr>
    </w:pPr>
    <w:r w:rsidRPr="006A3979">
      <w:rPr>
        <w:i/>
        <w:sz w:val="24"/>
        <w:szCs w:val="24"/>
      </w:rPr>
      <w:t>Annual Determinations on the Special Education Performance of Districts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7B4"/>
    <w:multiLevelType w:val="hybridMultilevel"/>
    <w:tmpl w:val="A286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32959"/>
    <w:multiLevelType w:val="hybridMultilevel"/>
    <w:tmpl w:val="F0B86D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ED443C"/>
    <w:multiLevelType w:val="hybridMultilevel"/>
    <w:tmpl w:val="E526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D5EF2"/>
    <w:multiLevelType w:val="hybridMultilevel"/>
    <w:tmpl w:val="5BB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C6205"/>
    <w:multiLevelType w:val="hybridMultilevel"/>
    <w:tmpl w:val="5B4C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A01DE"/>
    <w:multiLevelType w:val="hybridMultilevel"/>
    <w:tmpl w:val="2AC08074"/>
    <w:lvl w:ilvl="0" w:tplc="AC42F2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0294C"/>
    <w:multiLevelType w:val="hybridMultilevel"/>
    <w:tmpl w:val="0B868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F3A8C"/>
    <w:multiLevelType w:val="hybridMultilevel"/>
    <w:tmpl w:val="BB6C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F0244"/>
    <w:multiLevelType w:val="hybridMultilevel"/>
    <w:tmpl w:val="47D4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74"/>
    <w:rsid w:val="000075C3"/>
    <w:rsid w:val="00020C09"/>
    <w:rsid w:val="00024704"/>
    <w:rsid w:val="00051AF6"/>
    <w:rsid w:val="00090BB7"/>
    <w:rsid w:val="000B5B1F"/>
    <w:rsid w:val="000B5CCF"/>
    <w:rsid w:val="000C5069"/>
    <w:rsid w:val="000E4063"/>
    <w:rsid w:val="000F15D3"/>
    <w:rsid w:val="000F1D3E"/>
    <w:rsid w:val="001259E8"/>
    <w:rsid w:val="001677A4"/>
    <w:rsid w:val="00196BD6"/>
    <w:rsid w:val="001B78AF"/>
    <w:rsid w:val="001C5714"/>
    <w:rsid w:val="001C64C1"/>
    <w:rsid w:val="001D7FA3"/>
    <w:rsid w:val="00202086"/>
    <w:rsid w:val="002443F7"/>
    <w:rsid w:val="00265CC4"/>
    <w:rsid w:val="00275C30"/>
    <w:rsid w:val="00284316"/>
    <w:rsid w:val="00295C18"/>
    <w:rsid w:val="002A2C57"/>
    <w:rsid w:val="002F343E"/>
    <w:rsid w:val="0030389A"/>
    <w:rsid w:val="00306FF8"/>
    <w:rsid w:val="0031004E"/>
    <w:rsid w:val="00322848"/>
    <w:rsid w:val="00347E1A"/>
    <w:rsid w:val="00382D0F"/>
    <w:rsid w:val="00384387"/>
    <w:rsid w:val="00397748"/>
    <w:rsid w:val="003A1734"/>
    <w:rsid w:val="003B526F"/>
    <w:rsid w:val="003C0F9C"/>
    <w:rsid w:val="003C78B2"/>
    <w:rsid w:val="004316F2"/>
    <w:rsid w:val="00444DF4"/>
    <w:rsid w:val="004458E7"/>
    <w:rsid w:val="0045421C"/>
    <w:rsid w:val="00455A6B"/>
    <w:rsid w:val="00460B3E"/>
    <w:rsid w:val="004A4111"/>
    <w:rsid w:val="004B7C8D"/>
    <w:rsid w:val="004C626D"/>
    <w:rsid w:val="004C7438"/>
    <w:rsid w:val="004E5C3A"/>
    <w:rsid w:val="004F5ED1"/>
    <w:rsid w:val="004F6E84"/>
    <w:rsid w:val="005161F9"/>
    <w:rsid w:val="00522B74"/>
    <w:rsid w:val="00524F2C"/>
    <w:rsid w:val="0052605E"/>
    <w:rsid w:val="00544E16"/>
    <w:rsid w:val="00553267"/>
    <w:rsid w:val="005662F9"/>
    <w:rsid w:val="005729B7"/>
    <w:rsid w:val="00577B77"/>
    <w:rsid w:val="00586DE3"/>
    <w:rsid w:val="005F7066"/>
    <w:rsid w:val="00644B04"/>
    <w:rsid w:val="00652219"/>
    <w:rsid w:val="00652E65"/>
    <w:rsid w:val="00695FA2"/>
    <w:rsid w:val="006A3979"/>
    <w:rsid w:val="006C034A"/>
    <w:rsid w:val="006E0F01"/>
    <w:rsid w:val="00714FFD"/>
    <w:rsid w:val="00717571"/>
    <w:rsid w:val="00720C40"/>
    <w:rsid w:val="00721D87"/>
    <w:rsid w:val="00725E62"/>
    <w:rsid w:val="00745D8B"/>
    <w:rsid w:val="007666F2"/>
    <w:rsid w:val="007778F4"/>
    <w:rsid w:val="00794820"/>
    <w:rsid w:val="007A066B"/>
    <w:rsid w:val="007B2D17"/>
    <w:rsid w:val="007B395F"/>
    <w:rsid w:val="007B57D1"/>
    <w:rsid w:val="00813BBD"/>
    <w:rsid w:val="0083232E"/>
    <w:rsid w:val="00885C75"/>
    <w:rsid w:val="00895604"/>
    <w:rsid w:val="008A7769"/>
    <w:rsid w:val="008E46C1"/>
    <w:rsid w:val="008E5B70"/>
    <w:rsid w:val="008F7862"/>
    <w:rsid w:val="009175E7"/>
    <w:rsid w:val="00966706"/>
    <w:rsid w:val="00970C37"/>
    <w:rsid w:val="00983765"/>
    <w:rsid w:val="00985FE6"/>
    <w:rsid w:val="00987F73"/>
    <w:rsid w:val="009A12B2"/>
    <w:rsid w:val="009B4A7F"/>
    <w:rsid w:val="009B72B5"/>
    <w:rsid w:val="009C3C3A"/>
    <w:rsid w:val="009D7211"/>
    <w:rsid w:val="009E1B69"/>
    <w:rsid w:val="009F31E1"/>
    <w:rsid w:val="00A11670"/>
    <w:rsid w:val="00A17054"/>
    <w:rsid w:val="00A44D19"/>
    <w:rsid w:val="00A561EC"/>
    <w:rsid w:val="00A80449"/>
    <w:rsid w:val="00A8231D"/>
    <w:rsid w:val="00AA12CC"/>
    <w:rsid w:val="00AD7FED"/>
    <w:rsid w:val="00B50432"/>
    <w:rsid w:val="00B65389"/>
    <w:rsid w:val="00B6694E"/>
    <w:rsid w:val="00B67DC8"/>
    <w:rsid w:val="00B962C8"/>
    <w:rsid w:val="00BA1C1B"/>
    <w:rsid w:val="00BD15D3"/>
    <w:rsid w:val="00BF5F76"/>
    <w:rsid w:val="00C002E3"/>
    <w:rsid w:val="00C4762D"/>
    <w:rsid w:val="00C53B98"/>
    <w:rsid w:val="00C627A1"/>
    <w:rsid w:val="00C662F4"/>
    <w:rsid w:val="00C87D1D"/>
    <w:rsid w:val="00C930E2"/>
    <w:rsid w:val="00C963D2"/>
    <w:rsid w:val="00CE2BFD"/>
    <w:rsid w:val="00D30CDA"/>
    <w:rsid w:val="00D814F7"/>
    <w:rsid w:val="00DA34DC"/>
    <w:rsid w:val="00DC34DE"/>
    <w:rsid w:val="00DD7BAE"/>
    <w:rsid w:val="00DE3A65"/>
    <w:rsid w:val="00DE6AE8"/>
    <w:rsid w:val="00E11A9B"/>
    <w:rsid w:val="00E408DE"/>
    <w:rsid w:val="00E5095E"/>
    <w:rsid w:val="00E81CD2"/>
    <w:rsid w:val="00EB1A1F"/>
    <w:rsid w:val="00EB21D8"/>
    <w:rsid w:val="00EB5719"/>
    <w:rsid w:val="00F15777"/>
    <w:rsid w:val="00F328F0"/>
    <w:rsid w:val="00F35C78"/>
    <w:rsid w:val="00F658ED"/>
    <w:rsid w:val="00F75594"/>
    <w:rsid w:val="00F83EA4"/>
    <w:rsid w:val="00FB47F3"/>
    <w:rsid w:val="00FD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74"/>
    <w:pPr>
      <w:ind w:left="720"/>
    </w:pPr>
  </w:style>
  <w:style w:type="table" w:styleId="TableGrid">
    <w:name w:val="Table Grid"/>
    <w:basedOn w:val="TableNormal"/>
    <w:uiPriority w:val="59"/>
    <w:rsid w:val="00895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77"/>
    <w:rPr>
      <w:rFonts w:ascii="Tahoma" w:hAnsi="Tahoma" w:cs="Tahoma"/>
      <w:sz w:val="16"/>
      <w:szCs w:val="16"/>
    </w:rPr>
  </w:style>
  <w:style w:type="paragraph" w:styleId="Header">
    <w:name w:val="header"/>
    <w:basedOn w:val="Normal"/>
    <w:link w:val="HeaderChar"/>
    <w:uiPriority w:val="99"/>
    <w:unhideWhenUsed/>
    <w:rsid w:val="006A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979"/>
  </w:style>
  <w:style w:type="paragraph" w:styleId="Footer">
    <w:name w:val="footer"/>
    <w:basedOn w:val="Normal"/>
    <w:link w:val="FooterChar"/>
    <w:uiPriority w:val="99"/>
    <w:unhideWhenUsed/>
    <w:rsid w:val="006A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979"/>
  </w:style>
  <w:style w:type="paragraph" w:styleId="NoSpacing">
    <w:name w:val="No Spacing"/>
    <w:uiPriority w:val="1"/>
    <w:qFormat/>
    <w:rsid w:val="006A39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74"/>
    <w:pPr>
      <w:ind w:left="720"/>
    </w:pPr>
  </w:style>
  <w:style w:type="table" w:styleId="TableGrid">
    <w:name w:val="Table Grid"/>
    <w:basedOn w:val="TableNormal"/>
    <w:uiPriority w:val="59"/>
    <w:rsid w:val="00895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B77"/>
    <w:rPr>
      <w:rFonts w:ascii="Tahoma" w:hAnsi="Tahoma" w:cs="Tahoma"/>
      <w:sz w:val="16"/>
      <w:szCs w:val="16"/>
    </w:rPr>
  </w:style>
  <w:style w:type="paragraph" w:styleId="Header">
    <w:name w:val="header"/>
    <w:basedOn w:val="Normal"/>
    <w:link w:val="HeaderChar"/>
    <w:uiPriority w:val="99"/>
    <w:unhideWhenUsed/>
    <w:rsid w:val="006A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979"/>
  </w:style>
  <w:style w:type="paragraph" w:styleId="Footer">
    <w:name w:val="footer"/>
    <w:basedOn w:val="Normal"/>
    <w:link w:val="FooterChar"/>
    <w:uiPriority w:val="99"/>
    <w:unhideWhenUsed/>
    <w:rsid w:val="006A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979"/>
  </w:style>
  <w:style w:type="paragraph" w:styleId="NoSpacing">
    <w:name w:val="No Spacing"/>
    <w:uiPriority w:val="1"/>
    <w:qFormat/>
    <w:rsid w:val="006A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028">
      <w:bodyDiv w:val="1"/>
      <w:marLeft w:val="0"/>
      <w:marRight w:val="0"/>
      <w:marTop w:val="0"/>
      <w:marBottom w:val="0"/>
      <w:divBdr>
        <w:top w:val="none" w:sz="0" w:space="0" w:color="auto"/>
        <w:left w:val="none" w:sz="0" w:space="0" w:color="auto"/>
        <w:bottom w:val="none" w:sz="0" w:space="0" w:color="auto"/>
        <w:right w:val="none" w:sz="0" w:space="0" w:color="auto"/>
      </w:divBdr>
    </w:div>
    <w:div w:id="128977944">
      <w:bodyDiv w:val="1"/>
      <w:marLeft w:val="0"/>
      <w:marRight w:val="0"/>
      <w:marTop w:val="0"/>
      <w:marBottom w:val="0"/>
      <w:divBdr>
        <w:top w:val="none" w:sz="0" w:space="0" w:color="auto"/>
        <w:left w:val="none" w:sz="0" w:space="0" w:color="auto"/>
        <w:bottom w:val="none" w:sz="0" w:space="0" w:color="auto"/>
        <w:right w:val="none" w:sz="0" w:space="0" w:color="auto"/>
      </w:divBdr>
    </w:div>
    <w:div w:id="970742592">
      <w:bodyDiv w:val="1"/>
      <w:marLeft w:val="0"/>
      <w:marRight w:val="0"/>
      <w:marTop w:val="0"/>
      <w:marBottom w:val="0"/>
      <w:divBdr>
        <w:top w:val="none" w:sz="0" w:space="0" w:color="auto"/>
        <w:left w:val="none" w:sz="0" w:space="0" w:color="auto"/>
        <w:bottom w:val="none" w:sz="0" w:space="0" w:color="auto"/>
        <w:right w:val="none" w:sz="0" w:space="0" w:color="auto"/>
      </w:divBdr>
    </w:div>
    <w:div w:id="1857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34F9-B9AD-4699-B4F3-73CA03BD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3199</Words>
  <Characters>18237</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cthacker</dc:creator>
  <cp:lastModifiedBy>Thacker, Chris - Division of Learning Services</cp:lastModifiedBy>
  <cp:revision>3</cp:revision>
  <cp:lastPrinted>2013-08-08T14:33:00Z</cp:lastPrinted>
  <dcterms:created xsi:type="dcterms:W3CDTF">2013-09-04T19:13:00Z</dcterms:created>
  <dcterms:modified xsi:type="dcterms:W3CDTF">2013-10-21T17:10:00Z</dcterms:modified>
</cp:coreProperties>
</file>