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E9" w:rsidRDefault="00F34DE9" w:rsidP="00F34DE9">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Casey, Kimberly - Division of Learning Services </w:t>
      </w:r>
      <w:r>
        <w:rPr>
          <w:rFonts w:ascii="Tahoma" w:hAnsi="Tahoma" w:cs="Tahoma"/>
          <w:b/>
          <w:bCs/>
          <w:sz w:val="20"/>
          <w:szCs w:val="20"/>
        </w:rPr>
        <w:t xml:space="preserve">On Behalf Of </w:t>
      </w:r>
      <w:proofErr w:type="spellStart"/>
      <w:r>
        <w:rPr>
          <w:rFonts w:ascii="Tahoma" w:hAnsi="Tahoma" w:cs="Tahoma"/>
          <w:sz w:val="20"/>
          <w:szCs w:val="20"/>
        </w:rPr>
        <w:t>Collett</w:t>
      </w:r>
      <w:proofErr w:type="spellEnd"/>
      <w:r>
        <w:rPr>
          <w:rFonts w:ascii="Tahoma" w:hAnsi="Tahoma" w:cs="Tahoma"/>
          <w:sz w:val="20"/>
          <w:szCs w:val="20"/>
        </w:rPr>
        <w:t>, Johnny - Director, Division of Learning Services</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October 29, 2013 6:31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Perkins, Dorothy B.</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Cameron, Renee; </w:t>
      </w:r>
      <w:hyperlink r:id="rId6" w:history="1">
        <w:r>
          <w:rPr>
            <w:rStyle w:val="Hyperlink"/>
            <w:rFonts w:ascii="Tahoma" w:hAnsi="Tahoma" w:cs="Tahoma"/>
            <w:sz w:val="20"/>
            <w:szCs w:val="20"/>
          </w:rPr>
          <w:t>ltaylor@ovec.org</w:t>
        </w:r>
      </w:hyperlink>
      <w:r>
        <w:rPr>
          <w:rFonts w:ascii="Tahoma" w:hAnsi="Tahoma" w:cs="Tahoma"/>
          <w:sz w:val="20"/>
          <w:szCs w:val="20"/>
        </w:rPr>
        <w:t>; Smith, Felicia - Associate Commissioner, Office of Next Generation Learners; Jesse, Darlene - Division of Learning Services</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2013 Special Education Determination as Required under the IDEA</w:t>
      </w:r>
    </w:p>
    <w:p w:rsidR="00F34DE9" w:rsidRDefault="00F34DE9" w:rsidP="00F34DE9"/>
    <w:p w:rsidR="00F34DE9" w:rsidRDefault="00F34DE9" w:rsidP="00F34DE9">
      <w:pPr>
        <w:rPr>
          <w:color w:val="1F497D"/>
        </w:rPr>
      </w:pPr>
    </w:p>
    <w:p w:rsidR="00F34DE9" w:rsidRDefault="00F34DE9" w:rsidP="00F34DE9">
      <w:pPr>
        <w:spacing w:after="240"/>
        <w:rPr>
          <w:rFonts w:ascii="Times New Roman" w:hAnsi="Times New Roman"/>
          <w:sz w:val="24"/>
          <w:szCs w:val="24"/>
        </w:rPr>
      </w:pPr>
      <w:r>
        <w:rPr>
          <w:rFonts w:ascii="Times New Roman" w:hAnsi="Times New Roman"/>
          <w:sz w:val="24"/>
          <w:szCs w:val="24"/>
        </w:rPr>
        <w:t>Dear Superintenden</w:t>
      </w:r>
      <w:r>
        <w:rPr>
          <w:rFonts w:ascii="Times New Roman" w:hAnsi="Times New Roman"/>
          <w:color w:val="1F497D"/>
          <w:sz w:val="24"/>
          <w:szCs w:val="24"/>
        </w:rPr>
        <w:t xml:space="preserve">t </w:t>
      </w:r>
      <w:r>
        <w:rPr>
          <w:rFonts w:ascii="Times New Roman" w:hAnsi="Times New Roman"/>
          <w:sz w:val="24"/>
          <w:szCs w:val="24"/>
        </w:rPr>
        <w:t>Perkins,</w:t>
      </w:r>
    </w:p>
    <w:p w:rsidR="00F34DE9" w:rsidRDefault="00F34DE9" w:rsidP="00F34DE9">
      <w:pPr>
        <w:spacing w:after="240"/>
        <w:rPr>
          <w:rFonts w:ascii="Times New Roman" w:hAnsi="Times New Roman"/>
          <w:sz w:val="24"/>
          <w:szCs w:val="24"/>
        </w:rPr>
      </w:pPr>
      <w:r>
        <w:rPr>
          <w:rFonts w:ascii="Times New Roman" w:hAnsi="Times New Roman"/>
          <w:sz w:val="24"/>
          <w:szCs w:val="24"/>
        </w:rPr>
        <w:t xml:space="preserve">Each year the Kentucky Department of Education (KDE) is required, under the Individuals with Disabilities Education Act (IDEA), to make annual Determinations regarding each local school district’s special education program.  </w:t>
      </w:r>
    </w:p>
    <w:p w:rsidR="00F34DE9" w:rsidRDefault="00F34DE9" w:rsidP="00F34DE9">
      <w:pPr>
        <w:spacing w:after="240"/>
        <w:rPr>
          <w:rFonts w:ascii="Times New Roman" w:hAnsi="Times New Roman"/>
          <w:sz w:val="24"/>
          <w:szCs w:val="24"/>
        </w:rPr>
      </w:pPr>
      <w:r>
        <w:rPr>
          <w:rFonts w:ascii="Times New Roman" w:hAnsi="Times New Roman"/>
          <w:sz w:val="24"/>
          <w:szCs w:val="24"/>
        </w:rPr>
        <w:t>KDE has finalized its 2013 District Determinations.  Please find attached the two separate files described below:</w:t>
      </w:r>
    </w:p>
    <w:p w:rsidR="00F34DE9" w:rsidRDefault="00F34DE9" w:rsidP="00F34DE9">
      <w:pPr>
        <w:pStyle w:val="ListParagraph"/>
        <w:numPr>
          <w:ilvl w:val="0"/>
          <w:numId w:val="1"/>
        </w:numPr>
        <w:spacing w:after="240"/>
        <w:rPr>
          <w:rFonts w:ascii="Times New Roman" w:hAnsi="Times New Roman"/>
          <w:sz w:val="24"/>
          <w:szCs w:val="24"/>
        </w:rPr>
      </w:pPr>
      <w:r>
        <w:rPr>
          <w:rFonts w:ascii="Times New Roman" w:hAnsi="Times New Roman"/>
          <w:sz w:val="24"/>
          <w:szCs w:val="24"/>
        </w:rPr>
        <w:t xml:space="preserve">The </w:t>
      </w:r>
      <w:r>
        <w:rPr>
          <w:rFonts w:ascii="Times New Roman" w:hAnsi="Times New Roman"/>
          <w:i/>
          <w:iCs/>
          <w:sz w:val="24"/>
          <w:szCs w:val="24"/>
        </w:rPr>
        <w:t>Kentucky Determination Process</w:t>
      </w:r>
      <w:r>
        <w:rPr>
          <w:rFonts w:ascii="Times New Roman" w:hAnsi="Times New Roman"/>
          <w:sz w:val="24"/>
          <w:szCs w:val="24"/>
        </w:rPr>
        <w:t xml:space="preserve"> describes how the KDE makes Determinations, what the various Determinations are, and the district’s response (if required) based on the district’s Determination status.</w:t>
      </w:r>
    </w:p>
    <w:p w:rsidR="00F34DE9" w:rsidRDefault="00F34DE9" w:rsidP="00F34DE9">
      <w:pPr>
        <w:pStyle w:val="ListParagraph"/>
        <w:numPr>
          <w:ilvl w:val="0"/>
          <w:numId w:val="1"/>
        </w:numPr>
        <w:spacing w:after="240"/>
        <w:rPr>
          <w:rFonts w:ascii="Times New Roman" w:hAnsi="Times New Roman"/>
          <w:sz w:val="24"/>
          <w:szCs w:val="24"/>
        </w:rPr>
      </w:pPr>
      <w:r>
        <w:rPr>
          <w:rFonts w:ascii="Times New Roman" w:hAnsi="Times New Roman"/>
          <w:sz w:val="24"/>
          <w:szCs w:val="24"/>
        </w:rPr>
        <w:t>A letter containing the official notice of your district’s 2013 Determination.  This letter also identifies each of the areas the KDE considered in making its determination decision about your special education program.</w:t>
      </w:r>
    </w:p>
    <w:p w:rsidR="00F34DE9" w:rsidRDefault="00F34DE9" w:rsidP="00F34DE9">
      <w:pPr>
        <w:spacing w:after="240"/>
        <w:rPr>
          <w:rFonts w:ascii="Times New Roman" w:hAnsi="Times New Roman"/>
          <w:sz w:val="24"/>
          <w:szCs w:val="24"/>
        </w:rPr>
      </w:pPr>
      <w:r>
        <w:rPr>
          <w:rFonts w:ascii="Times New Roman" w:hAnsi="Times New Roman"/>
          <w:sz w:val="24"/>
          <w:szCs w:val="24"/>
        </w:rPr>
        <w:t>For each area reviewed, the table in the Determination letter indicates ‘Yes’ if your district met the requirement for that particular area or ‘No’ if it failed to meet requirements in that area.  After the table, an overall Determination for the district is specified.</w:t>
      </w:r>
    </w:p>
    <w:p w:rsidR="00F34DE9" w:rsidRDefault="00F34DE9" w:rsidP="00F34DE9">
      <w:pPr>
        <w:spacing w:after="240"/>
        <w:rPr>
          <w:rFonts w:ascii="Times New Roman" w:hAnsi="Times New Roman"/>
          <w:sz w:val="24"/>
          <w:szCs w:val="24"/>
        </w:rPr>
      </w:pPr>
      <w:r>
        <w:rPr>
          <w:rFonts w:ascii="Times New Roman" w:hAnsi="Times New Roman"/>
          <w:sz w:val="24"/>
          <w:szCs w:val="24"/>
        </w:rPr>
        <w:t>Below is a brief description of the various Determinations:</w:t>
      </w:r>
    </w:p>
    <w:tbl>
      <w:tblPr>
        <w:tblW w:w="0" w:type="auto"/>
        <w:tblInd w:w="1200" w:type="dxa"/>
        <w:tblCellMar>
          <w:left w:w="0" w:type="dxa"/>
          <w:right w:w="0" w:type="dxa"/>
        </w:tblCellMar>
        <w:tblLook w:val="04A0" w:firstRow="1" w:lastRow="0" w:firstColumn="1" w:lastColumn="0" w:noHBand="0" w:noVBand="1"/>
      </w:tblPr>
      <w:tblGrid>
        <w:gridCol w:w="990"/>
        <w:gridCol w:w="5760"/>
      </w:tblGrid>
      <w:tr w:rsidR="00F34DE9" w:rsidTr="00F34DE9">
        <w:trPr>
          <w:cantSplit/>
          <w:trHeight w:val="259"/>
        </w:trPr>
        <w:tc>
          <w:tcPr>
            <w:tcW w:w="6750" w:type="dxa"/>
            <w:gridSpan w:val="2"/>
            <w:tcBorders>
              <w:top w:val="single" w:sz="12" w:space="0" w:color="000000"/>
              <w:left w:val="single" w:sz="12" w:space="0" w:color="000000"/>
              <w:bottom w:val="single" w:sz="12" w:space="0" w:color="000000"/>
              <w:right w:val="single" w:sz="12" w:space="0" w:color="000000"/>
            </w:tcBorders>
            <w:tcMar>
              <w:top w:w="72" w:type="dxa"/>
              <w:left w:w="72" w:type="dxa"/>
              <w:bottom w:w="72" w:type="dxa"/>
              <w:right w:w="72" w:type="dxa"/>
            </w:tcMar>
            <w:hideMark/>
          </w:tcPr>
          <w:p w:rsidR="00F34DE9" w:rsidRDefault="00F34DE9">
            <w:pPr>
              <w:rPr>
                <w:rFonts w:ascii="Times New Roman" w:hAnsi="Times New Roman"/>
                <w:b/>
                <w:bCs/>
                <w:sz w:val="24"/>
                <w:szCs w:val="24"/>
              </w:rPr>
            </w:pPr>
            <w:r>
              <w:rPr>
                <w:rFonts w:ascii="Times New Roman" w:hAnsi="Times New Roman"/>
                <w:b/>
                <w:bCs/>
                <w:sz w:val="24"/>
                <w:szCs w:val="24"/>
              </w:rPr>
              <w:t xml:space="preserve">Meets Requirements </w:t>
            </w:r>
            <w:r>
              <w:rPr>
                <w:rFonts w:ascii="Times New Roman" w:hAnsi="Times New Roman"/>
                <w:b/>
                <w:bCs/>
                <w:i/>
                <w:iCs/>
                <w:sz w:val="24"/>
                <w:szCs w:val="24"/>
              </w:rPr>
              <w:t>(</w:t>
            </w:r>
            <w:r>
              <w:rPr>
                <w:rFonts w:ascii="Times New Roman" w:hAnsi="Times New Roman"/>
                <w:b/>
                <w:bCs/>
                <w:i/>
                <w:iCs/>
                <w:color w:val="FF0000"/>
                <w:sz w:val="24"/>
                <w:szCs w:val="24"/>
              </w:rPr>
              <w:t>MEETS</w:t>
            </w:r>
            <w:r>
              <w:rPr>
                <w:rFonts w:ascii="Times New Roman" w:hAnsi="Times New Roman"/>
                <w:b/>
                <w:bCs/>
                <w:i/>
                <w:iCs/>
                <w:sz w:val="24"/>
                <w:szCs w:val="24"/>
              </w:rPr>
              <w:t>)</w:t>
            </w:r>
          </w:p>
        </w:tc>
      </w:tr>
      <w:tr w:rsidR="00F34DE9" w:rsidTr="00F34DE9">
        <w:trPr>
          <w:cantSplit/>
          <w:trHeight w:val="259"/>
        </w:trPr>
        <w:tc>
          <w:tcPr>
            <w:tcW w:w="6750" w:type="dxa"/>
            <w:gridSpan w:val="2"/>
            <w:tcBorders>
              <w:top w:val="nil"/>
              <w:left w:val="single" w:sz="12" w:space="0" w:color="000000"/>
              <w:bottom w:val="single" w:sz="8" w:space="0" w:color="000000"/>
              <w:right w:val="single" w:sz="12" w:space="0" w:color="000000"/>
            </w:tcBorders>
            <w:tcMar>
              <w:top w:w="72" w:type="dxa"/>
              <w:left w:w="72" w:type="dxa"/>
              <w:bottom w:w="72" w:type="dxa"/>
              <w:right w:w="72" w:type="dxa"/>
            </w:tcMar>
            <w:hideMark/>
          </w:tcPr>
          <w:p w:rsidR="00F34DE9" w:rsidRDefault="00F34DE9">
            <w:pPr>
              <w:rPr>
                <w:rFonts w:ascii="Times New Roman" w:hAnsi="Times New Roman"/>
                <w:b/>
                <w:bCs/>
                <w:i/>
                <w:iCs/>
                <w:sz w:val="24"/>
                <w:szCs w:val="24"/>
              </w:rPr>
            </w:pPr>
            <w:r>
              <w:rPr>
                <w:rFonts w:ascii="Times New Roman" w:hAnsi="Times New Roman"/>
                <w:b/>
                <w:bCs/>
                <w:sz w:val="24"/>
                <w:szCs w:val="24"/>
              </w:rPr>
              <w:t>Needs Assistance</w:t>
            </w:r>
            <w:r>
              <w:rPr>
                <w:rFonts w:ascii="Times New Roman" w:hAnsi="Times New Roman"/>
                <w:b/>
                <w:bCs/>
                <w:i/>
                <w:iCs/>
                <w:sz w:val="24"/>
                <w:szCs w:val="24"/>
              </w:rPr>
              <w:t xml:space="preserve"> (</w:t>
            </w:r>
            <w:r>
              <w:rPr>
                <w:rFonts w:ascii="Times New Roman" w:hAnsi="Times New Roman"/>
                <w:b/>
                <w:bCs/>
                <w:i/>
                <w:iCs/>
                <w:color w:val="FF0000"/>
                <w:sz w:val="24"/>
                <w:szCs w:val="24"/>
              </w:rPr>
              <w:t>NA</w:t>
            </w:r>
            <w:r>
              <w:rPr>
                <w:rFonts w:ascii="Times New Roman" w:hAnsi="Times New Roman"/>
                <w:b/>
                <w:bCs/>
                <w:i/>
                <w:iCs/>
                <w:sz w:val="24"/>
                <w:szCs w:val="24"/>
              </w:rPr>
              <w:t>)</w:t>
            </w:r>
          </w:p>
        </w:tc>
      </w:tr>
      <w:tr w:rsidR="00F34DE9" w:rsidTr="00F34DE9">
        <w:trPr>
          <w:cantSplit/>
          <w:trHeight w:val="259"/>
        </w:trPr>
        <w:tc>
          <w:tcPr>
            <w:tcW w:w="990" w:type="dxa"/>
            <w:tcBorders>
              <w:top w:val="nil"/>
              <w:left w:val="single" w:sz="12" w:space="0" w:color="000000"/>
              <w:bottom w:val="single" w:sz="8" w:space="0" w:color="000000"/>
              <w:right w:val="single" w:sz="8" w:space="0" w:color="000000"/>
            </w:tcBorders>
            <w:tcMar>
              <w:top w:w="72" w:type="dxa"/>
              <w:left w:w="72" w:type="dxa"/>
              <w:bottom w:w="72" w:type="dxa"/>
              <w:right w:w="72" w:type="dxa"/>
            </w:tcMar>
            <w:hideMark/>
          </w:tcPr>
          <w:p w:rsidR="00F34DE9" w:rsidRDefault="00F34DE9">
            <w:pPr>
              <w:pStyle w:val="ListParagraph"/>
              <w:spacing w:after="0" w:line="240" w:lineRule="auto"/>
              <w:ind w:left="-25"/>
              <w:jc w:val="center"/>
              <w:rPr>
                <w:rFonts w:ascii="Times New Roman" w:hAnsi="Times New Roman"/>
                <w:sz w:val="24"/>
                <w:szCs w:val="24"/>
              </w:rPr>
            </w:pPr>
            <w:r>
              <w:rPr>
                <w:rFonts w:ascii="Times New Roman" w:hAnsi="Times New Roman"/>
                <w:b/>
                <w:bCs/>
                <w:sz w:val="24"/>
                <w:szCs w:val="24"/>
              </w:rPr>
              <w:t>NA1</w:t>
            </w:r>
          </w:p>
        </w:tc>
        <w:tc>
          <w:tcPr>
            <w:tcW w:w="5760" w:type="dxa"/>
            <w:tcBorders>
              <w:top w:val="nil"/>
              <w:left w:val="nil"/>
              <w:bottom w:val="single" w:sz="8" w:space="0" w:color="000000"/>
              <w:right w:val="single" w:sz="12" w:space="0" w:color="000000"/>
            </w:tcBorders>
            <w:tcMar>
              <w:top w:w="72" w:type="dxa"/>
              <w:left w:w="72" w:type="dxa"/>
              <w:bottom w:w="72" w:type="dxa"/>
              <w:right w:w="72" w:type="dxa"/>
            </w:tcMar>
            <w:hideMark/>
          </w:tcPr>
          <w:p w:rsidR="00F34DE9" w:rsidRDefault="00F34DE9" w:rsidP="00FE279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First year in Needs Assistance.</w:t>
            </w:r>
          </w:p>
        </w:tc>
      </w:tr>
      <w:tr w:rsidR="00F34DE9" w:rsidTr="00F34DE9">
        <w:trPr>
          <w:cantSplit/>
          <w:trHeight w:val="259"/>
        </w:trPr>
        <w:tc>
          <w:tcPr>
            <w:tcW w:w="990" w:type="dxa"/>
            <w:tcBorders>
              <w:top w:val="nil"/>
              <w:left w:val="single" w:sz="12" w:space="0" w:color="000000"/>
              <w:bottom w:val="single" w:sz="8" w:space="0" w:color="000000"/>
              <w:right w:val="single" w:sz="8" w:space="0" w:color="000000"/>
            </w:tcBorders>
            <w:tcMar>
              <w:top w:w="72" w:type="dxa"/>
              <w:left w:w="72" w:type="dxa"/>
              <w:bottom w:w="72" w:type="dxa"/>
              <w:right w:w="72" w:type="dxa"/>
            </w:tcMar>
            <w:hideMark/>
          </w:tcPr>
          <w:p w:rsidR="00F34DE9" w:rsidRDefault="00F34DE9">
            <w:pPr>
              <w:pStyle w:val="ListParagraph"/>
              <w:spacing w:after="0" w:line="240" w:lineRule="auto"/>
              <w:ind w:left="-25"/>
              <w:jc w:val="center"/>
              <w:rPr>
                <w:rFonts w:ascii="Times New Roman" w:hAnsi="Times New Roman"/>
                <w:sz w:val="24"/>
                <w:szCs w:val="24"/>
              </w:rPr>
            </w:pPr>
            <w:r>
              <w:rPr>
                <w:rFonts w:ascii="Times New Roman" w:hAnsi="Times New Roman"/>
                <w:b/>
                <w:bCs/>
                <w:sz w:val="24"/>
                <w:szCs w:val="24"/>
              </w:rPr>
              <w:t>NA2</w:t>
            </w:r>
          </w:p>
        </w:tc>
        <w:tc>
          <w:tcPr>
            <w:tcW w:w="5760" w:type="dxa"/>
            <w:tcBorders>
              <w:top w:val="nil"/>
              <w:left w:val="nil"/>
              <w:bottom w:val="single" w:sz="8" w:space="0" w:color="000000"/>
              <w:right w:val="single" w:sz="12" w:space="0" w:color="000000"/>
            </w:tcBorders>
            <w:tcMar>
              <w:top w:w="72" w:type="dxa"/>
              <w:left w:w="72" w:type="dxa"/>
              <w:bottom w:w="72" w:type="dxa"/>
              <w:right w:w="72" w:type="dxa"/>
            </w:tcMar>
            <w:hideMark/>
          </w:tcPr>
          <w:p w:rsidR="00F34DE9" w:rsidRDefault="00F34DE9" w:rsidP="00FE279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Second consecutive year of Needs Assistance.</w:t>
            </w:r>
          </w:p>
        </w:tc>
      </w:tr>
      <w:tr w:rsidR="00F34DE9" w:rsidTr="00F34DE9">
        <w:trPr>
          <w:cantSplit/>
          <w:trHeight w:val="259"/>
        </w:trPr>
        <w:tc>
          <w:tcPr>
            <w:tcW w:w="6750" w:type="dxa"/>
            <w:gridSpan w:val="2"/>
            <w:tcBorders>
              <w:top w:val="nil"/>
              <w:left w:val="single" w:sz="12" w:space="0" w:color="000000"/>
              <w:bottom w:val="single" w:sz="8" w:space="0" w:color="000000"/>
              <w:right w:val="single" w:sz="12" w:space="0" w:color="000000"/>
            </w:tcBorders>
            <w:tcMar>
              <w:top w:w="72" w:type="dxa"/>
              <w:left w:w="72" w:type="dxa"/>
              <w:bottom w:w="72" w:type="dxa"/>
              <w:right w:w="72" w:type="dxa"/>
            </w:tcMar>
            <w:hideMark/>
          </w:tcPr>
          <w:p w:rsidR="00F34DE9" w:rsidRDefault="00F34DE9">
            <w:pPr>
              <w:rPr>
                <w:rFonts w:ascii="Times New Roman" w:hAnsi="Times New Roman"/>
                <w:b/>
                <w:bCs/>
                <w:i/>
                <w:iCs/>
                <w:sz w:val="24"/>
                <w:szCs w:val="24"/>
              </w:rPr>
            </w:pPr>
            <w:r>
              <w:rPr>
                <w:rFonts w:ascii="Times New Roman" w:hAnsi="Times New Roman"/>
                <w:b/>
                <w:bCs/>
                <w:sz w:val="24"/>
                <w:szCs w:val="24"/>
              </w:rPr>
              <w:t>Needs Intervention</w:t>
            </w:r>
            <w:r>
              <w:rPr>
                <w:rFonts w:ascii="Times New Roman" w:hAnsi="Times New Roman"/>
                <w:b/>
                <w:bCs/>
                <w:i/>
                <w:iCs/>
                <w:sz w:val="24"/>
                <w:szCs w:val="24"/>
              </w:rPr>
              <w:t xml:space="preserve"> (</w:t>
            </w:r>
            <w:r>
              <w:rPr>
                <w:rFonts w:ascii="Times New Roman" w:hAnsi="Times New Roman"/>
                <w:b/>
                <w:bCs/>
                <w:i/>
                <w:iCs/>
                <w:color w:val="FF0000"/>
                <w:sz w:val="24"/>
                <w:szCs w:val="24"/>
              </w:rPr>
              <w:t>NI</w:t>
            </w:r>
            <w:r>
              <w:rPr>
                <w:rFonts w:ascii="Times New Roman" w:hAnsi="Times New Roman"/>
                <w:b/>
                <w:bCs/>
                <w:i/>
                <w:iCs/>
                <w:sz w:val="24"/>
                <w:szCs w:val="24"/>
              </w:rPr>
              <w:t>)</w:t>
            </w:r>
          </w:p>
        </w:tc>
      </w:tr>
      <w:tr w:rsidR="00F34DE9" w:rsidTr="00F34DE9">
        <w:trPr>
          <w:cantSplit/>
          <w:trHeight w:val="259"/>
        </w:trPr>
        <w:tc>
          <w:tcPr>
            <w:tcW w:w="990" w:type="dxa"/>
            <w:tcBorders>
              <w:top w:val="nil"/>
              <w:left w:val="single" w:sz="12" w:space="0" w:color="000000"/>
              <w:bottom w:val="single" w:sz="8" w:space="0" w:color="000000"/>
              <w:right w:val="single" w:sz="8" w:space="0" w:color="000000"/>
            </w:tcBorders>
            <w:tcMar>
              <w:top w:w="72" w:type="dxa"/>
              <w:left w:w="72" w:type="dxa"/>
              <w:bottom w:w="72" w:type="dxa"/>
              <w:right w:w="72" w:type="dxa"/>
            </w:tcMar>
            <w:hideMark/>
          </w:tcPr>
          <w:p w:rsidR="00F34DE9" w:rsidRDefault="00F34DE9">
            <w:pPr>
              <w:pStyle w:val="ListParagraph"/>
              <w:spacing w:after="0" w:line="240" w:lineRule="auto"/>
              <w:ind w:left="-25"/>
              <w:jc w:val="center"/>
              <w:rPr>
                <w:rFonts w:ascii="Times New Roman" w:hAnsi="Times New Roman"/>
                <w:sz w:val="24"/>
                <w:szCs w:val="24"/>
              </w:rPr>
            </w:pPr>
            <w:r>
              <w:rPr>
                <w:rFonts w:ascii="Times New Roman" w:hAnsi="Times New Roman"/>
                <w:b/>
                <w:bCs/>
                <w:sz w:val="24"/>
                <w:szCs w:val="24"/>
              </w:rPr>
              <w:t>NI1</w:t>
            </w:r>
          </w:p>
        </w:tc>
        <w:tc>
          <w:tcPr>
            <w:tcW w:w="5760" w:type="dxa"/>
            <w:tcBorders>
              <w:top w:val="nil"/>
              <w:left w:val="nil"/>
              <w:bottom w:val="single" w:sz="8" w:space="0" w:color="000000"/>
              <w:right w:val="single" w:sz="12" w:space="0" w:color="000000"/>
            </w:tcBorders>
            <w:tcMar>
              <w:top w:w="72" w:type="dxa"/>
              <w:left w:w="72" w:type="dxa"/>
              <w:bottom w:w="72" w:type="dxa"/>
              <w:right w:w="72" w:type="dxa"/>
            </w:tcMar>
            <w:hideMark/>
          </w:tcPr>
          <w:p w:rsidR="00F34DE9" w:rsidRDefault="00F34DE9" w:rsidP="00FE279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Third consecutive year of Needs Assistance.</w:t>
            </w:r>
          </w:p>
        </w:tc>
      </w:tr>
      <w:tr w:rsidR="00F34DE9" w:rsidTr="00F34DE9">
        <w:trPr>
          <w:cantSplit/>
          <w:trHeight w:val="259"/>
        </w:trPr>
        <w:tc>
          <w:tcPr>
            <w:tcW w:w="990" w:type="dxa"/>
            <w:tcBorders>
              <w:top w:val="nil"/>
              <w:left w:val="single" w:sz="12" w:space="0" w:color="000000"/>
              <w:bottom w:val="single" w:sz="8" w:space="0" w:color="000000"/>
              <w:right w:val="single" w:sz="8" w:space="0" w:color="000000"/>
            </w:tcBorders>
            <w:tcMar>
              <w:top w:w="72" w:type="dxa"/>
              <w:left w:w="72" w:type="dxa"/>
              <w:bottom w:w="72" w:type="dxa"/>
              <w:right w:w="72" w:type="dxa"/>
            </w:tcMar>
            <w:hideMark/>
          </w:tcPr>
          <w:p w:rsidR="00F34DE9" w:rsidRDefault="00F34DE9">
            <w:pPr>
              <w:pStyle w:val="ListParagraph"/>
              <w:spacing w:after="0" w:line="240" w:lineRule="auto"/>
              <w:ind w:left="-25"/>
              <w:jc w:val="center"/>
              <w:rPr>
                <w:rFonts w:ascii="Times New Roman" w:hAnsi="Times New Roman"/>
                <w:sz w:val="24"/>
                <w:szCs w:val="24"/>
              </w:rPr>
            </w:pPr>
            <w:r>
              <w:rPr>
                <w:rFonts w:ascii="Times New Roman" w:hAnsi="Times New Roman"/>
                <w:b/>
                <w:bCs/>
                <w:sz w:val="24"/>
                <w:szCs w:val="24"/>
              </w:rPr>
              <w:t>NI2</w:t>
            </w:r>
          </w:p>
        </w:tc>
        <w:tc>
          <w:tcPr>
            <w:tcW w:w="5760" w:type="dxa"/>
            <w:tcBorders>
              <w:top w:val="nil"/>
              <w:left w:val="nil"/>
              <w:bottom w:val="single" w:sz="8" w:space="0" w:color="000000"/>
              <w:right w:val="single" w:sz="12" w:space="0" w:color="000000"/>
            </w:tcBorders>
            <w:tcMar>
              <w:top w:w="72" w:type="dxa"/>
              <w:left w:w="72" w:type="dxa"/>
              <w:bottom w:w="72" w:type="dxa"/>
              <w:right w:w="72" w:type="dxa"/>
            </w:tcMar>
            <w:hideMark/>
          </w:tcPr>
          <w:p w:rsidR="00F34DE9" w:rsidRDefault="00F34DE9" w:rsidP="00FE279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Fourth consecutive year of Needs Assistance.</w:t>
            </w:r>
          </w:p>
        </w:tc>
      </w:tr>
      <w:tr w:rsidR="00F34DE9" w:rsidTr="00F34DE9">
        <w:trPr>
          <w:cantSplit/>
          <w:trHeight w:val="259"/>
        </w:trPr>
        <w:tc>
          <w:tcPr>
            <w:tcW w:w="990" w:type="dxa"/>
            <w:tcBorders>
              <w:top w:val="nil"/>
              <w:left w:val="single" w:sz="12" w:space="0" w:color="000000"/>
              <w:bottom w:val="single" w:sz="12" w:space="0" w:color="000000"/>
              <w:right w:val="single" w:sz="8" w:space="0" w:color="000000"/>
            </w:tcBorders>
            <w:tcMar>
              <w:top w:w="72" w:type="dxa"/>
              <w:left w:w="72" w:type="dxa"/>
              <w:bottom w:w="72" w:type="dxa"/>
              <w:right w:w="72" w:type="dxa"/>
            </w:tcMar>
            <w:hideMark/>
          </w:tcPr>
          <w:p w:rsidR="00F34DE9" w:rsidRDefault="00F34DE9">
            <w:pPr>
              <w:pStyle w:val="ListParagraph"/>
              <w:spacing w:after="0" w:line="240" w:lineRule="auto"/>
              <w:ind w:left="-25"/>
              <w:jc w:val="center"/>
              <w:rPr>
                <w:rFonts w:ascii="Times New Roman" w:hAnsi="Times New Roman"/>
                <w:sz w:val="24"/>
                <w:szCs w:val="24"/>
              </w:rPr>
            </w:pPr>
            <w:r>
              <w:rPr>
                <w:rFonts w:ascii="Times New Roman" w:hAnsi="Times New Roman"/>
                <w:b/>
                <w:bCs/>
                <w:sz w:val="24"/>
                <w:szCs w:val="24"/>
              </w:rPr>
              <w:t>NI3</w:t>
            </w:r>
          </w:p>
        </w:tc>
        <w:tc>
          <w:tcPr>
            <w:tcW w:w="5760" w:type="dxa"/>
            <w:tcBorders>
              <w:top w:val="nil"/>
              <w:left w:val="nil"/>
              <w:bottom w:val="single" w:sz="12" w:space="0" w:color="000000"/>
              <w:right w:val="single" w:sz="12" w:space="0" w:color="000000"/>
            </w:tcBorders>
            <w:tcMar>
              <w:top w:w="72" w:type="dxa"/>
              <w:left w:w="72" w:type="dxa"/>
              <w:bottom w:w="72" w:type="dxa"/>
              <w:right w:w="72" w:type="dxa"/>
            </w:tcMar>
            <w:hideMark/>
          </w:tcPr>
          <w:p w:rsidR="00F34DE9" w:rsidRDefault="00F34DE9" w:rsidP="00FE279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Fifth consecutive year of Needs Assistance.</w:t>
            </w:r>
          </w:p>
        </w:tc>
      </w:tr>
      <w:tr w:rsidR="00F34DE9" w:rsidTr="00F34DE9">
        <w:trPr>
          <w:cantSplit/>
          <w:trHeight w:val="259"/>
        </w:trPr>
        <w:tc>
          <w:tcPr>
            <w:tcW w:w="6750" w:type="dxa"/>
            <w:gridSpan w:val="2"/>
            <w:tcBorders>
              <w:top w:val="nil"/>
              <w:left w:val="single" w:sz="12" w:space="0" w:color="000000"/>
              <w:bottom w:val="single" w:sz="8" w:space="0" w:color="000000"/>
              <w:right w:val="single" w:sz="12" w:space="0" w:color="000000"/>
            </w:tcBorders>
            <w:tcMar>
              <w:top w:w="72" w:type="dxa"/>
              <w:left w:w="72" w:type="dxa"/>
              <w:bottom w:w="72" w:type="dxa"/>
              <w:right w:w="72" w:type="dxa"/>
            </w:tcMar>
            <w:hideMark/>
          </w:tcPr>
          <w:p w:rsidR="00F34DE9" w:rsidRDefault="00F34DE9">
            <w:pPr>
              <w:rPr>
                <w:rFonts w:ascii="Times New Roman" w:hAnsi="Times New Roman"/>
                <w:b/>
                <w:bCs/>
                <w:i/>
                <w:iCs/>
                <w:sz w:val="24"/>
                <w:szCs w:val="24"/>
              </w:rPr>
            </w:pPr>
            <w:r>
              <w:rPr>
                <w:rFonts w:ascii="Times New Roman" w:hAnsi="Times New Roman"/>
                <w:b/>
                <w:bCs/>
                <w:sz w:val="24"/>
                <w:szCs w:val="24"/>
              </w:rPr>
              <w:t>Needs Substantial Intervention</w:t>
            </w:r>
            <w:r>
              <w:rPr>
                <w:rFonts w:ascii="Times New Roman" w:hAnsi="Times New Roman"/>
                <w:b/>
                <w:bCs/>
                <w:i/>
                <w:iCs/>
                <w:sz w:val="24"/>
                <w:szCs w:val="24"/>
              </w:rPr>
              <w:t xml:space="preserve"> (</w:t>
            </w:r>
            <w:r>
              <w:rPr>
                <w:rFonts w:ascii="Times New Roman" w:hAnsi="Times New Roman"/>
                <w:b/>
                <w:bCs/>
                <w:i/>
                <w:iCs/>
                <w:color w:val="FF0000"/>
                <w:sz w:val="24"/>
                <w:szCs w:val="24"/>
              </w:rPr>
              <w:t>NSI</w:t>
            </w:r>
            <w:r>
              <w:rPr>
                <w:rFonts w:ascii="Times New Roman" w:hAnsi="Times New Roman"/>
                <w:b/>
                <w:bCs/>
                <w:i/>
                <w:iCs/>
                <w:sz w:val="24"/>
                <w:szCs w:val="24"/>
              </w:rPr>
              <w:t>)</w:t>
            </w:r>
          </w:p>
        </w:tc>
      </w:tr>
      <w:tr w:rsidR="00F34DE9" w:rsidTr="00F34DE9">
        <w:trPr>
          <w:cantSplit/>
          <w:trHeight w:val="259"/>
        </w:trPr>
        <w:tc>
          <w:tcPr>
            <w:tcW w:w="6750" w:type="dxa"/>
            <w:gridSpan w:val="2"/>
            <w:tcBorders>
              <w:top w:val="nil"/>
              <w:left w:val="single" w:sz="12" w:space="0" w:color="000000"/>
              <w:bottom w:val="single" w:sz="12" w:space="0" w:color="000000"/>
              <w:right w:val="single" w:sz="12" w:space="0" w:color="000000"/>
            </w:tcBorders>
            <w:tcMar>
              <w:top w:w="72" w:type="dxa"/>
              <w:left w:w="72" w:type="dxa"/>
              <w:bottom w:w="72" w:type="dxa"/>
              <w:right w:w="72" w:type="dxa"/>
            </w:tcMar>
            <w:hideMark/>
          </w:tcPr>
          <w:p w:rsidR="00F34DE9" w:rsidRDefault="00F34DE9">
            <w:pPr>
              <w:pStyle w:val="ListParagraph"/>
              <w:spacing w:after="0" w:line="240" w:lineRule="auto"/>
              <w:ind w:hanging="360"/>
              <w:rPr>
                <w:rFonts w:ascii="Times New Roman" w:hAnsi="Times New Roman"/>
                <w:sz w:val="24"/>
                <w:szCs w:val="24"/>
              </w:rPr>
            </w:pPr>
            <w:r>
              <w:rPr>
                <w:rFonts w:ascii="Times New Roman" w:hAnsi="Times New Roman"/>
                <w:sz w:val="24"/>
                <w:szCs w:val="24"/>
              </w:rPr>
              <w:lastRenderedPageBreak/>
              <w:t>1.   Sixth Consecutive year of Needs Assistance; or</w:t>
            </w:r>
          </w:p>
          <w:p w:rsidR="00F34DE9" w:rsidRDefault="00F34DE9">
            <w:pPr>
              <w:pStyle w:val="ListParagraph"/>
              <w:spacing w:after="0" w:line="240" w:lineRule="auto"/>
              <w:ind w:hanging="360"/>
              <w:rPr>
                <w:rFonts w:ascii="Times New Roman" w:hAnsi="Times New Roman"/>
                <w:sz w:val="24"/>
                <w:szCs w:val="24"/>
              </w:rPr>
            </w:pPr>
            <w:r>
              <w:rPr>
                <w:rFonts w:ascii="Times New Roman" w:hAnsi="Times New Roman"/>
                <w:sz w:val="24"/>
                <w:szCs w:val="24"/>
              </w:rPr>
              <w:t xml:space="preserve">2.   Finding of </w:t>
            </w:r>
            <w:r>
              <w:rPr>
                <w:rFonts w:ascii="Times New Roman" w:hAnsi="Times New Roman"/>
                <w:b/>
                <w:bCs/>
                <w:i/>
                <w:iCs/>
                <w:sz w:val="24"/>
                <w:szCs w:val="24"/>
              </w:rPr>
              <w:t>Persistent Failure or Not Able to Comply</w:t>
            </w:r>
            <w:r>
              <w:rPr>
                <w:rFonts w:ascii="Times New Roman" w:hAnsi="Times New Roman"/>
                <w:sz w:val="24"/>
                <w:szCs w:val="24"/>
              </w:rPr>
              <w:t>;</w:t>
            </w:r>
            <w:r>
              <w:rPr>
                <w:rFonts w:ascii="Times New Roman" w:hAnsi="Times New Roman"/>
                <w:b/>
                <w:bCs/>
                <w:i/>
                <w:iCs/>
                <w:sz w:val="24"/>
                <w:szCs w:val="24"/>
              </w:rPr>
              <w:t xml:space="preserve"> </w:t>
            </w:r>
            <w:r>
              <w:rPr>
                <w:rFonts w:ascii="Times New Roman" w:hAnsi="Times New Roman"/>
                <w:sz w:val="24"/>
                <w:szCs w:val="24"/>
              </w:rPr>
              <w:t>or</w:t>
            </w:r>
          </w:p>
          <w:p w:rsidR="00F34DE9" w:rsidRDefault="00F34DE9">
            <w:pPr>
              <w:pStyle w:val="ListParagraph"/>
              <w:spacing w:after="0" w:line="240" w:lineRule="auto"/>
              <w:ind w:hanging="360"/>
              <w:rPr>
                <w:rFonts w:ascii="Times New Roman" w:hAnsi="Times New Roman"/>
                <w:sz w:val="24"/>
                <w:szCs w:val="24"/>
              </w:rPr>
            </w:pPr>
            <w:r>
              <w:rPr>
                <w:rFonts w:ascii="Times New Roman" w:hAnsi="Times New Roman"/>
                <w:sz w:val="24"/>
                <w:szCs w:val="24"/>
              </w:rPr>
              <w:t>3.   Results of an On-Site Monitoring Visit (Based on Monitoring Team Findings described Below)</w:t>
            </w:r>
          </w:p>
        </w:tc>
      </w:tr>
    </w:tbl>
    <w:p w:rsidR="00F34DE9" w:rsidRDefault="00F34DE9" w:rsidP="00F34DE9">
      <w:pPr>
        <w:spacing w:before="240" w:after="240"/>
        <w:rPr>
          <w:rFonts w:ascii="Times New Roman" w:hAnsi="Times New Roman"/>
          <w:sz w:val="24"/>
          <w:szCs w:val="24"/>
        </w:rPr>
      </w:pPr>
      <w:r>
        <w:rPr>
          <w:rFonts w:ascii="Times New Roman" w:hAnsi="Times New Roman"/>
          <w:sz w:val="24"/>
          <w:szCs w:val="24"/>
        </w:rPr>
        <w:t>Please carefully review both of the attached documents.  If you have questions or require additional information, please contact me using the information below.</w:t>
      </w:r>
    </w:p>
    <w:p w:rsidR="00F34DE9" w:rsidRDefault="00F34DE9" w:rsidP="00F34DE9"/>
    <w:p w:rsidR="00F34DE9" w:rsidRDefault="00F34DE9" w:rsidP="00F34DE9">
      <w:pPr>
        <w:rPr>
          <w:rFonts w:ascii="Corbel" w:hAnsi="Corbel"/>
          <w:color w:val="002060"/>
          <w:sz w:val="28"/>
          <w:szCs w:val="28"/>
        </w:rPr>
      </w:pPr>
      <w:r>
        <w:rPr>
          <w:rFonts w:ascii="Corbel" w:hAnsi="Corbel"/>
          <w:color w:val="002060"/>
          <w:sz w:val="28"/>
          <w:szCs w:val="28"/>
        </w:rPr>
        <w:t xml:space="preserve">Johnny W. </w:t>
      </w:r>
      <w:proofErr w:type="spellStart"/>
      <w:r>
        <w:rPr>
          <w:rFonts w:ascii="Corbel" w:hAnsi="Corbel"/>
          <w:color w:val="002060"/>
          <w:sz w:val="28"/>
          <w:szCs w:val="28"/>
        </w:rPr>
        <w:t>Collett</w:t>
      </w:r>
      <w:proofErr w:type="spellEnd"/>
    </w:p>
    <w:p w:rsidR="00F34DE9" w:rsidRDefault="00F34DE9" w:rsidP="00F34DE9">
      <w:pPr>
        <w:rPr>
          <w:rFonts w:ascii="Corbel" w:hAnsi="Corbel"/>
          <w:i/>
          <w:iCs/>
        </w:rPr>
      </w:pPr>
      <w:r>
        <w:rPr>
          <w:rFonts w:ascii="Corbel" w:hAnsi="Corbel"/>
          <w:i/>
          <w:iCs/>
        </w:rPr>
        <w:t>Director</w:t>
      </w:r>
    </w:p>
    <w:p w:rsidR="00F34DE9" w:rsidRDefault="00F34DE9" w:rsidP="00F34DE9">
      <w:pPr>
        <w:rPr>
          <w:rFonts w:ascii="Corbel" w:hAnsi="Corbel"/>
        </w:rPr>
      </w:pPr>
      <w:r>
        <w:rPr>
          <w:rFonts w:ascii="Corbel" w:hAnsi="Corbel"/>
        </w:rPr>
        <w:t>Division of Learning Services</w:t>
      </w:r>
    </w:p>
    <w:p w:rsidR="00F34DE9" w:rsidRDefault="00F34DE9" w:rsidP="00F34DE9">
      <w:pPr>
        <w:rPr>
          <w:rFonts w:ascii="Corbel" w:hAnsi="Corbel"/>
        </w:rPr>
      </w:pPr>
      <w:r>
        <w:rPr>
          <w:rFonts w:ascii="Corbel" w:hAnsi="Corbel"/>
        </w:rPr>
        <w:t>Office of Next Generation Learners</w:t>
      </w:r>
    </w:p>
    <w:p w:rsidR="00F34DE9" w:rsidRDefault="00F34DE9" w:rsidP="00F34DE9">
      <w:pPr>
        <w:rPr>
          <w:rFonts w:ascii="Corbel" w:hAnsi="Corbel"/>
        </w:rPr>
      </w:pPr>
      <w:r>
        <w:rPr>
          <w:rFonts w:ascii="Corbel" w:hAnsi="Corbel"/>
        </w:rPr>
        <w:t>Kentucky Department of Education</w:t>
      </w:r>
    </w:p>
    <w:p w:rsidR="00F34DE9" w:rsidRDefault="00F34DE9" w:rsidP="00F34DE9">
      <w:pPr>
        <w:rPr>
          <w:rFonts w:ascii="Corbel" w:hAnsi="Corbel"/>
        </w:rPr>
      </w:pPr>
      <w:r>
        <w:rPr>
          <w:rFonts w:ascii="Corbel" w:hAnsi="Corbel"/>
        </w:rPr>
        <w:t xml:space="preserve">500 </w:t>
      </w:r>
      <w:proofErr w:type="spellStart"/>
      <w:r>
        <w:rPr>
          <w:rFonts w:ascii="Corbel" w:hAnsi="Corbel"/>
        </w:rPr>
        <w:t>Mero</w:t>
      </w:r>
      <w:proofErr w:type="spellEnd"/>
      <w:r>
        <w:rPr>
          <w:rFonts w:ascii="Corbel" w:hAnsi="Corbel"/>
        </w:rPr>
        <w:t xml:space="preserve"> Street, CPT 18</w:t>
      </w:r>
      <w:r>
        <w:rPr>
          <w:rFonts w:ascii="Corbel" w:hAnsi="Corbel"/>
          <w:vertAlign w:val="superscript"/>
        </w:rPr>
        <w:t>th</w:t>
      </w:r>
      <w:r>
        <w:rPr>
          <w:rFonts w:ascii="Corbel" w:hAnsi="Corbel"/>
        </w:rPr>
        <w:t xml:space="preserve"> Floor</w:t>
      </w:r>
    </w:p>
    <w:p w:rsidR="00F34DE9" w:rsidRDefault="00F34DE9" w:rsidP="00F34DE9">
      <w:pPr>
        <w:rPr>
          <w:rFonts w:ascii="Corbel" w:hAnsi="Corbel"/>
        </w:rPr>
      </w:pPr>
      <w:r>
        <w:rPr>
          <w:rFonts w:ascii="Corbel" w:hAnsi="Corbel"/>
        </w:rPr>
        <w:t>Frankfort, KY 40601</w:t>
      </w:r>
    </w:p>
    <w:p w:rsidR="00F34DE9" w:rsidRDefault="00F34DE9" w:rsidP="00F34DE9">
      <w:pPr>
        <w:rPr>
          <w:rFonts w:ascii="Corbel" w:hAnsi="Corbel"/>
        </w:rPr>
      </w:pPr>
      <w:r>
        <w:rPr>
          <w:rFonts w:ascii="Corbel" w:hAnsi="Corbel"/>
        </w:rPr>
        <w:t>502-564-4970, ext. 4110 (Office)</w:t>
      </w:r>
    </w:p>
    <w:p w:rsidR="00F34DE9" w:rsidRDefault="00F34DE9" w:rsidP="00F34DE9">
      <w:pPr>
        <w:rPr>
          <w:rFonts w:ascii="Corbel" w:hAnsi="Corbel"/>
        </w:rPr>
      </w:pPr>
      <w:r>
        <w:rPr>
          <w:rFonts w:ascii="Corbel" w:hAnsi="Corbel"/>
        </w:rPr>
        <w:t>502-564-6721 (Fax)</w:t>
      </w:r>
    </w:p>
    <w:p w:rsidR="00F34DE9" w:rsidRDefault="00F34DE9" w:rsidP="00F34DE9"/>
    <w:p w:rsidR="007449C7" w:rsidRDefault="007449C7">
      <w:bookmarkStart w:id="0" w:name="_GoBack"/>
      <w:bookmarkEnd w:id="0"/>
    </w:p>
    <w:sectPr w:rsidR="0074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0505"/>
    <w:multiLevelType w:val="hybridMultilevel"/>
    <w:tmpl w:val="23A4C292"/>
    <w:lvl w:ilvl="0" w:tplc="693C9770">
      <w:start w:val="3"/>
      <w:numFmt w:val="bullet"/>
      <w:lvlText w:val=""/>
      <w:lvlJc w:val="left"/>
      <w:pPr>
        <w:ind w:left="425" w:hanging="360"/>
      </w:pPr>
      <w:rPr>
        <w:rFonts w:ascii="Symbol" w:eastAsia="Calibri" w:hAnsi="Symbol" w:cs="Times New Roman" w:hint="default"/>
      </w:rPr>
    </w:lvl>
    <w:lvl w:ilvl="1" w:tplc="04090003">
      <w:start w:val="1"/>
      <w:numFmt w:val="bullet"/>
      <w:lvlText w:val="o"/>
      <w:lvlJc w:val="left"/>
      <w:pPr>
        <w:ind w:left="1145" w:hanging="360"/>
      </w:pPr>
      <w:rPr>
        <w:rFonts w:ascii="Courier New" w:hAnsi="Courier New" w:cs="Courier New" w:hint="default"/>
      </w:rPr>
    </w:lvl>
    <w:lvl w:ilvl="2" w:tplc="04090005">
      <w:start w:val="1"/>
      <w:numFmt w:val="bullet"/>
      <w:lvlText w:val=""/>
      <w:lvlJc w:val="left"/>
      <w:pPr>
        <w:ind w:left="1865" w:hanging="360"/>
      </w:pPr>
      <w:rPr>
        <w:rFonts w:ascii="Wingdings" w:hAnsi="Wingdings" w:hint="default"/>
      </w:rPr>
    </w:lvl>
    <w:lvl w:ilvl="3" w:tplc="04090001">
      <w:start w:val="1"/>
      <w:numFmt w:val="bullet"/>
      <w:lvlText w:val=""/>
      <w:lvlJc w:val="left"/>
      <w:pPr>
        <w:ind w:left="2585" w:hanging="360"/>
      </w:pPr>
      <w:rPr>
        <w:rFonts w:ascii="Symbol" w:hAnsi="Symbol" w:hint="default"/>
      </w:rPr>
    </w:lvl>
    <w:lvl w:ilvl="4" w:tplc="04090003">
      <w:start w:val="1"/>
      <w:numFmt w:val="bullet"/>
      <w:lvlText w:val="o"/>
      <w:lvlJc w:val="left"/>
      <w:pPr>
        <w:ind w:left="3305" w:hanging="360"/>
      </w:pPr>
      <w:rPr>
        <w:rFonts w:ascii="Courier New" w:hAnsi="Courier New" w:cs="Courier New" w:hint="default"/>
      </w:rPr>
    </w:lvl>
    <w:lvl w:ilvl="5" w:tplc="04090005">
      <w:start w:val="1"/>
      <w:numFmt w:val="bullet"/>
      <w:lvlText w:val=""/>
      <w:lvlJc w:val="left"/>
      <w:pPr>
        <w:ind w:left="4025" w:hanging="360"/>
      </w:pPr>
      <w:rPr>
        <w:rFonts w:ascii="Wingdings" w:hAnsi="Wingdings" w:hint="default"/>
      </w:rPr>
    </w:lvl>
    <w:lvl w:ilvl="6" w:tplc="04090001">
      <w:start w:val="1"/>
      <w:numFmt w:val="bullet"/>
      <w:lvlText w:val=""/>
      <w:lvlJc w:val="left"/>
      <w:pPr>
        <w:ind w:left="4745" w:hanging="360"/>
      </w:pPr>
      <w:rPr>
        <w:rFonts w:ascii="Symbol" w:hAnsi="Symbol" w:hint="default"/>
      </w:rPr>
    </w:lvl>
    <w:lvl w:ilvl="7" w:tplc="04090003">
      <w:start w:val="1"/>
      <w:numFmt w:val="bullet"/>
      <w:lvlText w:val="o"/>
      <w:lvlJc w:val="left"/>
      <w:pPr>
        <w:ind w:left="5465" w:hanging="360"/>
      </w:pPr>
      <w:rPr>
        <w:rFonts w:ascii="Courier New" w:hAnsi="Courier New" w:cs="Courier New" w:hint="default"/>
      </w:rPr>
    </w:lvl>
    <w:lvl w:ilvl="8" w:tplc="04090005">
      <w:start w:val="1"/>
      <w:numFmt w:val="bullet"/>
      <w:lvlText w:val=""/>
      <w:lvlJc w:val="left"/>
      <w:pPr>
        <w:ind w:left="6185" w:hanging="360"/>
      </w:pPr>
      <w:rPr>
        <w:rFonts w:ascii="Wingdings" w:hAnsi="Wingdings" w:hint="default"/>
      </w:rPr>
    </w:lvl>
  </w:abstractNum>
  <w:abstractNum w:abstractNumId="1">
    <w:nsid w:val="499E7CDA"/>
    <w:multiLevelType w:val="hybridMultilevel"/>
    <w:tmpl w:val="15FA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E9"/>
    <w:rsid w:val="007449C7"/>
    <w:rsid w:val="00F3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DE9"/>
    <w:rPr>
      <w:color w:val="0000FF"/>
      <w:u w:val="single"/>
    </w:rPr>
  </w:style>
  <w:style w:type="paragraph" w:styleId="ListParagraph">
    <w:name w:val="List Paragraph"/>
    <w:basedOn w:val="Normal"/>
    <w:uiPriority w:val="34"/>
    <w:qFormat/>
    <w:rsid w:val="00F34DE9"/>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DE9"/>
    <w:rPr>
      <w:color w:val="0000FF"/>
      <w:u w:val="single"/>
    </w:rPr>
  </w:style>
  <w:style w:type="paragraph" w:styleId="ListParagraph">
    <w:name w:val="List Paragraph"/>
    <w:basedOn w:val="Normal"/>
    <w:uiPriority w:val="34"/>
    <w:qFormat/>
    <w:rsid w:val="00F34DE9"/>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taylor@ove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From: Casey, Kimberly - Division of Learning Services On Behalf Of Collett, John</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1</cp:revision>
  <dcterms:created xsi:type="dcterms:W3CDTF">2013-11-04T13:27:00Z</dcterms:created>
  <dcterms:modified xsi:type="dcterms:W3CDTF">2013-11-04T13:28:00Z</dcterms:modified>
</cp:coreProperties>
</file>