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57" w:rsidRDefault="00314857" w:rsidP="00314857"/>
    <w:p w:rsidR="00314857" w:rsidRPr="00660A39" w:rsidRDefault="00314857" w:rsidP="00314857">
      <w:pPr>
        <w:jc w:val="center"/>
        <w:rPr>
          <w:b/>
          <w:sz w:val="32"/>
          <w:szCs w:val="32"/>
        </w:rPr>
      </w:pPr>
      <w:r w:rsidRPr="00660A39">
        <w:rPr>
          <w:b/>
          <w:i/>
          <w:sz w:val="32"/>
          <w:szCs w:val="32"/>
        </w:rPr>
        <w:t>Literacy First</w:t>
      </w:r>
      <w:r w:rsidRPr="00660A39">
        <w:rPr>
          <w:b/>
          <w:sz w:val="32"/>
          <w:szCs w:val="32"/>
        </w:rPr>
        <w:t xml:space="preserve"> Year End Report</w:t>
      </w:r>
    </w:p>
    <w:p w:rsidR="00314857" w:rsidRPr="00660A39" w:rsidRDefault="00314857" w:rsidP="00314857">
      <w:pPr>
        <w:jc w:val="center"/>
        <w:rPr>
          <w:b/>
          <w:sz w:val="32"/>
          <w:szCs w:val="32"/>
        </w:rPr>
      </w:pPr>
      <w:r w:rsidRPr="00660A39">
        <w:rPr>
          <w:b/>
          <w:sz w:val="32"/>
          <w:szCs w:val="32"/>
        </w:rPr>
        <w:t>Gallatin County Upper and Lower Elementary Schools</w:t>
      </w:r>
    </w:p>
    <w:p w:rsidR="00314857" w:rsidRPr="00660A39" w:rsidRDefault="00E82EC8" w:rsidP="00314857">
      <w:pPr>
        <w:jc w:val="center"/>
        <w:rPr>
          <w:b/>
          <w:sz w:val="32"/>
          <w:szCs w:val="32"/>
        </w:rPr>
      </w:pPr>
      <w:r>
        <w:rPr>
          <w:b/>
          <w:sz w:val="32"/>
          <w:szCs w:val="32"/>
        </w:rPr>
        <w:t>May, 2013</w:t>
      </w:r>
    </w:p>
    <w:p w:rsidR="00314857" w:rsidRPr="00660A39" w:rsidRDefault="00314857" w:rsidP="00314857">
      <w:pPr>
        <w:jc w:val="center"/>
        <w:rPr>
          <w:b/>
          <w:sz w:val="32"/>
          <w:szCs w:val="32"/>
        </w:rPr>
      </w:pPr>
    </w:p>
    <w:p w:rsidR="00314857" w:rsidRPr="00314857" w:rsidRDefault="00314857" w:rsidP="00314857">
      <w:pPr>
        <w:rPr>
          <w:sz w:val="28"/>
          <w:szCs w:val="28"/>
        </w:rPr>
      </w:pPr>
      <w:r w:rsidRPr="00314857">
        <w:rPr>
          <w:sz w:val="28"/>
          <w:szCs w:val="28"/>
        </w:rPr>
        <w:t xml:space="preserve">The following is a summary of our growth in the </w:t>
      </w:r>
      <w:r w:rsidRPr="00314857">
        <w:rPr>
          <w:i/>
          <w:sz w:val="28"/>
          <w:szCs w:val="28"/>
        </w:rPr>
        <w:t>Literacy First</w:t>
      </w:r>
      <w:r w:rsidRPr="00314857">
        <w:rPr>
          <w:sz w:val="28"/>
          <w:szCs w:val="28"/>
        </w:rPr>
        <w:t xml:space="preserve"> Process this year. The data includes all students Grades 1-5 </w:t>
      </w:r>
      <w:r w:rsidR="00982920">
        <w:rPr>
          <w:sz w:val="28"/>
          <w:szCs w:val="28"/>
        </w:rPr>
        <w:t>attending our school in May 2013</w:t>
      </w:r>
      <w:r w:rsidRPr="00314857">
        <w:rPr>
          <w:sz w:val="28"/>
          <w:szCs w:val="28"/>
        </w:rPr>
        <w:t>.</w:t>
      </w:r>
    </w:p>
    <w:p w:rsidR="00314857" w:rsidRPr="00314857" w:rsidRDefault="00314857" w:rsidP="00314857">
      <w:pPr>
        <w:rPr>
          <w:b/>
          <w:sz w:val="28"/>
          <w:szCs w:val="28"/>
          <w:u w:val="single"/>
        </w:rPr>
      </w:pPr>
      <w:r w:rsidRPr="00314857">
        <w:rPr>
          <w:b/>
          <w:sz w:val="28"/>
          <w:szCs w:val="28"/>
          <w:u w:val="single"/>
        </w:rPr>
        <w:t>PAST K-2</w:t>
      </w:r>
    </w:p>
    <w:p w:rsidR="00314857" w:rsidRPr="00314857" w:rsidRDefault="00314857" w:rsidP="00314857">
      <w:pPr>
        <w:rPr>
          <w:sz w:val="28"/>
          <w:szCs w:val="28"/>
        </w:rPr>
      </w:pPr>
      <w:r w:rsidRPr="00314857">
        <w:rPr>
          <w:sz w:val="28"/>
          <w:szCs w:val="28"/>
        </w:rPr>
        <w:t>The PAST is a test of phonological awareness.  It is the ability to hear and manipulate sound parts in words by phoneme, syllable, and onset and rime.</w:t>
      </w:r>
    </w:p>
    <w:p w:rsidR="00314857" w:rsidRPr="00314857" w:rsidRDefault="00314857" w:rsidP="00314857">
      <w:pPr>
        <w:rPr>
          <w:sz w:val="28"/>
          <w:szCs w:val="28"/>
        </w:rPr>
      </w:pPr>
    </w:p>
    <w:p w:rsidR="00314857" w:rsidRPr="00314857" w:rsidRDefault="00314857" w:rsidP="00314857">
      <w:pPr>
        <w:rPr>
          <w:sz w:val="28"/>
          <w:szCs w:val="28"/>
        </w:rPr>
      </w:pPr>
      <w:r w:rsidRPr="00314857">
        <w:rPr>
          <w:sz w:val="28"/>
          <w:szCs w:val="28"/>
        </w:rPr>
        <w:t>These are the benchmarks used to determine if a student is on grade level:</w:t>
      </w:r>
    </w:p>
    <w:p w:rsidR="00314857" w:rsidRPr="00314857" w:rsidRDefault="00314857" w:rsidP="00314857">
      <w:pPr>
        <w:rPr>
          <w:sz w:val="28"/>
          <w:szCs w:val="28"/>
        </w:rPr>
      </w:pPr>
      <w:r w:rsidRPr="00314857">
        <w:rPr>
          <w:sz w:val="28"/>
          <w:szCs w:val="28"/>
        </w:rPr>
        <w:t>Grade K-Pre-K skills and 4/6 of K skills</w:t>
      </w:r>
    </w:p>
    <w:p w:rsidR="00314857" w:rsidRPr="00314857" w:rsidRDefault="00314857" w:rsidP="00314857">
      <w:pPr>
        <w:rPr>
          <w:sz w:val="28"/>
          <w:szCs w:val="28"/>
        </w:rPr>
      </w:pPr>
      <w:r w:rsidRPr="00314857">
        <w:rPr>
          <w:sz w:val="28"/>
          <w:szCs w:val="28"/>
        </w:rPr>
        <w:t>Grade 1-Pre-K and K skills and ¾ of 1</w:t>
      </w:r>
      <w:r w:rsidRPr="00314857">
        <w:rPr>
          <w:sz w:val="28"/>
          <w:szCs w:val="28"/>
          <w:vertAlign w:val="superscript"/>
        </w:rPr>
        <w:t>st</w:t>
      </w:r>
      <w:r w:rsidRPr="00314857">
        <w:rPr>
          <w:sz w:val="28"/>
          <w:szCs w:val="28"/>
        </w:rPr>
        <w:t xml:space="preserve"> skills</w:t>
      </w:r>
    </w:p>
    <w:p w:rsidR="00314857" w:rsidRPr="00314857" w:rsidRDefault="00314857" w:rsidP="00314857">
      <w:pPr>
        <w:rPr>
          <w:sz w:val="28"/>
          <w:szCs w:val="28"/>
        </w:rPr>
      </w:pPr>
      <w:r w:rsidRPr="00314857">
        <w:rPr>
          <w:sz w:val="28"/>
          <w:szCs w:val="28"/>
        </w:rPr>
        <w:t>Grade 2-All PAST</w:t>
      </w:r>
    </w:p>
    <w:p w:rsidR="00314857" w:rsidRPr="00314857" w:rsidRDefault="00314857" w:rsidP="00314857">
      <w:pPr>
        <w:rPr>
          <w:sz w:val="28"/>
          <w:szCs w:val="28"/>
        </w:rPr>
      </w:pPr>
    </w:p>
    <w:tbl>
      <w:tblPr>
        <w:tblStyle w:val="TableGrid"/>
        <w:tblW w:w="0" w:type="auto"/>
        <w:tblLook w:val="04A0" w:firstRow="1" w:lastRow="0" w:firstColumn="1" w:lastColumn="0" w:noHBand="0" w:noVBand="1"/>
      </w:tblPr>
      <w:tblGrid>
        <w:gridCol w:w="3192"/>
        <w:gridCol w:w="3192"/>
        <w:gridCol w:w="3192"/>
      </w:tblGrid>
      <w:tr w:rsidR="00314857" w:rsidRPr="00314857" w:rsidTr="00CB3A3C">
        <w:tc>
          <w:tcPr>
            <w:tcW w:w="3192" w:type="dxa"/>
          </w:tcPr>
          <w:p w:rsidR="00314857" w:rsidRPr="00314857" w:rsidRDefault="00314857" w:rsidP="00CB3A3C">
            <w:pPr>
              <w:rPr>
                <w:b/>
                <w:sz w:val="28"/>
                <w:szCs w:val="28"/>
              </w:rPr>
            </w:pPr>
            <w:r w:rsidRPr="00314857">
              <w:rPr>
                <w:b/>
                <w:sz w:val="28"/>
                <w:szCs w:val="28"/>
              </w:rPr>
              <w:t>Grade Level</w:t>
            </w:r>
          </w:p>
        </w:tc>
        <w:tc>
          <w:tcPr>
            <w:tcW w:w="3192" w:type="dxa"/>
          </w:tcPr>
          <w:p w:rsidR="00314857" w:rsidRPr="00314857" w:rsidRDefault="00E82EC8" w:rsidP="00CB3A3C">
            <w:pPr>
              <w:rPr>
                <w:b/>
                <w:sz w:val="28"/>
                <w:szCs w:val="28"/>
              </w:rPr>
            </w:pPr>
            <w:r>
              <w:rPr>
                <w:b/>
                <w:sz w:val="28"/>
                <w:szCs w:val="28"/>
              </w:rPr>
              <w:t>August -Fall 12</w:t>
            </w:r>
          </w:p>
        </w:tc>
        <w:tc>
          <w:tcPr>
            <w:tcW w:w="3192" w:type="dxa"/>
          </w:tcPr>
          <w:p w:rsidR="00314857" w:rsidRPr="00314857" w:rsidRDefault="00E82EC8" w:rsidP="00CB3A3C">
            <w:pPr>
              <w:rPr>
                <w:b/>
                <w:sz w:val="28"/>
                <w:szCs w:val="28"/>
              </w:rPr>
            </w:pPr>
            <w:r>
              <w:rPr>
                <w:b/>
                <w:sz w:val="28"/>
                <w:szCs w:val="28"/>
              </w:rPr>
              <w:t>May- Spring 13</w:t>
            </w:r>
          </w:p>
        </w:tc>
      </w:tr>
      <w:tr w:rsidR="00314857" w:rsidRPr="00314857" w:rsidTr="00CB3A3C">
        <w:tc>
          <w:tcPr>
            <w:tcW w:w="3192" w:type="dxa"/>
          </w:tcPr>
          <w:p w:rsidR="00314857" w:rsidRPr="00314857" w:rsidRDefault="00314857" w:rsidP="00CB3A3C">
            <w:pPr>
              <w:rPr>
                <w:sz w:val="28"/>
                <w:szCs w:val="28"/>
              </w:rPr>
            </w:pPr>
            <w:r w:rsidRPr="00314857">
              <w:rPr>
                <w:sz w:val="28"/>
                <w:szCs w:val="28"/>
              </w:rPr>
              <w:t>Kindergarten</w:t>
            </w:r>
          </w:p>
        </w:tc>
        <w:tc>
          <w:tcPr>
            <w:tcW w:w="3192" w:type="dxa"/>
          </w:tcPr>
          <w:p w:rsidR="00314857" w:rsidRPr="00314857" w:rsidRDefault="00F56232" w:rsidP="00CB3A3C">
            <w:pPr>
              <w:rPr>
                <w:sz w:val="28"/>
                <w:szCs w:val="28"/>
              </w:rPr>
            </w:pPr>
            <w:r>
              <w:rPr>
                <w:sz w:val="28"/>
                <w:szCs w:val="28"/>
              </w:rPr>
              <w:t>19%</w:t>
            </w:r>
          </w:p>
        </w:tc>
        <w:tc>
          <w:tcPr>
            <w:tcW w:w="3192" w:type="dxa"/>
          </w:tcPr>
          <w:p w:rsidR="00314857" w:rsidRPr="00314857" w:rsidRDefault="00F56232" w:rsidP="00CB3A3C">
            <w:pPr>
              <w:rPr>
                <w:sz w:val="28"/>
                <w:szCs w:val="28"/>
              </w:rPr>
            </w:pPr>
            <w:r>
              <w:rPr>
                <w:sz w:val="28"/>
                <w:szCs w:val="28"/>
              </w:rPr>
              <w:t>92%</w:t>
            </w:r>
          </w:p>
        </w:tc>
      </w:tr>
      <w:tr w:rsidR="00314857" w:rsidRPr="00314857" w:rsidTr="00CB3A3C">
        <w:tc>
          <w:tcPr>
            <w:tcW w:w="3192" w:type="dxa"/>
          </w:tcPr>
          <w:p w:rsidR="00314857" w:rsidRPr="00314857" w:rsidRDefault="00314857" w:rsidP="00CB3A3C">
            <w:pPr>
              <w:rPr>
                <w:sz w:val="28"/>
                <w:szCs w:val="28"/>
              </w:rPr>
            </w:pPr>
            <w:r w:rsidRPr="00314857">
              <w:rPr>
                <w:sz w:val="28"/>
                <w:szCs w:val="28"/>
              </w:rPr>
              <w:t>Grade 1</w:t>
            </w:r>
          </w:p>
        </w:tc>
        <w:tc>
          <w:tcPr>
            <w:tcW w:w="3192" w:type="dxa"/>
          </w:tcPr>
          <w:p w:rsidR="00314857" w:rsidRPr="00314857" w:rsidRDefault="00F56232" w:rsidP="00CB3A3C">
            <w:pPr>
              <w:rPr>
                <w:sz w:val="28"/>
                <w:szCs w:val="28"/>
              </w:rPr>
            </w:pPr>
            <w:r>
              <w:rPr>
                <w:sz w:val="28"/>
                <w:szCs w:val="28"/>
              </w:rPr>
              <w:t>78%</w:t>
            </w:r>
          </w:p>
        </w:tc>
        <w:tc>
          <w:tcPr>
            <w:tcW w:w="3192" w:type="dxa"/>
          </w:tcPr>
          <w:p w:rsidR="00314857" w:rsidRPr="00314857" w:rsidRDefault="00F56232" w:rsidP="00CB3A3C">
            <w:pPr>
              <w:rPr>
                <w:sz w:val="28"/>
                <w:szCs w:val="28"/>
              </w:rPr>
            </w:pPr>
            <w:r>
              <w:rPr>
                <w:sz w:val="28"/>
                <w:szCs w:val="28"/>
              </w:rPr>
              <w:t>97%</w:t>
            </w:r>
          </w:p>
        </w:tc>
      </w:tr>
      <w:tr w:rsidR="00314857" w:rsidRPr="00314857" w:rsidTr="00CB3A3C">
        <w:tc>
          <w:tcPr>
            <w:tcW w:w="3192" w:type="dxa"/>
          </w:tcPr>
          <w:p w:rsidR="00314857" w:rsidRPr="00314857" w:rsidRDefault="00314857" w:rsidP="00CB3A3C">
            <w:pPr>
              <w:rPr>
                <w:sz w:val="28"/>
                <w:szCs w:val="28"/>
              </w:rPr>
            </w:pPr>
            <w:r w:rsidRPr="00314857">
              <w:rPr>
                <w:sz w:val="28"/>
                <w:szCs w:val="28"/>
              </w:rPr>
              <w:t>Grade 2</w:t>
            </w:r>
          </w:p>
        </w:tc>
        <w:tc>
          <w:tcPr>
            <w:tcW w:w="3192" w:type="dxa"/>
          </w:tcPr>
          <w:p w:rsidR="00314857" w:rsidRPr="00314857" w:rsidRDefault="00F56232" w:rsidP="00CB3A3C">
            <w:pPr>
              <w:rPr>
                <w:sz w:val="28"/>
                <w:szCs w:val="28"/>
              </w:rPr>
            </w:pPr>
            <w:r>
              <w:rPr>
                <w:sz w:val="28"/>
                <w:szCs w:val="28"/>
              </w:rPr>
              <w:t>91%</w:t>
            </w:r>
          </w:p>
        </w:tc>
        <w:tc>
          <w:tcPr>
            <w:tcW w:w="3192" w:type="dxa"/>
          </w:tcPr>
          <w:p w:rsidR="00314857" w:rsidRPr="00314857" w:rsidRDefault="00F56232" w:rsidP="00CB3A3C">
            <w:pPr>
              <w:rPr>
                <w:sz w:val="28"/>
                <w:szCs w:val="28"/>
              </w:rPr>
            </w:pPr>
            <w:r>
              <w:rPr>
                <w:sz w:val="28"/>
                <w:szCs w:val="28"/>
              </w:rPr>
              <w:t>100%</w:t>
            </w:r>
          </w:p>
        </w:tc>
      </w:tr>
    </w:tbl>
    <w:p w:rsidR="00314857" w:rsidRPr="005E3A24" w:rsidRDefault="00314857" w:rsidP="00314857"/>
    <w:p w:rsidR="00314857" w:rsidRDefault="00314857" w:rsidP="00314857">
      <w:pPr>
        <w:jc w:val="center"/>
      </w:pPr>
      <w:r>
        <w:rPr>
          <w:noProof/>
        </w:rPr>
        <w:drawing>
          <wp:inline distT="0" distB="0" distL="0" distR="0" wp14:anchorId="24539893" wp14:editId="1A1BC660">
            <wp:extent cx="5943600" cy="355854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14857" w:rsidRDefault="00314857" w:rsidP="00314857">
      <w:pPr>
        <w:jc w:val="center"/>
      </w:pPr>
    </w:p>
    <w:p w:rsidR="00667DB1" w:rsidRDefault="00667DB1" w:rsidP="00667DB1">
      <w:pPr>
        <w:rPr>
          <w:b/>
          <w:sz w:val="28"/>
          <w:szCs w:val="28"/>
          <w:u w:val="single"/>
        </w:rPr>
      </w:pPr>
    </w:p>
    <w:p w:rsidR="00667DB1" w:rsidRPr="008A72C9" w:rsidRDefault="00667DB1" w:rsidP="00667DB1">
      <w:pPr>
        <w:rPr>
          <w:b/>
          <w:sz w:val="28"/>
          <w:szCs w:val="28"/>
          <w:u w:val="single"/>
        </w:rPr>
      </w:pPr>
      <w:r w:rsidRPr="008A72C9">
        <w:rPr>
          <w:b/>
          <w:sz w:val="28"/>
          <w:szCs w:val="28"/>
          <w:u w:val="single"/>
        </w:rPr>
        <w:t>Phonics K-5</w:t>
      </w:r>
    </w:p>
    <w:p w:rsidR="00667DB1" w:rsidRPr="008A72C9" w:rsidRDefault="00667DB1" w:rsidP="00667DB1">
      <w:pPr>
        <w:rPr>
          <w:sz w:val="28"/>
          <w:szCs w:val="28"/>
          <w:u w:val="single"/>
        </w:rPr>
      </w:pPr>
    </w:p>
    <w:p w:rsidR="00667DB1" w:rsidRPr="008A72C9" w:rsidRDefault="00667DB1" w:rsidP="00667DB1">
      <w:pPr>
        <w:rPr>
          <w:sz w:val="28"/>
          <w:szCs w:val="28"/>
        </w:rPr>
      </w:pPr>
      <w:r w:rsidRPr="008A72C9">
        <w:rPr>
          <w:sz w:val="28"/>
          <w:szCs w:val="28"/>
        </w:rPr>
        <w:t>Students should master the entire phonics continuum by the end of 2</w:t>
      </w:r>
      <w:r w:rsidRPr="008A72C9">
        <w:rPr>
          <w:sz w:val="28"/>
          <w:szCs w:val="28"/>
          <w:vertAlign w:val="superscript"/>
        </w:rPr>
        <w:t>nd</w:t>
      </w:r>
      <w:r w:rsidRPr="008A72C9">
        <w:rPr>
          <w:sz w:val="28"/>
          <w:szCs w:val="28"/>
        </w:rPr>
        <w:t xml:space="preserve"> grade.</w:t>
      </w:r>
    </w:p>
    <w:p w:rsidR="00667DB1" w:rsidRPr="008A72C9" w:rsidRDefault="00667DB1" w:rsidP="00667DB1">
      <w:pPr>
        <w:rPr>
          <w:sz w:val="28"/>
          <w:szCs w:val="28"/>
        </w:rPr>
      </w:pPr>
      <w:r w:rsidRPr="008A72C9">
        <w:rPr>
          <w:sz w:val="28"/>
          <w:szCs w:val="28"/>
        </w:rPr>
        <w:t>These are the benchmarks used to determine if a student is on grade level:</w:t>
      </w:r>
    </w:p>
    <w:p w:rsidR="00667DB1" w:rsidRPr="008A72C9" w:rsidRDefault="00667DB1" w:rsidP="00667DB1">
      <w:pPr>
        <w:rPr>
          <w:sz w:val="28"/>
          <w:szCs w:val="28"/>
        </w:rPr>
      </w:pPr>
      <w:r w:rsidRPr="008A72C9">
        <w:rPr>
          <w:sz w:val="28"/>
          <w:szCs w:val="28"/>
        </w:rPr>
        <w:t>Grade K-4/6 of K skills</w:t>
      </w:r>
    </w:p>
    <w:p w:rsidR="00667DB1" w:rsidRPr="008A72C9" w:rsidRDefault="00667DB1" w:rsidP="00667DB1">
      <w:pPr>
        <w:rPr>
          <w:sz w:val="28"/>
          <w:szCs w:val="28"/>
        </w:rPr>
      </w:pPr>
      <w:r w:rsidRPr="008A72C9">
        <w:rPr>
          <w:sz w:val="28"/>
          <w:szCs w:val="28"/>
        </w:rPr>
        <w:t>Grade 1</w:t>
      </w:r>
      <w:r w:rsidRPr="008A72C9">
        <w:rPr>
          <w:sz w:val="28"/>
          <w:szCs w:val="28"/>
          <w:vertAlign w:val="superscript"/>
        </w:rPr>
        <w:t xml:space="preserve">- </w:t>
      </w:r>
      <w:r w:rsidRPr="008A72C9">
        <w:rPr>
          <w:sz w:val="28"/>
          <w:szCs w:val="28"/>
        </w:rPr>
        <w:t>K skills and 7/10 of 1</w:t>
      </w:r>
      <w:r w:rsidRPr="008A72C9">
        <w:rPr>
          <w:sz w:val="28"/>
          <w:szCs w:val="28"/>
          <w:vertAlign w:val="superscript"/>
        </w:rPr>
        <w:t>st</w:t>
      </w:r>
      <w:r w:rsidRPr="008A72C9">
        <w:rPr>
          <w:sz w:val="28"/>
          <w:szCs w:val="28"/>
        </w:rPr>
        <w:t xml:space="preserve"> skills</w:t>
      </w:r>
    </w:p>
    <w:p w:rsidR="00667DB1" w:rsidRPr="008A72C9" w:rsidRDefault="00667DB1" w:rsidP="00667DB1">
      <w:pPr>
        <w:rPr>
          <w:sz w:val="28"/>
          <w:szCs w:val="28"/>
        </w:rPr>
      </w:pPr>
      <w:r w:rsidRPr="008A72C9">
        <w:rPr>
          <w:sz w:val="28"/>
          <w:szCs w:val="28"/>
        </w:rPr>
        <w:t>Grade 2- K skills, 1</w:t>
      </w:r>
      <w:r w:rsidRPr="008A72C9">
        <w:rPr>
          <w:sz w:val="28"/>
          <w:szCs w:val="28"/>
          <w:vertAlign w:val="superscript"/>
        </w:rPr>
        <w:t>st</w:t>
      </w:r>
      <w:r w:rsidRPr="008A72C9">
        <w:rPr>
          <w:sz w:val="28"/>
          <w:szCs w:val="28"/>
        </w:rPr>
        <w:t xml:space="preserve"> skills, and 4/6 2</w:t>
      </w:r>
      <w:r w:rsidRPr="008A72C9">
        <w:rPr>
          <w:sz w:val="28"/>
          <w:szCs w:val="28"/>
          <w:vertAlign w:val="superscript"/>
        </w:rPr>
        <w:t>nd</w:t>
      </w:r>
      <w:r w:rsidRPr="008A72C9">
        <w:rPr>
          <w:sz w:val="28"/>
          <w:szCs w:val="28"/>
        </w:rPr>
        <w:t xml:space="preserve"> skills</w:t>
      </w:r>
    </w:p>
    <w:p w:rsidR="00667DB1" w:rsidRPr="008A72C9" w:rsidRDefault="00667DB1" w:rsidP="00667DB1">
      <w:pPr>
        <w:rPr>
          <w:sz w:val="28"/>
          <w:szCs w:val="28"/>
        </w:rPr>
      </w:pPr>
    </w:p>
    <w:p w:rsidR="00667DB1" w:rsidRPr="008A72C9" w:rsidRDefault="00667DB1" w:rsidP="00667DB1">
      <w:pPr>
        <w:rPr>
          <w:sz w:val="28"/>
          <w:szCs w:val="28"/>
        </w:rPr>
      </w:pPr>
    </w:p>
    <w:p w:rsidR="00667DB1" w:rsidRPr="008A72C9" w:rsidRDefault="00667DB1" w:rsidP="00667DB1">
      <w:pPr>
        <w:rPr>
          <w:b/>
          <w:sz w:val="28"/>
          <w:szCs w:val="28"/>
        </w:rPr>
      </w:pPr>
      <w:r w:rsidRPr="008A72C9">
        <w:rPr>
          <w:b/>
          <w:sz w:val="28"/>
          <w:szCs w:val="28"/>
        </w:rPr>
        <w:t xml:space="preserve">Number of students meeting benchmarks in Grades K-5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46"/>
        <w:gridCol w:w="3474"/>
      </w:tblGrid>
      <w:tr w:rsidR="00667DB1" w:rsidRPr="008A72C9" w:rsidTr="00CB3A3C">
        <w:tc>
          <w:tcPr>
            <w:tcW w:w="2610" w:type="dxa"/>
          </w:tcPr>
          <w:p w:rsidR="00667DB1" w:rsidRPr="008A72C9" w:rsidRDefault="00667DB1" w:rsidP="00CB3A3C">
            <w:pPr>
              <w:rPr>
                <w:b/>
                <w:sz w:val="28"/>
                <w:szCs w:val="28"/>
              </w:rPr>
            </w:pPr>
            <w:r w:rsidRPr="008A72C9">
              <w:rPr>
                <w:b/>
                <w:sz w:val="28"/>
                <w:szCs w:val="28"/>
              </w:rPr>
              <w:t>Grade</w:t>
            </w:r>
          </w:p>
        </w:tc>
        <w:tc>
          <w:tcPr>
            <w:tcW w:w="3546" w:type="dxa"/>
          </w:tcPr>
          <w:p w:rsidR="00667DB1" w:rsidRPr="008A72C9" w:rsidRDefault="00F56232" w:rsidP="00CB3A3C">
            <w:pPr>
              <w:rPr>
                <w:b/>
                <w:sz w:val="28"/>
                <w:szCs w:val="28"/>
              </w:rPr>
            </w:pPr>
            <w:r>
              <w:rPr>
                <w:b/>
                <w:sz w:val="28"/>
                <w:szCs w:val="28"/>
              </w:rPr>
              <w:t>August   2012</w:t>
            </w:r>
          </w:p>
        </w:tc>
        <w:tc>
          <w:tcPr>
            <w:tcW w:w="3474" w:type="dxa"/>
          </w:tcPr>
          <w:p w:rsidR="00667DB1" w:rsidRPr="008A72C9" w:rsidRDefault="00F56232" w:rsidP="00CB3A3C">
            <w:pPr>
              <w:rPr>
                <w:b/>
                <w:sz w:val="28"/>
                <w:szCs w:val="28"/>
              </w:rPr>
            </w:pPr>
            <w:r>
              <w:rPr>
                <w:b/>
                <w:sz w:val="28"/>
                <w:szCs w:val="28"/>
              </w:rPr>
              <w:t>May 2013</w:t>
            </w:r>
          </w:p>
        </w:tc>
      </w:tr>
      <w:tr w:rsidR="00667DB1" w:rsidRPr="008A72C9" w:rsidTr="00CB3A3C">
        <w:tc>
          <w:tcPr>
            <w:tcW w:w="2610" w:type="dxa"/>
          </w:tcPr>
          <w:p w:rsidR="00667DB1" w:rsidRPr="008A72C9" w:rsidRDefault="00667DB1" w:rsidP="00CB3A3C">
            <w:pPr>
              <w:rPr>
                <w:sz w:val="28"/>
                <w:szCs w:val="28"/>
              </w:rPr>
            </w:pPr>
            <w:r w:rsidRPr="008A72C9">
              <w:rPr>
                <w:sz w:val="28"/>
                <w:szCs w:val="28"/>
              </w:rPr>
              <w:t xml:space="preserve">K  </w:t>
            </w:r>
          </w:p>
        </w:tc>
        <w:tc>
          <w:tcPr>
            <w:tcW w:w="3546" w:type="dxa"/>
          </w:tcPr>
          <w:p w:rsidR="00667DB1" w:rsidRPr="008A72C9" w:rsidRDefault="00F56232" w:rsidP="00CB3A3C">
            <w:pPr>
              <w:rPr>
                <w:sz w:val="28"/>
                <w:szCs w:val="28"/>
              </w:rPr>
            </w:pPr>
            <w:r>
              <w:rPr>
                <w:sz w:val="28"/>
                <w:szCs w:val="28"/>
              </w:rPr>
              <w:t>10%</w:t>
            </w:r>
          </w:p>
        </w:tc>
        <w:tc>
          <w:tcPr>
            <w:tcW w:w="3474" w:type="dxa"/>
          </w:tcPr>
          <w:p w:rsidR="00667DB1" w:rsidRPr="008A72C9" w:rsidRDefault="00F56232" w:rsidP="00CB3A3C">
            <w:pPr>
              <w:rPr>
                <w:sz w:val="28"/>
                <w:szCs w:val="28"/>
              </w:rPr>
            </w:pPr>
            <w:r>
              <w:rPr>
                <w:sz w:val="28"/>
                <w:szCs w:val="28"/>
              </w:rPr>
              <w:t>94%</w:t>
            </w:r>
          </w:p>
        </w:tc>
      </w:tr>
      <w:tr w:rsidR="00667DB1" w:rsidRPr="008A72C9" w:rsidTr="00CB3A3C">
        <w:tc>
          <w:tcPr>
            <w:tcW w:w="2610" w:type="dxa"/>
          </w:tcPr>
          <w:p w:rsidR="00667DB1" w:rsidRPr="008A72C9" w:rsidRDefault="00667DB1" w:rsidP="00CB3A3C">
            <w:pPr>
              <w:rPr>
                <w:sz w:val="28"/>
                <w:szCs w:val="28"/>
              </w:rPr>
            </w:pPr>
            <w:r w:rsidRPr="008A72C9">
              <w:rPr>
                <w:sz w:val="28"/>
                <w:szCs w:val="28"/>
              </w:rPr>
              <w:t>1st</w:t>
            </w:r>
          </w:p>
        </w:tc>
        <w:tc>
          <w:tcPr>
            <w:tcW w:w="3546" w:type="dxa"/>
          </w:tcPr>
          <w:p w:rsidR="00667DB1" w:rsidRPr="008A72C9" w:rsidRDefault="0000194B" w:rsidP="00CB3A3C">
            <w:pPr>
              <w:rPr>
                <w:sz w:val="28"/>
                <w:szCs w:val="28"/>
              </w:rPr>
            </w:pPr>
            <w:r>
              <w:rPr>
                <w:sz w:val="28"/>
                <w:szCs w:val="28"/>
              </w:rPr>
              <w:t>21%</w:t>
            </w:r>
          </w:p>
        </w:tc>
        <w:tc>
          <w:tcPr>
            <w:tcW w:w="3474" w:type="dxa"/>
          </w:tcPr>
          <w:p w:rsidR="00667DB1" w:rsidRPr="008A72C9" w:rsidRDefault="0000194B" w:rsidP="00CB3A3C">
            <w:pPr>
              <w:rPr>
                <w:sz w:val="28"/>
                <w:szCs w:val="28"/>
              </w:rPr>
            </w:pPr>
            <w:r>
              <w:rPr>
                <w:sz w:val="28"/>
                <w:szCs w:val="28"/>
              </w:rPr>
              <w:t>85%</w:t>
            </w:r>
          </w:p>
        </w:tc>
      </w:tr>
      <w:tr w:rsidR="00667DB1" w:rsidRPr="008A72C9" w:rsidTr="00CB3A3C">
        <w:tc>
          <w:tcPr>
            <w:tcW w:w="2610" w:type="dxa"/>
          </w:tcPr>
          <w:p w:rsidR="00667DB1" w:rsidRPr="008A72C9" w:rsidRDefault="00667DB1" w:rsidP="00CB3A3C">
            <w:pPr>
              <w:rPr>
                <w:sz w:val="28"/>
                <w:szCs w:val="28"/>
              </w:rPr>
            </w:pPr>
            <w:r w:rsidRPr="008A72C9">
              <w:rPr>
                <w:sz w:val="28"/>
                <w:szCs w:val="28"/>
              </w:rPr>
              <w:t>2nd</w:t>
            </w:r>
          </w:p>
        </w:tc>
        <w:tc>
          <w:tcPr>
            <w:tcW w:w="3546" w:type="dxa"/>
          </w:tcPr>
          <w:p w:rsidR="00667DB1" w:rsidRPr="008A72C9" w:rsidRDefault="0000194B" w:rsidP="00CB3A3C">
            <w:pPr>
              <w:rPr>
                <w:sz w:val="28"/>
                <w:szCs w:val="28"/>
              </w:rPr>
            </w:pPr>
            <w:r>
              <w:rPr>
                <w:sz w:val="28"/>
                <w:szCs w:val="28"/>
              </w:rPr>
              <w:t>23%</w:t>
            </w:r>
          </w:p>
        </w:tc>
        <w:tc>
          <w:tcPr>
            <w:tcW w:w="3474" w:type="dxa"/>
          </w:tcPr>
          <w:p w:rsidR="00667DB1" w:rsidRPr="008A72C9" w:rsidRDefault="0000194B" w:rsidP="00CB3A3C">
            <w:pPr>
              <w:rPr>
                <w:sz w:val="28"/>
                <w:szCs w:val="28"/>
              </w:rPr>
            </w:pPr>
            <w:r>
              <w:rPr>
                <w:sz w:val="28"/>
                <w:szCs w:val="28"/>
              </w:rPr>
              <w:t>77%</w:t>
            </w:r>
          </w:p>
        </w:tc>
      </w:tr>
      <w:tr w:rsidR="00667DB1" w:rsidRPr="008A72C9" w:rsidTr="00CB3A3C">
        <w:tc>
          <w:tcPr>
            <w:tcW w:w="2610" w:type="dxa"/>
          </w:tcPr>
          <w:p w:rsidR="00667DB1" w:rsidRPr="008A72C9" w:rsidRDefault="00667DB1" w:rsidP="00CB3A3C">
            <w:pPr>
              <w:rPr>
                <w:sz w:val="28"/>
                <w:szCs w:val="28"/>
              </w:rPr>
            </w:pPr>
            <w:r w:rsidRPr="008A72C9">
              <w:rPr>
                <w:sz w:val="28"/>
                <w:szCs w:val="28"/>
              </w:rPr>
              <w:t>3rd</w:t>
            </w:r>
          </w:p>
        </w:tc>
        <w:tc>
          <w:tcPr>
            <w:tcW w:w="3546" w:type="dxa"/>
          </w:tcPr>
          <w:p w:rsidR="00667DB1" w:rsidRPr="008A72C9" w:rsidRDefault="0000194B" w:rsidP="00CB3A3C">
            <w:pPr>
              <w:rPr>
                <w:sz w:val="28"/>
                <w:szCs w:val="28"/>
              </w:rPr>
            </w:pPr>
            <w:r>
              <w:rPr>
                <w:sz w:val="28"/>
                <w:szCs w:val="28"/>
              </w:rPr>
              <w:t>72%</w:t>
            </w:r>
          </w:p>
        </w:tc>
        <w:tc>
          <w:tcPr>
            <w:tcW w:w="3474" w:type="dxa"/>
          </w:tcPr>
          <w:p w:rsidR="00667DB1" w:rsidRPr="008A72C9" w:rsidRDefault="0000194B" w:rsidP="00CB3A3C">
            <w:pPr>
              <w:rPr>
                <w:sz w:val="28"/>
                <w:szCs w:val="28"/>
              </w:rPr>
            </w:pPr>
            <w:r>
              <w:rPr>
                <w:sz w:val="28"/>
                <w:szCs w:val="28"/>
              </w:rPr>
              <w:t>89%</w:t>
            </w:r>
          </w:p>
        </w:tc>
      </w:tr>
      <w:tr w:rsidR="00667DB1" w:rsidRPr="008A72C9" w:rsidTr="00CB3A3C">
        <w:tc>
          <w:tcPr>
            <w:tcW w:w="2610" w:type="dxa"/>
          </w:tcPr>
          <w:p w:rsidR="00667DB1" w:rsidRPr="008A72C9" w:rsidRDefault="00667DB1" w:rsidP="00CB3A3C">
            <w:pPr>
              <w:rPr>
                <w:sz w:val="28"/>
                <w:szCs w:val="28"/>
              </w:rPr>
            </w:pPr>
            <w:r w:rsidRPr="008A72C9">
              <w:rPr>
                <w:sz w:val="28"/>
                <w:szCs w:val="28"/>
              </w:rPr>
              <w:t>4th</w:t>
            </w:r>
          </w:p>
        </w:tc>
        <w:tc>
          <w:tcPr>
            <w:tcW w:w="3546" w:type="dxa"/>
          </w:tcPr>
          <w:p w:rsidR="00667DB1" w:rsidRPr="008A72C9" w:rsidRDefault="0000194B" w:rsidP="00CB3A3C">
            <w:pPr>
              <w:rPr>
                <w:sz w:val="28"/>
                <w:szCs w:val="28"/>
              </w:rPr>
            </w:pPr>
            <w:r>
              <w:rPr>
                <w:sz w:val="28"/>
                <w:szCs w:val="28"/>
              </w:rPr>
              <w:t>92%</w:t>
            </w:r>
          </w:p>
        </w:tc>
        <w:tc>
          <w:tcPr>
            <w:tcW w:w="3474" w:type="dxa"/>
          </w:tcPr>
          <w:p w:rsidR="00667DB1" w:rsidRPr="008A72C9" w:rsidRDefault="0000194B" w:rsidP="00CB3A3C">
            <w:pPr>
              <w:rPr>
                <w:sz w:val="28"/>
                <w:szCs w:val="28"/>
              </w:rPr>
            </w:pPr>
            <w:r>
              <w:rPr>
                <w:sz w:val="28"/>
                <w:szCs w:val="28"/>
              </w:rPr>
              <w:t>96%</w:t>
            </w:r>
          </w:p>
        </w:tc>
      </w:tr>
      <w:tr w:rsidR="00667DB1" w:rsidRPr="008A72C9" w:rsidTr="00CB3A3C">
        <w:tc>
          <w:tcPr>
            <w:tcW w:w="2610" w:type="dxa"/>
          </w:tcPr>
          <w:p w:rsidR="00667DB1" w:rsidRPr="008A72C9" w:rsidRDefault="00667DB1" w:rsidP="00CB3A3C">
            <w:pPr>
              <w:rPr>
                <w:sz w:val="28"/>
                <w:szCs w:val="28"/>
              </w:rPr>
            </w:pPr>
            <w:r w:rsidRPr="008A72C9">
              <w:rPr>
                <w:sz w:val="28"/>
                <w:szCs w:val="28"/>
              </w:rPr>
              <w:t>5th</w:t>
            </w:r>
          </w:p>
        </w:tc>
        <w:tc>
          <w:tcPr>
            <w:tcW w:w="3546" w:type="dxa"/>
          </w:tcPr>
          <w:p w:rsidR="00667DB1" w:rsidRPr="008A72C9" w:rsidRDefault="0000194B" w:rsidP="00CB3A3C">
            <w:pPr>
              <w:rPr>
                <w:sz w:val="28"/>
                <w:szCs w:val="28"/>
              </w:rPr>
            </w:pPr>
            <w:r>
              <w:rPr>
                <w:sz w:val="28"/>
                <w:szCs w:val="28"/>
              </w:rPr>
              <w:t>85%</w:t>
            </w:r>
          </w:p>
        </w:tc>
        <w:tc>
          <w:tcPr>
            <w:tcW w:w="3474" w:type="dxa"/>
          </w:tcPr>
          <w:p w:rsidR="00667DB1" w:rsidRPr="008A72C9" w:rsidRDefault="0000194B" w:rsidP="00CB3A3C">
            <w:pPr>
              <w:rPr>
                <w:sz w:val="28"/>
                <w:szCs w:val="28"/>
              </w:rPr>
            </w:pPr>
            <w:r>
              <w:rPr>
                <w:sz w:val="28"/>
                <w:szCs w:val="28"/>
              </w:rPr>
              <w:t>98%</w:t>
            </w:r>
          </w:p>
        </w:tc>
      </w:tr>
    </w:tbl>
    <w:p w:rsidR="00667DB1" w:rsidRDefault="00667DB1" w:rsidP="00667DB1">
      <w:pPr>
        <w:rPr>
          <w:sz w:val="28"/>
          <w:szCs w:val="28"/>
          <w:u w:val="single"/>
        </w:rPr>
      </w:pPr>
    </w:p>
    <w:p w:rsidR="00667DB1" w:rsidRDefault="00667DB1" w:rsidP="00667DB1">
      <w:r>
        <w:rPr>
          <w:noProof/>
        </w:rPr>
        <w:drawing>
          <wp:inline distT="0" distB="0" distL="0" distR="0" wp14:anchorId="6DE8CCF1" wp14:editId="170B35A3">
            <wp:extent cx="5686425" cy="2914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7DB1" w:rsidRDefault="00667DB1" w:rsidP="00667DB1"/>
    <w:p w:rsidR="00667DB1" w:rsidRDefault="00667DB1" w:rsidP="00667DB1"/>
    <w:p w:rsidR="00667DB1" w:rsidRDefault="00667DB1" w:rsidP="00667DB1"/>
    <w:p w:rsidR="00667DB1" w:rsidRDefault="00667DB1" w:rsidP="00667DB1"/>
    <w:p w:rsidR="00667DB1" w:rsidRDefault="00667DB1" w:rsidP="00667DB1"/>
    <w:p w:rsidR="00667DB1" w:rsidRDefault="00667DB1" w:rsidP="00667DB1"/>
    <w:p w:rsidR="00667DB1" w:rsidRDefault="00667DB1" w:rsidP="00667DB1"/>
    <w:p w:rsidR="00667DB1" w:rsidRPr="0075371D" w:rsidRDefault="00667DB1" w:rsidP="00667DB1">
      <w:pPr>
        <w:rPr>
          <w:b/>
          <w:sz w:val="28"/>
          <w:szCs w:val="28"/>
          <w:u w:val="single"/>
        </w:rPr>
      </w:pPr>
      <w:r w:rsidRPr="0075371D">
        <w:rPr>
          <w:b/>
          <w:sz w:val="28"/>
          <w:szCs w:val="28"/>
          <w:u w:val="single"/>
        </w:rPr>
        <w:lastRenderedPageBreak/>
        <w:t>Fluency</w:t>
      </w:r>
    </w:p>
    <w:p w:rsidR="00667DB1" w:rsidRDefault="00667DB1" w:rsidP="00667DB1"/>
    <w:p w:rsidR="00667DB1" w:rsidRDefault="00667DB1" w:rsidP="00667DB1"/>
    <w:p w:rsidR="00667DB1" w:rsidRPr="001961D5" w:rsidRDefault="00667DB1" w:rsidP="00667DB1">
      <w:pPr>
        <w:rPr>
          <w:sz w:val="32"/>
          <w:szCs w:val="32"/>
        </w:rPr>
      </w:pPr>
      <w:r w:rsidRPr="001961D5">
        <w:rPr>
          <w:sz w:val="32"/>
          <w:szCs w:val="32"/>
        </w:rPr>
        <w:t>Fluency is the end result of the decoding and comprehension processes.  Fluency results from making connections between the ideas expressed in the passage and the reader’s background knowledge. These connections help the reader understand what is being read. Fluency can be developed or enhanced through explicit instruction of rate, phrasing, and intonation. (</w:t>
      </w:r>
      <w:r w:rsidRPr="001961D5">
        <w:rPr>
          <w:i/>
          <w:sz w:val="32"/>
          <w:szCs w:val="32"/>
        </w:rPr>
        <w:t>Literacy First</w:t>
      </w:r>
      <w:r w:rsidRPr="001961D5">
        <w:rPr>
          <w:sz w:val="32"/>
          <w:szCs w:val="32"/>
        </w:rPr>
        <w:t xml:space="preserve"> notebook p. 8-1)  Fluency data is collected on all students who have mastered the phonics continuum benchmarks.  This year w</w:t>
      </w:r>
      <w:r w:rsidR="0079716B">
        <w:rPr>
          <w:sz w:val="32"/>
          <w:szCs w:val="32"/>
        </w:rPr>
        <w:t>e collected fluency data on 3</w:t>
      </w:r>
      <w:r w:rsidR="0079716B" w:rsidRPr="0079716B">
        <w:rPr>
          <w:sz w:val="32"/>
          <w:szCs w:val="32"/>
          <w:vertAlign w:val="superscript"/>
        </w:rPr>
        <w:t>rd</w:t>
      </w:r>
      <w:r w:rsidR="0079716B">
        <w:rPr>
          <w:sz w:val="32"/>
          <w:szCs w:val="32"/>
        </w:rPr>
        <w:t xml:space="preserve"> </w:t>
      </w:r>
      <w:r w:rsidRPr="001961D5">
        <w:rPr>
          <w:sz w:val="32"/>
          <w:szCs w:val="32"/>
        </w:rPr>
        <w:t>-5</w:t>
      </w:r>
      <w:r w:rsidRPr="001961D5">
        <w:rPr>
          <w:sz w:val="32"/>
          <w:szCs w:val="32"/>
          <w:vertAlign w:val="superscript"/>
        </w:rPr>
        <w:t>th</w:t>
      </w:r>
      <w:r w:rsidRPr="001961D5">
        <w:rPr>
          <w:sz w:val="32"/>
          <w:szCs w:val="32"/>
        </w:rPr>
        <w:t xml:space="preserve"> graders.</w:t>
      </w:r>
    </w:p>
    <w:p w:rsidR="00667DB1" w:rsidRPr="001961D5" w:rsidRDefault="00667DB1" w:rsidP="00667DB1">
      <w:pPr>
        <w:rPr>
          <w:sz w:val="32"/>
          <w:szCs w:val="32"/>
        </w:rPr>
      </w:pPr>
    </w:p>
    <w:tbl>
      <w:tblPr>
        <w:tblStyle w:val="TableGrid"/>
        <w:tblW w:w="9694" w:type="dxa"/>
        <w:tblLook w:val="04A0" w:firstRow="1" w:lastRow="0" w:firstColumn="1" w:lastColumn="0" w:noHBand="0" w:noVBand="1"/>
      </w:tblPr>
      <w:tblGrid>
        <w:gridCol w:w="2088"/>
        <w:gridCol w:w="3780"/>
        <w:gridCol w:w="3826"/>
      </w:tblGrid>
      <w:tr w:rsidR="00667DB1" w:rsidRPr="00587481" w:rsidTr="00CB3A3C">
        <w:trPr>
          <w:trHeight w:val="960"/>
        </w:trPr>
        <w:tc>
          <w:tcPr>
            <w:tcW w:w="2088" w:type="dxa"/>
          </w:tcPr>
          <w:p w:rsidR="00667DB1" w:rsidRPr="00E067AF" w:rsidRDefault="00667DB1" w:rsidP="00CB3A3C">
            <w:pPr>
              <w:rPr>
                <w:b/>
                <w:sz w:val="28"/>
                <w:szCs w:val="28"/>
              </w:rPr>
            </w:pPr>
            <w:r w:rsidRPr="00E067AF">
              <w:rPr>
                <w:b/>
                <w:sz w:val="28"/>
                <w:szCs w:val="28"/>
              </w:rPr>
              <w:t>Grade Level</w:t>
            </w:r>
          </w:p>
        </w:tc>
        <w:tc>
          <w:tcPr>
            <w:tcW w:w="3780" w:type="dxa"/>
          </w:tcPr>
          <w:p w:rsidR="00667DB1" w:rsidRPr="00E067AF" w:rsidRDefault="00F56232" w:rsidP="00CB3A3C">
            <w:pPr>
              <w:rPr>
                <w:b/>
                <w:sz w:val="28"/>
                <w:szCs w:val="28"/>
              </w:rPr>
            </w:pPr>
            <w:r>
              <w:rPr>
                <w:b/>
                <w:sz w:val="28"/>
                <w:szCs w:val="28"/>
              </w:rPr>
              <w:t>2012</w:t>
            </w:r>
            <w:r w:rsidR="00667DB1">
              <w:rPr>
                <w:b/>
                <w:sz w:val="28"/>
                <w:szCs w:val="28"/>
              </w:rPr>
              <w:t xml:space="preserve"> </w:t>
            </w:r>
            <w:r w:rsidR="00667DB1" w:rsidRPr="00E067AF">
              <w:rPr>
                <w:b/>
                <w:sz w:val="28"/>
                <w:szCs w:val="28"/>
              </w:rPr>
              <w:t>Fall Fluency</w:t>
            </w:r>
            <w:proofErr w:type="gramStart"/>
            <w:r w:rsidR="00667DB1" w:rsidRPr="00E067AF">
              <w:rPr>
                <w:b/>
                <w:sz w:val="28"/>
                <w:szCs w:val="28"/>
              </w:rPr>
              <w:t>-  #</w:t>
            </w:r>
            <w:proofErr w:type="gramEnd"/>
            <w:r w:rsidR="00667DB1" w:rsidRPr="00E067AF">
              <w:rPr>
                <w:b/>
                <w:sz w:val="28"/>
                <w:szCs w:val="28"/>
              </w:rPr>
              <w:t xml:space="preserve"> and % of students meeting  benchmark (50%)</w:t>
            </w:r>
          </w:p>
        </w:tc>
        <w:tc>
          <w:tcPr>
            <w:tcW w:w="3826" w:type="dxa"/>
          </w:tcPr>
          <w:p w:rsidR="00667DB1" w:rsidRPr="00E067AF" w:rsidRDefault="00F56232" w:rsidP="00CB3A3C">
            <w:pPr>
              <w:rPr>
                <w:b/>
                <w:sz w:val="28"/>
                <w:szCs w:val="28"/>
              </w:rPr>
            </w:pPr>
            <w:r>
              <w:rPr>
                <w:b/>
                <w:sz w:val="28"/>
                <w:szCs w:val="28"/>
              </w:rPr>
              <w:t>2013</w:t>
            </w:r>
            <w:r w:rsidR="00667DB1">
              <w:rPr>
                <w:b/>
                <w:sz w:val="28"/>
                <w:szCs w:val="28"/>
              </w:rPr>
              <w:t xml:space="preserve"> </w:t>
            </w:r>
            <w:r w:rsidR="00667DB1" w:rsidRPr="00E067AF">
              <w:rPr>
                <w:b/>
                <w:sz w:val="28"/>
                <w:szCs w:val="28"/>
              </w:rPr>
              <w:t>Spring Fluency- # and % of students meeting benchmark (50%)</w:t>
            </w:r>
          </w:p>
        </w:tc>
      </w:tr>
      <w:tr w:rsidR="00667DB1" w:rsidRPr="00587481" w:rsidTr="00CB3A3C">
        <w:trPr>
          <w:trHeight w:val="315"/>
        </w:trPr>
        <w:tc>
          <w:tcPr>
            <w:tcW w:w="2088" w:type="dxa"/>
          </w:tcPr>
          <w:p w:rsidR="00667DB1" w:rsidRPr="00587481" w:rsidRDefault="00667DB1" w:rsidP="00CB3A3C">
            <w:pPr>
              <w:rPr>
                <w:sz w:val="28"/>
                <w:szCs w:val="28"/>
              </w:rPr>
            </w:pPr>
            <w:r w:rsidRPr="00587481">
              <w:rPr>
                <w:sz w:val="28"/>
                <w:szCs w:val="28"/>
              </w:rPr>
              <w:t xml:space="preserve">3  </w:t>
            </w:r>
          </w:p>
        </w:tc>
        <w:tc>
          <w:tcPr>
            <w:tcW w:w="3780" w:type="dxa"/>
          </w:tcPr>
          <w:p w:rsidR="00667DB1" w:rsidRPr="00587481" w:rsidRDefault="0000194B" w:rsidP="00CB3A3C">
            <w:pPr>
              <w:rPr>
                <w:sz w:val="28"/>
                <w:szCs w:val="28"/>
              </w:rPr>
            </w:pPr>
            <w:r>
              <w:rPr>
                <w:sz w:val="28"/>
                <w:szCs w:val="28"/>
              </w:rPr>
              <w:t>45%</w:t>
            </w:r>
          </w:p>
        </w:tc>
        <w:tc>
          <w:tcPr>
            <w:tcW w:w="3826" w:type="dxa"/>
          </w:tcPr>
          <w:p w:rsidR="00667DB1" w:rsidRPr="00587481" w:rsidRDefault="0000194B" w:rsidP="00CB3A3C">
            <w:pPr>
              <w:rPr>
                <w:sz w:val="28"/>
                <w:szCs w:val="28"/>
              </w:rPr>
            </w:pPr>
            <w:r>
              <w:rPr>
                <w:sz w:val="28"/>
                <w:szCs w:val="28"/>
              </w:rPr>
              <w:t>76%</w:t>
            </w:r>
          </w:p>
        </w:tc>
      </w:tr>
      <w:tr w:rsidR="00667DB1" w:rsidRPr="00587481" w:rsidTr="00CB3A3C">
        <w:trPr>
          <w:trHeight w:val="330"/>
        </w:trPr>
        <w:tc>
          <w:tcPr>
            <w:tcW w:w="2088" w:type="dxa"/>
          </w:tcPr>
          <w:p w:rsidR="00667DB1" w:rsidRPr="00587481" w:rsidRDefault="00667DB1" w:rsidP="00CB3A3C">
            <w:pPr>
              <w:rPr>
                <w:sz w:val="28"/>
                <w:szCs w:val="28"/>
              </w:rPr>
            </w:pPr>
            <w:r w:rsidRPr="00587481">
              <w:rPr>
                <w:sz w:val="28"/>
                <w:szCs w:val="28"/>
              </w:rPr>
              <w:t xml:space="preserve">4  </w:t>
            </w:r>
          </w:p>
        </w:tc>
        <w:tc>
          <w:tcPr>
            <w:tcW w:w="3780" w:type="dxa"/>
          </w:tcPr>
          <w:p w:rsidR="00667DB1" w:rsidRPr="00587481" w:rsidRDefault="0000194B" w:rsidP="00CB3A3C">
            <w:pPr>
              <w:rPr>
                <w:sz w:val="28"/>
                <w:szCs w:val="28"/>
              </w:rPr>
            </w:pPr>
            <w:r>
              <w:rPr>
                <w:sz w:val="28"/>
                <w:szCs w:val="28"/>
              </w:rPr>
              <w:t>54%</w:t>
            </w:r>
          </w:p>
        </w:tc>
        <w:tc>
          <w:tcPr>
            <w:tcW w:w="3826" w:type="dxa"/>
          </w:tcPr>
          <w:p w:rsidR="00667DB1" w:rsidRPr="00587481" w:rsidRDefault="0000194B" w:rsidP="00CB3A3C">
            <w:pPr>
              <w:rPr>
                <w:sz w:val="28"/>
                <w:szCs w:val="28"/>
              </w:rPr>
            </w:pPr>
            <w:r>
              <w:rPr>
                <w:sz w:val="28"/>
                <w:szCs w:val="28"/>
              </w:rPr>
              <w:t>86%</w:t>
            </w:r>
          </w:p>
        </w:tc>
      </w:tr>
      <w:tr w:rsidR="00667DB1" w:rsidRPr="00587481" w:rsidTr="00CB3A3C">
        <w:trPr>
          <w:trHeight w:val="315"/>
        </w:trPr>
        <w:tc>
          <w:tcPr>
            <w:tcW w:w="2088" w:type="dxa"/>
          </w:tcPr>
          <w:p w:rsidR="00667DB1" w:rsidRPr="00587481" w:rsidRDefault="00667DB1" w:rsidP="00CB3A3C">
            <w:pPr>
              <w:rPr>
                <w:sz w:val="28"/>
                <w:szCs w:val="28"/>
              </w:rPr>
            </w:pPr>
            <w:r>
              <w:rPr>
                <w:sz w:val="28"/>
                <w:szCs w:val="28"/>
              </w:rPr>
              <w:t xml:space="preserve">5   </w:t>
            </w:r>
          </w:p>
        </w:tc>
        <w:tc>
          <w:tcPr>
            <w:tcW w:w="3780" w:type="dxa"/>
          </w:tcPr>
          <w:p w:rsidR="00667DB1" w:rsidRPr="00587481" w:rsidRDefault="0000194B" w:rsidP="00CB3A3C">
            <w:pPr>
              <w:rPr>
                <w:sz w:val="28"/>
                <w:szCs w:val="28"/>
              </w:rPr>
            </w:pPr>
            <w:r>
              <w:rPr>
                <w:sz w:val="28"/>
                <w:szCs w:val="28"/>
              </w:rPr>
              <w:t>42%</w:t>
            </w:r>
          </w:p>
        </w:tc>
        <w:tc>
          <w:tcPr>
            <w:tcW w:w="3826" w:type="dxa"/>
          </w:tcPr>
          <w:p w:rsidR="00667DB1" w:rsidRPr="00587481" w:rsidRDefault="00D53F20" w:rsidP="00CB3A3C">
            <w:pPr>
              <w:rPr>
                <w:sz w:val="28"/>
                <w:szCs w:val="28"/>
              </w:rPr>
            </w:pPr>
            <w:r>
              <w:rPr>
                <w:sz w:val="28"/>
                <w:szCs w:val="28"/>
              </w:rPr>
              <w:t>62</w:t>
            </w:r>
            <w:r w:rsidR="0000194B">
              <w:rPr>
                <w:sz w:val="28"/>
                <w:szCs w:val="28"/>
              </w:rPr>
              <w:t>%</w:t>
            </w:r>
          </w:p>
        </w:tc>
      </w:tr>
    </w:tbl>
    <w:p w:rsidR="00667DB1" w:rsidRPr="00587481" w:rsidRDefault="00667DB1" w:rsidP="00667DB1">
      <w:pPr>
        <w:rPr>
          <w:sz w:val="28"/>
          <w:szCs w:val="28"/>
        </w:rPr>
      </w:pPr>
    </w:p>
    <w:p w:rsidR="00667DB1" w:rsidRDefault="00667DB1" w:rsidP="00667DB1">
      <w:bookmarkStart w:id="0" w:name="_GoBack"/>
      <w:r>
        <w:rPr>
          <w:noProof/>
        </w:rPr>
        <w:drawing>
          <wp:inline distT="0" distB="0" distL="0" distR="0" wp14:anchorId="44E7C583" wp14:editId="0A910610">
            <wp:extent cx="5943600" cy="3331845"/>
            <wp:effectExtent l="0" t="0" r="1905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667DB1" w:rsidRDefault="00667DB1" w:rsidP="00667DB1"/>
    <w:p w:rsidR="00314857" w:rsidRDefault="00314857" w:rsidP="00314857">
      <w:pPr>
        <w:jc w:val="center"/>
      </w:pPr>
    </w:p>
    <w:p w:rsidR="00314857" w:rsidRPr="00314857" w:rsidRDefault="00314857" w:rsidP="00314857"/>
    <w:sectPr w:rsidR="00314857" w:rsidRPr="0031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57"/>
    <w:rsid w:val="0000194B"/>
    <w:rsid w:val="000279FA"/>
    <w:rsid w:val="00070550"/>
    <w:rsid w:val="001751EA"/>
    <w:rsid w:val="00314857"/>
    <w:rsid w:val="00430673"/>
    <w:rsid w:val="00667DB1"/>
    <w:rsid w:val="0079716B"/>
    <w:rsid w:val="00982920"/>
    <w:rsid w:val="00D53F20"/>
    <w:rsid w:val="00E82EC8"/>
    <w:rsid w:val="00F5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857"/>
    <w:rPr>
      <w:rFonts w:ascii="Tahoma" w:hAnsi="Tahoma" w:cs="Tahoma"/>
      <w:sz w:val="16"/>
      <w:szCs w:val="16"/>
    </w:rPr>
  </w:style>
  <w:style w:type="character" w:customStyle="1" w:styleId="BalloonTextChar">
    <w:name w:val="Balloon Text Char"/>
    <w:basedOn w:val="DefaultParagraphFont"/>
    <w:link w:val="BalloonText"/>
    <w:uiPriority w:val="99"/>
    <w:semiHidden/>
    <w:rsid w:val="003148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857"/>
    <w:rPr>
      <w:rFonts w:ascii="Tahoma" w:hAnsi="Tahoma" w:cs="Tahoma"/>
      <w:sz w:val="16"/>
      <w:szCs w:val="16"/>
    </w:rPr>
  </w:style>
  <w:style w:type="character" w:customStyle="1" w:styleId="BalloonTextChar">
    <w:name w:val="Balloon Text Char"/>
    <w:basedOn w:val="DefaultParagraphFont"/>
    <w:link w:val="BalloonText"/>
    <w:uiPriority w:val="99"/>
    <w:semiHidden/>
    <w:rsid w:val="003148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baseline="0"/>
              <a:t>         PAST TRENDS      </a:t>
            </a:r>
            <a:r>
              <a:rPr lang="en-US"/>
              <a:t>K-2</a:t>
            </a:r>
          </a:p>
        </c:rich>
      </c:tx>
      <c:layout>
        <c:manualLayout>
          <c:xMode val="edge"/>
          <c:yMode val="edge"/>
          <c:x val="0.29572817820849318"/>
          <c:y val="0"/>
        </c:manualLayout>
      </c:layout>
      <c:overlay val="0"/>
    </c:title>
    <c:autoTitleDeleted val="0"/>
    <c:plotArea>
      <c:layout>
        <c:manualLayout>
          <c:layoutTarget val="inner"/>
          <c:xMode val="edge"/>
          <c:yMode val="edge"/>
          <c:x val="6.7541992709698226E-2"/>
          <c:y val="0.10078794696117531"/>
          <c:w val="0.79468093704461129"/>
          <c:h val="0.73972635238776974"/>
        </c:manualLayout>
      </c:layout>
      <c:barChart>
        <c:barDir val="col"/>
        <c:grouping val="clustered"/>
        <c:varyColors val="0"/>
        <c:ser>
          <c:idx val="2"/>
          <c:order val="0"/>
          <c:tx>
            <c:v>2010</c:v>
          </c:tx>
          <c:invertIfNegative val="0"/>
          <c:cat>
            <c:strRef>
              <c:f>Sheet1!$A$1:$A$5</c:f>
              <c:strCache>
                <c:ptCount val="5"/>
                <c:pt idx="0">
                  <c:v>Kindergarten</c:v>
                </c:pt>
                <c:pt idx="2">
                  <c:v>1st Grade</c:v>
                </c:pt>
                <c:pt idx="4">
                  <c:v>2nd Grade</c:v>
                </c:pt>
              </c:strCache>
            </c:strRef>
          </c:cat>
          <c:val>
            <c:numRef>
              <c:f>Sheet1!$E$1:$E$5</c:f>
              <c:numCache>
                <c:formatCode>General</c:formatCode>
                <c:ptCount val="5"/>
                <c:pt idx="0">
                  <c:v>96</c:v>
                </c:pt>
                <c:pt idx="2">
                  <c:v>98</c:v>
                </c:pt>
                <c:pt idx="4">
                  <c:v>99</c:v>
                </c:pt>
              </c:numCache>
            </c:numRef>
          </c:val>
        </c:ser>
        <c:ser>
          <c:idx val="1"/>
          <c:order val="1"/>
          <c:tx>
            <c:v>2011</c:v>
          </c:tx>
          <c:invertIfNegative val="0"/>
          <c:cat>
            <c:strRef>
              <c:f>Sheet1!$A$1:$A$5</c:f>
              <c:strCache>
                <c:ptCount val="5"/>
                <c:pt idx="0">
                  <c:v>Kindergarten</c:v>
                </c:pt>
                <c:pt idx="2">
                  <c:v>1st Grade</c:v>
                </c:pt>
                <c:pt idx="4">
                  <c:v>2nd Grade</c:v>
                </c:pt>
              </c:strCache>
            </c:strRef>
          </c:cat>
          <c:val>
            <c:numRef>
              <c:f>Sheet1!$F$1:$F$5</c:f>
              <c:numCache>
                <c:formatCode>General</c:formatCode>
                <c:ptCount val="5"/>
                <c:pt idx="0">
                  <c:v>98</c:v>
                </c:pt>
                <c:pt idx="2">
                  <c:v>97</c:v>
                </c:pt>
                <c:pt idx="4">
                  <c:v>100</c:v>
                </c:pt>
              </c:numCache>
            </c:numRef>
          </c:val>
        </c:ser>
        <c:ser>
          <c:idx val="3"/>
          <c:order val="2"/>
          <c:tx>
            <c:v>2012</c:v>
          </c:tx>
          <c:invertIfNegative val="0"/>
          <c:cat>
            <c:strRef>
              <c:f>Sheet1!$A$1:$A$5</c:f>
              <c:strCache>
                <c:ptCount val="5"/>
                <c:pt idx="0">
                  <c:v>Kindergarten</c:v>
                </c:pt>
                <c:pt idx="2">
                  <c:v>1st Grade</c:v>
                </c:pt>
                <c:pt idx="4">
                  <c:v>2nd Grade</c:v>
                </c:pt>
              </c:strCache>
            </c:strRef>
          </c:cat>
          <c:val>
            <c:numRef>
              <c:f>Sheet1!$G$1:$G$5</c:f>
              <c:numCache>
                <c:formatCode>General</c:formatCode>
                <c:ptCount val="5"/>
                <c:pt idx="0">
                  <c:v>99</c:v>
                </c:pt>
                <c:pt idx="2">
                  <c:v>98</c:v>
                </c:pt>
                <c:pt idx="4">
                  <c:v>99</c:v>
                </c:pt>
              </c:numCache>
            </c:numRef>
          </c:val>
        </c:ser>
        <c:ser>
          <c:idx val="6"/>
          <c:order val="3"/>
          <c:tx>
            <c:v>2013</c:v>
          </c:tx>
          <c:invertIfNegative val="0"/>
          <c:cat>
            <c:strRef>
              <c:f>Sheet1!$A$1:$A$5</c:f>
              <c:strCache>
                <c:ptCount val="5"/>
                <c:pt idx="0">
                  <c:v>Kindergarten</c:v>
                </c:pt>
                <c:pt idx="2">
                  <c:v>1st Grade</c:v>
                </c:pt>
                <c:pt idx="4">
                  <c:v>2nd Grade</c:v>
                </c:pt>
              </c:strCache>
            </c:strRef>
          </c:cat>
          <c:val>
            <c:numRef>
              <c:f>Sheet1!$H$1:$H$5</c:f>
              <c:numCache>
                <c:formatCode>General</c:formatCode>
                <c:ptCount val="5"/>
                <c:pt idx="0">
                  <c:v>92</c:v>
                </c:pt>
                <c:pt idx="2">
                  <c:v>97</c:v>
                </c:pt>
                <c:pt idx="4">
                  <c:v>100</c:v>
                </c:pt>
              </c:numCache>
            </c:numRef>
          </c:val>
        </c:ser>
        <c:dLbls>
          <c:dLblPos val="outEnd"/>
          <c:showLegendKey val="0"/>
          <c:showVal val="1"/>
          <c:showCatName val="0"/>
          <c:showSerName val="0"/>
          <c:showPercent val="0"/>
          <c:showBubbleSize val="0"/>
        </c:dLbls>
        <c:gapWidth val="0"/>
        <c:axId val="125416960"/>
        <c:axId val="125418496"/>
      </c:barChart>
      <c:catAx>
        <c:axId val="125416960"/>
        <c:scaling>
          <c:orientation val="minMax"/>
        </c:scaling>
        <c:delete val="0"/>
        <c:axPos val="b"/>
        <c:majorTickMark val="out"/>
        <c:minorTickMark val="none"/>
        <c:tickLblPos val="nextTo"/>
        <c:crossAx val="125418496"/>
        <c:crosses val="autoZero"/>
        <c:auto val="1"/>
        <c:lblAlgn val="ctr"/>
        <c:lblOffset val="100"/>
        <c:noMultiLvlLbl val="0"/>
      </c:catAx>
      <c:valAx>
        <c:axId val="125418496"/>
        <c:scaling>
          <c:orientation val="minMax"/>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125416960"/>
        <c:crosses val="autoZero"/>
        <c:crossBetween val="between"/>
      </c:valAx>
      <c:spPr>
        <a:noFill/>
      </c:spPr>
    </c:plotArea>
    <c:legend>
      <c:legendPos val="r"/>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Phonics Trends   K-2  </a:t>
            </a:r>
          </a:p>
        </c:rich>
      </c:tx>
      <c:overlay val="0"/>
    </c:title>
    <c:autoTitleDeleted val="0"/>
    <c:plotArea>
      <c:layout/>
      <c:barChart>
        <c:barDir val="col"/>
        <c:grouping val="clustered"/>
        <c:varyColors val="0"/>
        <c:ser>
          <c:idx val="1"/>
          <c:order val="0"/>
          <c:tx>
            <c:v>2010</c:v>
          </c:tx>
          <c:invertIfNegative val="0"/>
          <c:dLbls>
            <c:showLegendKey val="0"/>
            <c:showVal val="1"/>
            <c:showCatName val="0"/>
            <c:showSerName val="0"/>
            <c:showPercent val="0"/>
            <c:showBubbleSize val="0"/>
            <c:showLeaderLines val="0"/>
          </c:dLbls>
          <c:cat>
            <c:strRef>
              <c:f>Sheet1!$A$1:$A$5</c:f>
              <c:strCache>
                <c:ptCount val="5"/>
                <c:pt idx="0">
                  <c:v>Kindergarten</c:v>
                </c:pt>
                <c:pt idx="2">
                  <c:v>1st Grade</c:v>
                </c:pt>
                <c:pt idx="4">
                  <c:v>2nd Grade</c:v>
                </c:pt>
              </c:strCache>
            </c:strRef>
          </c:cat>
          <c:val>
            <c:numRef>
              <c:f>Sheet1!$D$1:$D$5</c:f>
              <c:numCache>
                <c:formatCode>General</c:formatCode>
                <c:ptCount val="5"/>
                <c:pt idx="0">
                  <c:v>96</c:v>
                </c:pt>
                <c:pt idx="2">
                  <c:v>98</c:v>
                </c:pt>
                <c:pt idx="4">
                  <c:v>90</c:v>
                </c:pt>
              </c:numCache>
            </c:numRef>
          </c:val>
        </c:ser>
        <c:ser>
          <c:idx val="3"/>
          <c:order val="1"/>
          <c:tx>
            <c:v>2011</c:v>
          </c:tx>
          <c:invertIfNegative val="0"/>
          <c:dLbls>
            <c:showLegendKey val="0"/>
            <c:showVal val="1"/>
            <c:showCatName val="0"/>
            <c:showSerName val="0"/>
            <c:showPercent val="0"/>
            <c:showBubbleSize val="0"/>
            <c:showLeaderLines val="0"/>
          </c:dLbls>
          <c:cat>
            <c:strRef>
              <c:f>Sheet1!$A$1:$A$5</c:f>
              <c:strCache>
                <c:ptCount val="5"/>
                <c:pt idx="0">
                  <c:v>Kindergarten</c:v>
                </c:pt>
                <c:pt idx="2">
                  <c:v>1st Grade</c:v>
                </c:pt>
                <c:pt idx="4">
                  <c:v>2nd Grade</c:v>
                </c:pt>
              </c:strCache>
            </c:strRef>
          </c:cat>
          <c:val>
            <c:numRef>
              <c:f>Sheet1!$E$1:$E$5</c:f>
              <c:numCache>
                <c:formatCode>General</c:formatCode>
                <c:ptCount val="5"/>
                <c:pt idx="0">
                  <c:v>95</c:v>
                </c:pt>
                <c:pt idx="2">
                  <c:v>94</c:v>
                </c:pt>
                <c:pt idx="4">
                  <c:v>93</c:v>
                </c:pt>
              </c:numCache>
            </c:numRef>
          </c:val>
        </c:ser>
        <c:ser>
          <c:idx val="0"/>
          <c:order val="2"/>
          <c:tx>
            <c:v>2012</c:v>
          </c:tx>
          <c:invertIfNegative val="0"/>
          <c:dLbls>
            <c:showLegendKey val="0"/>
            <c:showVal val="1"/>
            <c:showCatName val="0"/>
            <c:showSerName val="0"/>
            <c:showPercent val="0"/>
            <c:showBubbleSize val="0"/>
            <c:showLeaderLines val="0"/>
          </c:dLbls>
          <c:cat>
            <c:strRef>
              <c:f>Sheet1!$A$1:$A$5</c:f>
              <c:strCache>
                <c:ptCount val="5"/>
                <c:pt idx="0">
                  <c:v>Kindergarten</c:v>
                </c:pt>
                <c:pt idx="2">
                  <c:v>1st Grade</c:v>
                </c:pt>
                <c:pt idx="4">
                  <c:v>2nd Grade</c:v>
                </c:pt>
              </c:strCache>
            </c:strRef>
          </c:cat>
          <c:val>
            <c:numRef>
              <c:f>Sheet1!$F$1:$F$5</c:f>
              <c:numCache>
                <c:formatCode>General</c:formatCode>
                <c:ptCount val="5"/>
                <c:pt idx="0">
                  <c:v>98</c:v>
                </c:pt>
                <c:pt idx="2">
                  <c:v>91</c:v>
                </c:pt>
                <c:pt idx="4">
                  <c:v>80</c:v>
                </c:pt>
              </c:numCache>
            </c:numRef>
          </c:val>
        </c:ser>
        <c:ser>
          <c:idx val="5"/>
          <c:order val="3"/>
          <c:tx>
            <c:v>2013</c:v>
          </c:tx>
          <c:invertIfNegative val="0"/>
          <c:dLbls>
            <c:showLegendKey val="0"/>
            <c:showVal val="1"/>
            <c:showCatName val="0"/>
            <c:showSerName val="0"/>
            <c:showPercent val="0"/>
            <c:showBubbleSize val="0"/>
            <c:showLeaderLines val="0"/>
          </c:dLbls>
          <c:cat>
            <c:strRef>
              <c:f>Sheet1!$A$1:$A$5</c:f>
              <c:strCache>
                <c:ptCount val="5"/>
                <c:pt idx="0">
                  <c:v>Kindergarten</c:v>
                </c:pt>
                <c:pt idx="2">
                  <c:v>1st Grade</c:v>
                </c:pt>
                <c:pt idx="4">
                  <c:v>2nd Grade</c:v>
                </c:pt>
              </c:strCache>
            </c:strRef>
          </c:cat>
          <c:val>
            <c:numRef>
              <c:f>Sheet1!$G$1:$G$5</c:f>
              <c:numCache>
                <c:formatCode>General</c:formatCode>
                <c:ptCount val="5"/>
                <c:pt idx="0">
                  <c:v>94</c:v>
                </c:pt>
                <c:pt idx="2">
                  <c:v>85</c:v>
                </c:pt>
                <c:pt idx="4">
                  <c:v>77</c:v>
                </c:pt>
              </c:numCache>
            </c:numRef>
          </c:val>
        </c:ser>
        <c:dLbls>
          <c:showLegendKey val="0"/>
          <c:showVal val="0"/>
          <c:showCatName val="0"/>
          <c:showSerName val="0"/>
          <c:showPercent val="0"/>
          <c:showBubbleSize val="0"/>
        </c:dLbls>
        <c:gapWidth val="150"/>
        <c:axId val="125525376"/>
        <c:axId val="125535360"/>
      </c:barChart>
      <c:catAx>
        <c:axId val="125525376"/>
        <c:scaling>
          <c:orientation val="minMax"/>
        </c:scaling>
        <c:delete val="0"/>
        <c:axPos val="b"/>
        <c:majorTickMark val="none"/>
        <c:minorTickMark val="none"/>
        <c:tickLblPos val="nextTo"/>
        <c:crossAx val="125535360"/>
        <c:crosses val="autoZero"/>
        <c:auto val="1"/>
        <c:lblAlgn val="ctr"/>
        <c:lblOffset val="100"/>
        <c:noMultiLvlLbl val="0"/>
      </c:catAx>
      <c:valAx>
        <c:axId val="125535360"/>
        <c:scaling>
          <c:orientation val="minMax"/>
        </c:scaling>
        <c:delete val="0"/>
        <c:axPos val="l"/>
        <c:majorGridlines/>
        <c:numFmt formatCode="General" sourceLinked="1"/>
        <c:majorTickMark val="none"/>
        <c:minorTickMark val="none"/>
        <c:tickLblPos val="nextTo"/>
        <c:crossAx val="1255253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Fluency</a:t>
            </a:r>
            <a:r>
              <a:rPr lang="en-US" baseline="0"/>
              <a:t> Trends   3rd -5th Grade</a:t>
            </a:r>
            <a:endParaRPr lang="en-US"/>
          </a:p>
        </c:rich>
      </c:tx>
      <c:overlay val="0"/>
    </c:title>
    <c:autoTitleDeleted val="0"/>
    <c:plotArea>
      <c:layout/>
      <c:barChart>
        <c:barDir val="col"/>
        <c:grouping val="clustered"/>
        <c:varyColors val="0"/>
        <c:ser>
          <c:idx val="2"/>
          <c:order val="0"/>
          <c:tx>
            <c:v>2010</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Sheet1!$C$1:$C$5</c:f>
              <c:numCache>
                <c:formatCode>General</c:formatCode>
                <c:ptCount val="5"/>
                <c:pt idx="0">
                  <c:v>70</c:v>
                </c:pt>
                <c:pt idx="2">
                  <c:v>79</c:v>
                </c:pt>
                <c:pt idx="4">
                  <c:v>61</c:v>
                </c:pt>
              </c:numCache>
            </c:numRef>
          </c:val>
        </c:ser>
        <c:ser>
          <c:idx val="3"/>
          <c:order val="1"/>
          <c:tx>
            <c:v>2011</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Sheet1!$D$1:$D$5</c:f>
              <c:numCache>
                <c:formatCode>General</c:formatCode>
                <c:ptCount val="5"/>
                <c:pt idx="0">
                  <c:v>73</c:v>
                </c:pt>
                <c:pt idx="2">
                  <c:v>70</c:v>
                </c:pt>
                <c:pt idx="4">
                  <c:v>63</c:v>
                </c:pt>
              </c:numCache>
            </c:numRef>
          </c:val>
        </c:ser>
        <c:ser>
          <c:idx val="4"/>
          <c:order val="2"/>
          <c:tx>
            <c:v>2012</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Sheet1!$E$1:$E$5</c:f>
              <c:numCache>
                <c:formatCode>General</c:formatCode>
                <c:ptCount val="5"/>
                <c:pt idx="0">
                  <c:v>86</c:v>
                </c:pt>
                <c:pt idx="2">
                  <c:v>65</c:v>
                </c:pt>
                <c:pt idx="4">
                  <c:v>63</c:v>
                </c:pt>
              </c:numCache>
            </c:numRef>
          </c:val>
        </c:ser>
        <c:ser>
          <c:idx val="0"/>
          <c:order val="3"/>
          <c:tx>
            <c:v>2013</c:v>
          </c:tx>
          <c:invertIfNegative val="0"/>
          <c:dLbls>
            <c:showLegendKey val="0"/>
            <c:showVal val="1"/>
            <c:showCatName val="0"/>
            <c:showSerName val="0"/>
            <c:showPercent val="0"/>
            <c:showBubbleSize val="0"/>
            <c:showLeaderLines val="0"/>
          </c:dLbls>
          <c:cat>
            <c:strRef>
              <c:f>Sheet1!$A$1:$A$5</c:f>
              <c:strCache>
                <c:ptCount val="5"/>
                <c:pt idx="0">
                  <c:v>3rd Grade</c:v>
                </c:pt>
                <c:pt idx="2">
                  <c:v>4th Grade</c:v>
                </c:pt>
                <c:pt idx="4">
                  <c:v>5th Grade</c:v>
                </c:pt>
              </c:strCache>
            </c:strRef>
          </c:cat>
          <c:val>
            <c:numRef>
              <c:f>Sheet1!$F$1:$F$5</c:f>
              <c:numCache>
                <c:formatCode>General</c:formatCode>
                <c:ptCount val="5"/>
                <c:pt idx="0">
                  <c:v>76</c:v>
                </c:pt>
                <c:pt idx="2">
                  <c:v>86</c:v>
                </c:pt>
                <c:pt idx="4">
                  <c:v>62</c:v>
                </c:pt>
              </c:numCache>
            </c:numRef>
          </c:val>
        </c:ser>
        <c:dLbls>
          <c:showLegendKey val="0"/>
          <c:showVal val="0"/>
          <c:showCatName val="0"/>
          <c:showSerName val="0"/>
          <c:showPercent val="0"/>
          <c:showBubbleSize val="0"/>
        </c:dLbls>
        <c:gapWidth val="150"/>
        <c:axId val="125551744"/>
        <c:axId val="125553280"/>
      </c:barChart>
      <c:catAx>
        <c:axId val="125551744"/>
        <c:scaling>
          <c:orientation val="minMax"/>
        </c:scaling>
        <c:delete val="0"/>
        <c:axPos val="b"/>
        <c:majorTickMark val="none"/>
        <c:minorTickMark val="none"/>
        <c:tickLblPos val="nextTo"/>
        <c:crossAx val="125553280"/>
        <c:crosses val="autoZero"/>
        <c:auto val="1"/>
        <c:lblAlgn val="ctr"/>
        <c:lblOffset val="100"/>
        <c:noMultiLvlLbl val="0"/>
      </c:catAx>
      <c:valAx>
        <c:axId val="125553280"/>
        <c:scaling>
          <c:orientation val="minMax"/>
        </c:scaling>
        <c:delete val="0"/>
        <c:axPos val="l"/>
        <c:majorGridlines/>
        <c:numFmt formatCode="General" sourceLinked="1"/>
        <c:majorTickMark val="none"/>
        <c:minorTickMark val="none"/>
        <c:tickLblPos val="nextTo"/>
        <c:crossAx val="12555174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3</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pscudder</dc:creator>
  <cp:lastModifiedBy>Scudder, Pam</cp:lastModifiedBy>
  <cp:revision>4</cp:revision>
  <dcterms:created xsi:type="dcterms:W3CDTF">2013-05-20T18:41:00Z</dcterms:created>
  <dcterms:modified xsi:type="dcterms:W3CDTF">2013-05-23T11:59:00Z</dcterms:modified>
</cp:coreProperties>
</file>