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0" w:rsidRDefault="00CE3905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u w:val="single"/>
        </w:rPr>
        <w:t>CONCERN</w:t>
      </w:r>
      <w:r>
        <w:rPr>
          <w:rFonts w:ascii="Times New Roman" w:hAnsi="Times New Roman"/>
          <w:shadow w:val="0"/>
          <w:sz w:val="24"/>
        </w:rPr>
        <w:t>: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proofErr w:type="gramStart"/>
      <w:r>
        <w:rPr>
          <w:rFonts w:ascii="Times New Roman" w:hAnsi="Times New Roman"/>
          <w:shadow w:val="0"/>
          <w:sz w:val="24"/>
        </w:rPr>
        <w:t>Consider  Working</w:t>
      </w:r>
      <w:proofErr w:type="gramEnd"/>
      <w:r>
        <w:rPr>
          <w:rFonts w:ascii="Times New Roman" w:hAnsi="Times New Roman"/>
          <w:shadow w:val="0"/>
          <w:sz w:val="24"/>
        </w:rPr>
        <w:t xml:space="preserve"> Budget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u w:val="single"/>
        </w:rPr>
        <w:t>DISCUSSION</w:t>
      </w:r>
      <w:r>
        <w:rPr>
          <w:rFonts w:ascii="Times New Roman" w:hAnsi="Times New Roman"/>
          <w:shadow w:val="0"/>
          <w:sz w:val="24"/>
        </w:rPr>
        <w:t>: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Pr="001742AF" w:rsidRDefault="00CE3905">
      <w:p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>The Working Budget is presented for Board approval at this meeting.  A local school board is required to submit a Working Budget by September 30.  The Tentative Budget approved by the Board in May 20</w:t>
      </w:r>
      <w:r w:rsidR="007F595D">
        <w:rPr>
          <w:rFonts w:ascii="Times New Roman" w:hAnsi="Times New Roman"/>
          <w:shadow w:val="0"/>
          <w:sz w:val="24"/>
        </w:rPr>
        <w:t>1</w:t>
      </w:r>
      <w:r w:rsidR="00B879C9">
        <w:rPr>
          <w:rFonts w:ascii="Times New Roman" w:hAnsi="Times New Roman"/>
          <w:shadow w:val="0"/>
          <w:sz w:val="24"/>
        </w:rPr>
        <w:t>2</w:t>
      </w:r>
      <w:r w:rsidRPr="001742AF">
        <w:rPr>
          <w:rFonts w:ascii="Times New Roman" w:hAnsi="Times New Roman"/>
          <w:shadow w:val="0"/>
          <w:sz w:val="24"/>
        </w:rPr>
        <w:t xml:space="preserve"> is now recommended for amendment to include the following:</w:t>
      </w:r>
    </w:p>
    <w:p w:rsidR="00797F70" w:rsidRPr="001742AF" w:rsidRDefault="00797F70">
      <w:pPr>
        <w:rPr>
          <w:rFonts w:ascii="Times New Roman" w:hAnsi="Times New Roman"/>
          <w:shadow w:val="0"/>
          <w:sz w:val="24"/>
        </w:rPr>
      </w:pPr>
    </w:p>
    <w:p w:rsidR="00797F70" w:rsidRPr="001742AF" w:rsidRDefault="00CE3905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 xml:space="preserve">Revised Revenue based on projected revenue from the adopted tax levy and SEEK released by the Kentucky Department of Education (KDE) on </w:t>
      </w:r>
      <w:r w:rsidR="00532734" w:rsidRPr="001742AF">
        <w:rPr>
          <w:rFonts w:ascii="Times New Roman" w:hAnsi="Times New Roman"/>
          <w:shadow w:val="0"/>
          <w:sz w:val="24"/>
        </w:rPr>
        <w:t xml:space="preserve">July </w:t>
      </w:r>
      <w:r w:rsidR="007F595D">
        <w:rPr>
          <w:rFonts w:ascii="Times New Roman" w:hAnsi="Times New Roman"/>
          <w:shadow w:val="0"/>
          <w:sz w:val="24"/>
        </w:rPr>
        <w:t>31</w:t>
      </w:r>
      <w:r w:rsidR="00532D6E" w:rsidRPr="001742AF">
        <w:rPr>
          <w:rFonts w:ascii="Times New Roman" w:hAnsi="Times New Roman"/>
          <w:shadow w:val="0"/>
          <w:sz w:val="24"/>
        </w:rPr>
        <w:t>, 20</w:t>
      </w:r>
      <w:r w:rsidR="007F595D">
        <w:rPr>
          <w:rFonts w:ascii="Times New Roman" w:hAnsi="Times New Roman"/>
          <w:shadow w:val="0"/>
          <w:sz w:val="24"/>
        </w:rPr>
        <w:t>1</w:t>
      </w:r>
      <w:r w:rsidR="007C4283">
        <w:rPr>
          <w:rFonts w:ascii="Times New Roman" w:hAnsi="Times New Roman"/>
          <w:shadow w:val="0"/>
          <w:sz w:val="24"/>
        </w:rPr>
        <w:t>1</w:t>
      </w:r>
      <w:r w:rsidRPr="001742AF">
        <w:rPr>
          <w:rFonts w:ascii="Times New Roman" w:hAnsi="Times New Roman"/>
          <w:shadow w:val="0"/>
          <w:sz w:val="24"/>
        </w:rPr>
        <w:t xml:space="preserve">, adjusted for </w:t>
      </w:r>
      <w:r w:rsidR="00A22A5D">
        <w:rPr>
          <w:rFonts w:ascii="Times New Roman" w:hAnsi="Times New Roman"/>
          <w:shadow w:val="0"/>
          <w:sz w:val="24"/>
        </w:rPr>
        <w:t>2011-12</w:t>
      </w:r>
      <w:r w:rsidRPr="001742AF">
        <w:rPr>
          <w:rFonts w:ascii="Times New Roman" w:hAnsi="Times New Roman"/>
          <w:shadow w:val="0"/>
          <w:sz w:val="24"/>
        </w:rPr>
        <w:t xml:space="preserve"> End of the Year (EOY) Average Daily Attendance (ADA) data</w:t>
      </w:r>
      <w:r w:rsidR="00C55195" w:rsidRPr="001742AF">
        <w:rPr>
          <w:rFonts w:ascii="Times New Roman" w:hAnsi="Times New Roman"/>
          <w:shadow w:val="0"/>
          <w:sz w:val="24"/>
        </w:rPr>
        <w:t xml:space="preserve"> and projected growth</w:t>
      </w:r>
      <w:r w:rsidRPr="001742AF">
        <w:rPr>
          <w:rFonts w:ascii="Times New Roman" w:hAnsi="Times New Roman"/>
          <w:shadow w:val="0"/>
          <w:sz w:val="24"/>
        </w:rPr>
        <w:t>.</w:t>
      </w:r>
    </w:p>
    <w:p w:rsidR="00797F70" w:rsidRPr="001742AF" w:rsidRDefault="00CE3905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 xml:space="preserve">Other changes in revenue based on actual experience in </w:t>
      </w:r>
      <w:r w:rsidR="00A22A5D">
        <w:rPr>
          <w:rFonts w:ascii="Times New Roman" w:hAnsi="Times New Roman"/>
          <w:shadow w:val="0"/>
          <w:sz w:val="24"/>
        </w:rPr>
        <w:t>2011-12</w:t>
      </w:r>
      <w:r w:rsidRPr="001742AF">
        <w:rPr>
          <w:rFonts w:ascii="Times New Roman" w:hAnsi="Times New Roman"/>
          <w:shadow w:val="0"/>
          <w:sz w:val="24"/>
        </w:rPr>
        <w:t xml:space="preserve"> or other changes such as higher </w:t>
      </w:r>
      <w:r w:rsidR="000F0FFB" w:rsidRPr="001742AF">
        <w:rPr>
          <w:rFonts w:ascii="Times New Roman" w:hAnsi="Times New Roman"/>
          <w:shadow w:val="0"/>
          <w:sz w:val="24"/>
        </w:rPr>
        <w:t xml:space="preserve">or lower </w:t>
      </w:r>
      <w:r w:rsidRPr="001742AF">
        <w:rPr>
          <w:rFonts w:ascii="Times New Roman" w:hAnsi="Times New Roman"/>
          <w:shadow w:val="0"/>
          <w:sz w:val="24"/>
        </w:rPr>
        <w:t>interest rates, more or fewer students enrolled, etc.</w:t>
      </w:r>
    </w:p>
    <w:p w:rsidR="00797F70" w:rsidRPr="001742AF" w:rsidRDefault="00CE3905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 xml:space="preserve">Changes in expenses to funds based on review of actual expense in </w:t>
      </w:r>
      <w:r w:rsidR="00A22A5D">
        <w:rPr>
          <w:rFonts w:ascii="Times New Roman" w:hAnsi="Times New Roman"/>
          <w:shadow w:val="0"/>
          <w:sz w:val="24"/>
        </w:rPr>
        <w:t>2011-12</w:t>
      </w:r>
      <w:r w:rsidRPr="001742AF">
        <w:rPr>
          <w:rFonts w:ascii="Times New Roman" w:hAnsi="Times New Roman"/>
          <w:shadow w:val="0"/>
          <w:sz w:val="24"/>
        </w:rPr>
        <w:t>.</w:t>
      </w:r>
    </w:p>
    <w:p w:rsidR="00797F70" w:rsidRPr="001742AF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pStyle w:val="BodyText"/>
        <w:rPr>
          <w:rFonts w:ascii="Times New Roman" w:hAnsi="Times New Roman"/>
        </w:rPr>
      </w:pPr>
      <w:r w:rsidRPr="001742AF">
        <w:rPr>
          <w:rFonts w:ascii="Times New Roman" w:hAnsi="Times New Roman"/>
        </w:rPr>
        <w:t>Revenue</w:t>
      </w:r>
      <w:r>
        <w:rPr>
          <w:rFonts w:ascii="Times New Roman" w:hAnsi="Times New Roman"/>
        </w:rPr>
        <w:t xml:space="preserve"> for all funds recommended for the Working Budget is shown in Table A.  The data in Table A include an overview of projected revenue plus beginning balances</w:t>
      </w:r>
      <w:r w:rsidR="006F5576">
        <w:rPr>
          <w:rFonts w:ascii="Times New Roman" w:hAnsi="Times New Roman"/>
        </w:rPr>
        <w:t>.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A</w:t>
      </w:r>
    </w:p>
    <w:p w:rsidR="00797F70" w:rsidRDefault="00CE3905">
      <w:pPr>
        <w:jc w:val="center"/>
        <w:rPr>
          <w:rFonts w:ascii="Times New Roman" w:hAnsi="Times New Roman"/>
          <w:b/>
          <w:shadow w:val="0"/>
          <w:sz w:val="24"/>
        </w:rPr>
      </w:pPr>
      <w:r>
        <w:rPr>
          <w:rFonts w:ascii="Times New Roman" w:hAnsi="Times New Roman"/>
          <w:b/>
          <w:shadow w:val="0"/>
          <w:sz w:val="24"/>
        </w:rPr>
        <w:t xml:space="preserve">Revenue – All Funds – </w:t>
      </w:r>
      <w:r w:rsidR="007C4283">
        <w:rPr>
          <w:rFonts w:ascii="Times New Roman" w:hAnsi="Times New Roman"/>
          <w:b/>
          <w:shadow w:val="0"/>
          <w:sz w:val="24"/>
        </w:rPr>
        <w:t>2011-2012</w:t>
      </w:r>
      <w:r>
        <w:rPr>
          <w:rFonts w:ascii="Times New Roman" w:hAnsi="Times New Roman"/>
          <w:b/>
          <w:shadow w:val="0"/>
          <w:sz w:val="24"/>
        </w:rPr>
        <w:t xml:space="preserve"> Working Budget</w:t>
      </w:r>
    </w:p>
    <w:p w:rsidR="00797F70" w:rsidRDefault="00797F70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555"/>
        <w:gridCol w:w="1458"/>
        <w:gridCol w:w="1505"/>
        <w:gridCol w:w="1422"/>
        <w:gridCol w:w="1338"/>
        <w:gridCol w:w="1142"/>
      </w:tblGrid>
      <w:tr w:rsidR="00797F70" w:rsidTr="00532D6E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532D6E">
        <w:trPr>
          <w:trHeight w:val="235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FUND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Prior Year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Last Year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Current Year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$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%</w:t>
            </w:r>
          </w:p>
        </w:tc>
      </w:tr>
      <w:tr w:rsidR="00797F70" w:rsidTr="00532D6E">
        <w:trPr>
          <w:trHeight w:val="235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Actual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Actual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Budget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</w:t>
            </w:r>
            <w:r w:rsidR="008B317B"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hange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Change</w:t>
            </w:r>
          </w:p>
        </w:tc>
      </w:tr>
      <w:tr w:rsidR="007F595D" w:rsidTr="00057A6D">
        <w:trPr>
          <w:trHeight w:val="351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F595D" w:rsidRPr="008B317B" w:rsidRDefault="007F595D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8B317B" w:rsidRDefault="00057A6D" w:rsidP="0065662D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2010-11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F595D" w:rsidRPr="008B317B" w:rsidRDefault="00057A6D" w:rsidP="0065662D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2011-12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8B317B" w:rsidRDefault="00057A6D" w:rsidP="007F595D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2012-13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F595D" w:rsidRPr="008B317B" w:rsidRDefault="007F595D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 - B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8B317B" w:rsidRDefault="007F595D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D / B</w:t>
            </w:r>
          </w:p>
        </w:tc>
      </w:tr>
      <w:tr w:rsidR="00057A6D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D" w:rsidRDefault="00057A6D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GENERAL FUND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0673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$17,416,242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057A6D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$19,105,490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057A6D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19,415,678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56733F" w:rsidP="001C6F5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310,188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73695E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1.6%</w:t>
            </w:r>
          </w:p>
        </w:tc>
      </w:tr>
      <w:tr w:rsidR="00057A6D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D" w:rsidRDefault="00057A6D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SPECIAL REVENUE FUNDS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0673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</w:t>
            </w:r>
            <w:r>
              <w:rPr>
                <w:shadow w:val="0"/>
                <w:color w:val="000000"/>
              </w:rPr>
              <w:t>2,932,089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057A6D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</w:t>
            </w:r>
            <w:r>
              <w:rPr>
                <w:shadow w:val="0"/>
                <w:color w:val="000000"/>
              </w:rPr>
              <w:t>2,561,953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73695E" w:rsidP="00802B67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$1,621,755</w:t>
            </w:r>
            <w:r w:rsidR="00057A6D"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56733F" w:rsidP="0073695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(9</w:t>
            </w:r>
            <w:r w:rsidR="0073695E">
              <w:rPr>
                <w:shadow w:val="0"/>
              </w:rPr>
              <w:t>40</w:t>
            </w:r>
            <w:r>
              <w:rPr>
                <w:shadow w:val="0"/>
              </w:rPr>
              <w:t>,</w:t>
            </w:r>
            <w:r w:rsidR="0073695E">
              <w:rPr>
                <w:shadow w:val="0"/>
              </w:rPr>
              <w:t>198</w:t>
            </w:r>
            <w:r>
              <w:rPr>
                <w:shadow w:val="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73695E" w:rsidP="00ED6F4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-36.7%</w:t>
            </w:r>
          </w:p>
        </w:tc>
      </w:tr>
      <w:tr w:rsidR="00057A6D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D" w:rsidRDefault="00057A6D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CAPITAL OUTLAY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0673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</w:t>
            </w:r>
            <w:r>
              <w:rPr>
                <w:shadow w:val="0"/>
                <w:color w:val="000000"/>
              </w:rPr>
              <w:t>264,330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82B1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</w:t>
            </w:r>
            <w:r w:rsidR="00D82B14">
              <w:rPr>
                <w:shadow w:val="0"/>
                <w:color w:val="000000"/>
              </w:rPr>
              <w:t>217,333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057A6D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213,500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56733F" w:rsidP="00C3445D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(3,834)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73695E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-1.8%</w:t>
            </w:r>
          </w:p>
        </w:tc>
      </w:tr>
      <w:tr w:rsidR="00057A6D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D" w:rsidRDefault="00057A6D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FACILITY BUILDING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0673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$1,</w:t>
            </w:r>
            <w:r>
              <w:rPr>
                <w:shadow w:val="0"/>
                <w:color w:val="000000"/>
              </w:rPr>
              <w:t>577,315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82B1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$1,</w:t>
            </w:r>
            <w:r w:rsidR="00D82B14">
              <w:rPr>
                <w:shadow w:val="0"/>
                <w:color w:val="000000"/>
              </w:rPr>
              <w:t>551,789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C81C71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$1,</w:t>
            </w:r>
            <w:r>
              <w:rPr>
                <w:shadow w:val="0"/>
              </w:rPr>
              <w:t>535,962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56733F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(15,827)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73695E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-1.0%</w:t>
            </w:r>
          </w:p>
        </w:tc>
      </w:tr>
      <w:tr w:rsidR="00057A6D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D" w:rsidRDefault="00057A6D" w:rsidP="00801716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FOOD SERVICE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0673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$1,</w:t>
            </w:r>
            <w:r>
              <w:rPr>
                <w:shadow w:val="0"/>
                <w:color w:val="000000"/>
              </w:rPr>
              <w:t>252,164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D82B1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$1,</w:t>
            </w:r>
            <w:r w:rsidR="00D82B14">
              <w:rPr>
                <w:shadow w:val="0"/>
                <w:color w:val="000000"/>
              </w:rPr>
              <w:t>289,824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057A6D" w:rsidP="00057A6D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$1,</w:t>
            </w:r>
            <w:r>
              <w:rPr>
                <w:shadow w:val="0"/>
              </w:rPr>
              <w:t>619,500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C3445D" w:rsidRDefault="0056733F" w:rsidP="00C3445D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320,675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6D" w:rsidRPr="007576BF" w:rsidRDefault="0073695E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24.7%</w:t>
            </w:r>
          </w:p>
        </w:tc>
      </w:tr>
      <w:tr w:rsidR="00057A6D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A6D" w:rsidRDefault="00057A6D">
            <w:pPr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TOTAL ALL FUNDS, excl Construction &amp; Trust/Agency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7A6D" w:rsidRPr="007576BF" w:rsidRDefault="00057A6D" w:rsidP="00D06734">
            <w:pPr>
              <w:jc w:val="right"/>
              <w:rPr>
                <w:b/>
                <w:shadow w:val="0"/>
                <w:color w:val="000000"/>
              </w:rPr>
            </w:pPr>
            <w:r w:rsidRPr="007576BF">
              <w:rPr>
                <w:b/>
                <w:shadow w:val="0"/>
                <w:color w:val="000000"/>
              </w:rPr>
              <w:t>$</w:t>
            </w:r>
            <w:r>
              <w:rPr>
                <w:b/>
                <w:shadow w:val="0"/>
                <w:color w:val="000000"/>
              </w:rPr>
              <w:t>23,442,142</w:t>
            </w:r>
            <w:r w:rsidRPr="007576BF">
              <w:rPr>
                <w:b/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7A6D" w:rsidRPr="007576BF" w:rsidRDefault="00057A6D" w:rsidP="00B96627">
            <w:pPr>
              <w:jc w:val="right"/>
              <w:rPr>
                <w:b/>
                <w:shadow w:val="0"/>
                <w:color w:val="000000"/>
              </w:rPr>
            </w:pPr>
            <w:r w:rsidRPr="007576BF">
              <w:rPr>
                <w:b/>
                <w:shadow w:val="0"/>
                <w:color w:val="000000"/>
              </w:rPr>
              <w:t>$</w:t>
            </w:r>
            <w:r w:rsidR="00B96627">
              <w:rPr>
                <w:b/>
                <w:shadow w:val="0"/>
                <w:color w:val="000000"/>
              </w:rPr>
              <w:t>24,726,389</w:t>
            </w:r>
            <w:r w:rsidRPr="007576BF">
              <w:rPr>
                <w:b/>
                <w:shadow w:val="0"/>
                <w:color w:val="00000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7A6D" w:rsidRPr="007576BF" w:rsidRDefault="00057A6D" w:rsidP="0070102E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24,</w:t>
            </w:r>
            <w:r w:rsidR="0070102E">
              <w:rPr>
                <w:b/>
                <w:shadow w:val="0"/>
              </w:rPr>
              <w:t>406,395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7A6D" w:rsidRPr="007576BF" w:rsidRDefault="00E26A66" w:rsidP="00ED6F49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(319,994)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57A6D" w:rsidRPr="007576BF" w:rsidRDefault="0073695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-1.3%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</w:t>
      </w:r>
      <w:r w:rsidR="007F595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64ED1">
        <w:rPr>
          <w:rFonts w:ascii="Times New Roman" w:hAnsi="Times New Roman"/>
          <w:i/>
          <w:iCs/>
          <w:sz w:val="18"/>
          <w:szCs w:val="18"/>
        </w:rPr>
        <w:t>A,</w:t>
      </w:r>
      <w:r w:rsidR="007576BF">
        <w:rPr>
          <w:rFonts w:ascii="Times New Roman" w:hAnsi="Times New Roman"/>
          <w:i/>
          <w:iCs/>
          <w:sz w:val="18"/>
          <w:szCs w:val="18"/>
        </w:rPr>
        <w:t xml:space="preserve"> B &amp; 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pStyle w:val="BodyText"/>
        <w:rPr>
          <w:rFonts w:ascii="Times New Roman" w:hAnsi="Times New Roman"/>
          <w:i/>
          <w:iCs/>
          <w:sz w:val="20"/>
        </w:rPr>
      </w:pPr>
    </w:p>
    <w:p w:rsidR="007F595D" w:rsidRPr="007576BF" w:rsidRDefault="00CE3905" w:rsidP="007576BF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 xml:space="preserve">Table B </w:t>
      </w:r>
      <w:r w:rsidR="00532D6E" w:rsidRPr="007576BF">
        <w:rPr>
          <w:rFonts w:ascii="Times New Roman" w:hAnsi="Times New Roman"/>
        </w:rPr>
        <w:t xml:space="preserve">(see page 2) </w:t>
      </w:r>
      <w:r w:rsidRPr="007576BF">
        <w:rPr>
          <w:rFonts w:ascii="Times New Roman" w:hAnsi="Times New Roman"/>
        </w:rPr>
        <w:t xml:space="preserve">provides more detail as to General Fund revenue.  Overall, General Fund revenue </w:t>
      </w:r>
      <w:r w:rsidR="00534665" w:rsidRPr="007576BF">
        <w:rPr>
          <w:rFonts w:ascii="Times New Roman" w:hAnsi="Times New Roman"/>
        </w:rPr>
        <w:t xml:space="preserve">is projected to </w:t>
      </w:r>
      <w:r w:rsidR="007F595D" w:rsidRPr="007576BF">
        <w:rPr>
          <w:rFonts w:ascii="Times New Roman" w:hAnsi="Times New Roman"/>
        </w:rPr>
        <w:t>in</w:t>
      </w:r>
      <w:r w:rsidR="00C55195" w:rsidRPr="007576BF">
        <w:rPr>
          <w:rFonts w:ascii="Times New Roman" w:hAnsi="Times New Roman"/>
        </w:rPr>
        <w:t>crease</w:t>
      </w:r>
      <w:r w:rsidR="00534665" w:rsidRPr="007576BF">
        <w:rPr>
          <w:rFonts w:ascii="Times New Roman" w:hAnsi="Times New Roman"/>
        </w:rPr>
        <w:t xml:space="preserve"> </w:t>
      </w:r>
      <w:proofErr w:type="gramStart"/>
      <w:r w:rsidR="00534665" w:rsidRPr="007576BF">
        <w:rPr>
          <w:rFonts w:ascii="Times New Roman" w:hAnsi="Times New Roman"/>
        </w:rPr>
        <w:t>for  compared</w:t>
      </w:r>
      <w:proofErr w:type="gramEnd"/>
      <w:r w:rsidR="00534665" w:rsidRPr="007576BF">
        <w:rPr>
          <w:rFonts w:ascii="Times New Roman" w:hAnsi="Times New Roman"/>
        </w:rPr>
        <w:t xml:space="preserve"> to </w:t>
      </w:r>
      <w:r w:rsidR="0073695E">
        <w:rPr>
          <w:rFonts w:ascii="Times New Roman" w:hAnsi="Times New Roman"/>
        </w:rPr>
        <w:t>2011-12</w:t>
      </w:r>
      <w:r w:rsidRPr="007576BF">
        <w:rPr>
          <w:rFonts w:ascii="Times New Roman" w:hAnsi="Times New Roman"/>
        </w:rPr>
        <w:t xml:space="preserve">.  The </w:t>
      </w:r>
      <w:r w:rsidR="00A52FC9" w:rsidRPr="007576BF">
        <w:rPr>
          <w:rFonts w:ascii="Times New Roman" w:hAnsi="Times New Roman"/>
        </w:rPr>
        <w:t xml:space="preserve">major </w:t>
      </w:r>
      <w:r w:rsidRPr="007576BF">
        <w:rPr>
          <w:rFonts w:ascii="Times New Roman" w:hAnsi="Times New Roman"/>
        </w:rPr>
        <w:t>factor</w:t>
      </w:r>
      <w:r w:rsidR="00A52FC9" w:rsidRPr="007576BF">
        <w:rPr>
          <w:rFonts w:ascii="Times New Roman" w:hAnsi="Times New Roman"/>
        </w:rPr>
        <w:t>s</w:t>
      </w:r>
      <w:r w:rsidR="003A4411" w:rsidRPr="007576BF">
        <w:rPr>
          <w:rFonts w:ascii="Times New Roman" w:hAnsi="Times New Roman"/>
        </w:rPr>
        <w:t xml:space="preserve"> </w:t>
      </w:r>
      <w:r w:rsidRPr="007576BF">
        <w:rPr>
          <w:rFonts w:ascii="Times New Roman" w:hAnsi="Times New Roman"/>
        </w:rPr>
        <w:t xml:space="preserve">for this </w:t>
      </w:r>
      <w:r w:rsidR="007576BF" w:rsidRPr="007576BF">
        <w:rPr>
          <w:rFonts w:ascii="Times New Roman" w:hAnsi="Times New Roman"/>
        </w:rPr>
        <w:t>increase</w:t>
      </w:r>
      <w:r w:rsidR="007F595D" w:rsidRPr="007576BF">
        <w:rPr>
          <w:rFonts w:ascii="Times New Roman" w:hAnsi="Times New Roman"/>
        </w:rPr>
        <w:t>:</w:t>
      </w:r>
    </w:p>
    <w:p w:rsidR="007F595D" w:rsidRDefault="007F595D">
      <w:pPr>
        <w:pStyle w:val="BodyText"/>
        <w:rPr>
          <w:rFonts w:ascii="Times New Roman" w:hAnsi="Times New Roman"/>
        </w:rPr>
      </w:pPr>
    </w:p>
    <w:p w:rsidR="007576BF" w:rsidRDefault="007576BF" w:rsidP="007576BF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in</w:t>
      </w:r>
      <w:r w:rsidR="00A52FC9" w:rsidRPr="001742AF">
        <w:rPr>
          <w:rFonts w:ascii="Times New Roman" w:hAnsi="Times New Roman"/>
        </w:rPr>
        <w:t xml:space="preserve">crease in </w:t>
      </w:r>
      <w:r>
        <w:rPr>
          <w:rFonts w:ascii="Times New Roman" w:hAnsi="Times New Roman"/>
        </w:rPr>
        <w:t>the beginning balance of $</w:t>
      </w:r>
      <w:r w:rsidR="0073695E">
        <w:rPr>
          <w:rFonts w:ascii="Times New Roman" w:hAnsi="Times New Roman"/>
        </w:rPr>
        <w:t>550,909</w:t>
      </w:r>
      <w:r>
        <w:rPr>
          <w:rFonts w:ascii="Times New Roman" w:hAnsi="Times New Roman"/>
        </w:rPr>
        <w:t>.</w:t>
      </w:r>
      <w:r w:rsidR="00A52FC9" w:rsidRPr="001742AF">
        <w:rPr>
          <w:rFonts w:ascii="Times New Roman" w:hAnsi="Times New Roman"/>
        </w:rPr>
        <w:t xml:space="preserve"> </w:t>
      </w:r>
    </w:p>
    <w:p w:rsidR="0073695E" w:rsidRDefault="0073695E" w:rsidP="0073695E">
      <w:pPr>
        <w:pStyle w:val="BodyText"/>
        <w:ind w:left="720"/>
        <w:rPr>
          <w:rFonts w:ascii="Times New Roman" w:hAnsi="Times New Roman"/>
        </w:rPr>
      </w:pPr>
    </w:p>
    <w:p w:rsidR="00797F70" w:rsidRDefault="00A52FC9">
      <w:pPr>
        <w:pStyle w:val="BodyText"/>
        <w:rPr>
          <w:rFonts w:ascii="Times New Roman" w:hAnsi="Times New Roman"/>
        </w:rPr>
      </w:pPr>
      <w:r w:rsidRPr="001742AF">
        <w:rPr>
          <w:rFonts w:ascii="Times New Roman" w:hAnsi="Times New Roman"/>
        </w:rPr>
        <w:t xml:space="preserve">The </w:t>
      </w:r>
      <w:r w:rsidR="00B230D7">
        <w:rPr>
          <w:rFonts w:ascii="Times New Roman" w:hAnsi="Times New Roman"/>
        </w:rPr>
        <w:t>general fund</w:t>
      </w:r>
      <w:r w:rsidR="007E113F">
        <w:rPr>
          <w:rFonts w:ascii="Times New Roman" w:hAnsi="Times New Roman"/>
        </w:rPr>
        <w:t xml:space="preserve"> SEEK</w:t>
      </w:r>
      <w:r w:rsidR="00B230D7">
        <w:rPr>
          <w:rFonts w:ascii="Times New Roman" w:hAnsi="Times New Roman"/>
        </w:rPr>
        <w:t xml:space="preserve"> </w:t>
      </w:r>
      <w:r w:rsidRPr="001742AF">
        <w:rPr>
          <w:rFonts w:ascii="Times New Roman" w:hAnsi="Times New Roman"/>
        </w:rPr>
        <w:t xml:space="preserve">revenue </w:t>
      </w:r>
      <w:r w:rsidR="00534665" w:rsidRPr="001742AF">
        <w:rPr>
          <w:rFonts w:ascii="Times New Roman" w:hAnsi="Times New Roman"/>
        </w:rPr>
        <w:t>shown in Table B</w:t>
      </w:r>
      <w:r w:rsidR="007576BF">
        <w:rPr>
          <w:rFonts w:ascii="Times New Roman" w:hAnsi="Times New Roman"/>
        </w:rPr>
        <w:t xml:space="preserve"> </w:t>
      </w:r>
      <w:r w:rsidR="00257E0C">
        <w:rPr>
          <w:rFonts w:ascii="Times New Roman" w:hAnsi="Times New Roman"/>
        </w:rPr>
        <w:t>reflects an</w:t>
      </w:r>
      <w:r w:rsidR="00B230D7">
        <w:rPr>
          <w:rFonts w:ascii="Times New Roman" w:hAnsi="Times New Roman"/>
        </w:rPr>
        <w:t xml:space="preserve"> increase in ADA </w:t>
      </w:r>
      <w:r w:rsidR="00257E0C">
        <w:rPr>
          <w:rFonts w:ascii="Times New Roman" w:hAnsi="Times New Roman"/>
        </w:rPr>
        <w:t>but a decrease in per pupil funding.</w:t>
      </w:r>
      <w:r w:rsidR="007E113F">
        <w:rPr>
          <w:rFonts w:ascii="Times New Roman" w:hAnsi="Times New Roman"/>
        </w:rPr>
        <w:t xml:space="preserve">  </w:t>
      </w:r>
      <w:r w:rsidR="00516F16">
        <w:rPr>
          <w:rFonts w:ascii="Times New Roman" w:hAnsi="Times New Roman"/>
        </w:rPr>
        <w:t xml:space="preserve">The  </w:t>
      </w:r>
      <w:r w:rsidR="00FA67D2">
        <w:rPr>
          <w:rFonts w:ascii="Times New Roman" w:hAnsi="Times New Roman"/>
        </w:rPr>
        <w:t xml:space="preserve">SEEK base value per pupil was </w:t>
      </w:r>
      <w:r w:rsidR="007576BF">
        <w:rPr>
          <w:rFonts w:ascii="Times New Roman" w:hAnsi="Times New Roman"/>
        </w:rPr>
        <w:t xml:space="preserve">set by the General Assembly at </w:t>
      </w:r>
      <w:r w:rsidR="00516F16">
        <w:rPr>
          <w:rFonts w:ascii="Times New Roman" w:hAnsi="Times New Roman"/>
        </w:rPr>
        <w:t>$3,</w:t>
      </w:r>
      <w:r w:rsidR="00EF039B">
        <w:rPr>
          <w:rFonts w:ascii="Times New Roman" w:hAnsi="Times New Roman"/>
        </w:rPr>
        <w:t>903</w:t>
      </w:r>
      <w:r w:rsidR="00257E0C">
        <w:rPr>
          <w:rFonts w:ascii="Times New Roman" w:hAnsi="Times New Roman"/>
        </w:rPr>
        <w:t xml:space="preserve"> for the 11-12 fiscal year, however the General Assembly decreased the amount to $3,833 for 12-13</w:t>
      </w:r>
      <w:r w:rsidR="00516F16">
        <w:rPr>
          <w:rFonts w:ascii="Times New Roman" w:hAnsi="Times New Roman"/>
        </w:rPr>
        <w:t>.</w:t>
      </w:r>
      <w:r w:rsidR="00FA67D2">
        <w:rPr>
          <w:rFonts w:ascii="Times New Roman" w:hAnsi="Times New Roman"/>
        </w:rPr>
        <w:t xml:space="preserve">  </w:t>
      </w:r>
      <w:r w:rsidR="00532D6E">
        <w:rPr>
          <w:rFonts w:ascii="Times New Roman" w:hAnsi="Times New Roman"/>
        </w:rPr>
        <w:t>T</w:t>
      </w:r>
      <w:r w:rsidR="00CE3905">
        <w:rPr>
          <w:rFonts w:ascii="Times New Roman" w:hAnsi="Times New Roman"/>
        </w:rPr>
        <w:t xml:space="preserve">he tentative SEEK calculation </w:t>
      </w:r>
      <w:r w:rsidR="00FA67D2">
        <w:rPr>
          <w:rFonts w:ascii="Times New Roman" w:hAnsi="Times New Roman"/>
        </w:rPr>
        <w:t xml:space="preserve">is based on </w:t>
      </w:r>
      <w:r w:rsidR="00CE3905">
        <w:rPr>
          <w:rFonts w:ascii="Times New Roman" w:hAnsi="Times New Roman"/>
        </w:rPr>
        <w:t xml:space="preserve">KDE’s </w:t>
      </w:r>
      <w:r w:rsidR="00FA67D2">
        <w:rPr>
          <w:rFonts w:ascii="Times New Roman" w:hAnsi="Times New Roman"/>
        </w:rPr>
        <w:t xml:space="preserve">most recent forecast </w:t>
      </w:r>
      <w:r w:rsidR="00257E0C">
        <w:rPr>
          <w:rFonts w:ascii="Times New Roman" w:hAnsi="Times New Roman"/>
        </w:rPr>
        <w:t>which</w:t>
      </w:r>
      <w:r w:rsidR="002555BD">
        <w:rPr>
          <w:rFonts w:ascii="Times New Roman" w:hAnsi="Times New Roman"/>
        </w:rPr>
        <w:t xml:space="preserve"> includes EOY 2012 ADA of 2,145 which is an increase of 25 from the 11-12 final ADA.</w:t>
      </w:r>
    </w:p>
    <w:p w:rsidR="00FA67D2" w:rsidRDefault="00FA67D2">
      <w:pPr>
        <w:pStyle w:val="BodyText"/>
        <w:rPr>
          <w:rFonts w:ascii="Times New Roman" w:hAnsi="Times New Roman"/>
        </w:rPr>
      </w:pP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B</w:t>
      </w: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Revenue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797F70" w:rsidRDefault="00797F70" w:rsidP="000F3507">
      <w:pPr>
        <w:jc w:val="center"/>
        <w:rPr>
          <w:rFonts w:ascii="Times New Roman" w:hAnsi="Times New Roman"/>
          <w:shadow w:val="0"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626"/>
        <w:gridCol w:w="1471"/>
        <w:gridCol w:w="1432"/>
        <w:gridCol w:w="1547"/>
        <w:gridCol w:w="1204"/>
        <w:gridCol w:w="1140"/>
      </w:tblGrid>
      <w:tr w:rsidR="00797F70" w:rsidTr="000F3507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0F3507">
        <w:trPr>
          <w:trHeight w:val="245"/>
        </w:trPr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Revenue Source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Prior Year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Last Year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Current Year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$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797F70" w:rsidTr="000F3507">
        <w:trPr>
          <w:trHeight w:val="245"/>
        </w:trPr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Budget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  <w:r w:rsid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hange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0F3507">
        <w:trPr>
          <w:trHeight w:val="259"/>
        </w:trPr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3918A1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D82B14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 - B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 / B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Beginning Balance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$3,</w:t>
            </w:r>
            <w:r>
              <w:rPr>
                <w:shadow w:val="0"/>
              </w:rPr>
              <w:t>760,093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3918A1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4,629,477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5,180,386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550,909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11.9%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Local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5,123,653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5,234,061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5,088,016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(146,045)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-2.8%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State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8,452,487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9,112,675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9,089,276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(23,399)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-0.3%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Federal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30,559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65,192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(59,192)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-90.8%</w:t>
            </w:r>
          </w:p>
        </w:tc>
      </w:tr>
      <w:tr w:rsidR="003918A1" w:rsidTr="0065662D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Other Receipts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49,448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64,084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52,000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(12,084)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-18.9%</w:t>
            </w:r>
          </w:p>
        </w:tc>
      </w:tr>
      <w:tr w:rsidR="003918A1" w:rsidTr="0065662D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  <w:t xml:space="preserve"> Total Gen. Fund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3918A1" w:rsidP="00D06734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17,416,242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3918A1" w:rsidP="00F74FB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19,105,490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3918A1" w:rsidP="00F74FB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19,415,678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800AAA" w:rsidP="00F74FB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310,188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800AAA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1.6%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Columns A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, B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and 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2A2DF0" w:rsidRPr="007576BF" w:rsidRDefault="002A2DF0">
      <w:pPr>
        <w:rPr>
          <w:rFonts w:ascii="Times New Roman" w:hAnsi="Times New Roman"/>
          <w:shadow w:val="0"/>
          <w:sz w:val="24"/>
        </w:rPr>
      </w:pPr>
      <w:r w:rsidRPr="007576BF">
        <w:rPr>
          <w:rFonts w:ascii="Times New Roman" w:hAnsi="Times New Roman"/>
          <w:shadow w:val="0"/>
          <w:sz w:val="24"/>
        </w:rPr>
        <w:t xml:space="preserve">Proposed revenue is detailed in the </w:t>
      </w:r>
      <w:proofErr w:type="gramStart"/>
      <w:r w:rsidRPr="007576BF">
        <w:rPr>
          <w:rFonts w:ascii="Times New Roman" w:hAnsi="Times New Roman"/>
          <w:shadow w:val="0"/>
          <w:sz w:val="24"/>
        </w:rPr>
        <w:t>attached  Working</w:t>
      </w:r>
      <w:proofErr w:type="gramEnd"/>
      <w:r w:rsidRPr="007576BF">
        <w:rPr>
          <w:rFonts w:ascii="Times New Roman" w:hAnsi="Times New Roman"/>
          <w:shadow w:val="0"/>
          <w:sz w:val="24"/>
        </w:rPr>
        <w:t xml:space="preserve"> Budget.  Table C provides an overview of all proposed General Fund revenue and adjustments made since the May 20</w:t>
      </w:r>
      <w:r w:rsidR="007576BF" w:rsidRPr="007576BF">
        <w:rPr>
          <w:rFonts w:ascii="Times New Roman" w:hAnsi="Times New Roman"/>
          <w:shadow w:val="0"/>
          <w:sz w:val="24"/>
        </w:rPr>
        <w:t>1</w:t>
      </w:r>
      <w:r w:rsidR="006A78C0">
        <w:rPr>
          <w:rFonts w:ascii="Times New Roman" w:hAnsi="Times New Roman"/>
          <w:shadow w:val="0"/>
          <w:sz w:val="24"/>
        </w:rPr>
        <w:t>2</w:t>
      </w:r>
      <w:r w:rsidRPr="007576BF">
        <w:rPr>
          <w:rFonts w:ascii="Times New Roman" w:hAnsi="Times New Roman"/>
          <w:shadow w:val="0"/>
          <w:sz w:val="24"/>
        </w:rPr>
        <w:t xml:space="preserve">review of projected revenue.  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The changes are:  Beginning Balance – </w:t>
      </w:r>
      <w:r w:rsidR="002F0FF3" w:rsidRPr="007576BF">
        <w:rPr>
          <w:rFonts w:ascii="Times New Roman" w:hAnsi="Times New Roman"/>
          <w:shadow w:val="0"/>
          <w:sz w:val="24"/>
          <w:szCs w:val="24"/>
        </w:rPr>
        <w:t>up</w:t>
      </w:r>
      <w:r w:rsidR="006D4A85" w:rsidRPr="007576BF">
        <w:rPr>
          <w:rFonts w:ascii="Times New Roman" w:hAnsi="Times New Roman"/>
          <w:shadow w:val="0"/>
          <w:sz w:val="24"/>
          <w:szCs w:val="24"/>
        </w:rPr>
        <w:t xml:space="preserve"> $</w:t>
      </w:r>
      <w:r w:rsidR="006A78C0">
        <w:rPr>
          <w:rFonts w:ascii="Times New Roman" w:hAnsi="Times New Roman"/>
          <w:shadow w:val="0"/>
          <w:sz w:val="24"/>
          <w:szCs w:val="24"/>
        </w:rPr>
        <w:t>550,909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>; Loc</w:t>
      </w:r>
      <w:r w:rsidR="008E2BDE" w:rsidRPr="007576BF">
        <w:rPr>
          <w:rFonts w:ascii="Times New Roman" w:hAnsi="Times New Roman"/>
          <w:shadow w:val="0"/>
          <w:sz w:val="24"/>
          <w:szCs w:val="24"/>
        </w:rPr>
        <w:t>a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l GF Revenue – </w:t>
      </w:r>
      <w:r w:rsidR="004B159F">
        <w:rPr>
          <w:rFonts w:ascii="Times New Roman" w:hAnsi="Times New Roman"/>
          <w:shadow w:val="0"/>
          <w:sz w:val="24"/>
          <w:szCs w:val="24"/>
        </w:rPr>
        <w:t>down</w:t>
      </w:r>
      <w:r w:rsidR="007576BF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>$</w:t>
      </w:r>
      <w:r w:rsidR="006A78C0">
        <w:rPr>
          <w:rFonts w:ascii="Times New Roman" w:hAnsi="Times New Roman"/>
          <w:shadow w:val="0"/>
          <w:sz w:val="24"/>
          <w:szCs w:val="24"/>
        </w:rPr>
        <w:t>146,045</w:t>
      </w:r>
      <w:r w:rsidR="005F1175">
        <w:rPr>
          <w:rFonts w:ascii="Times New Roman" w:hAnsi="Times New Roman"/>
          <w:shadow w:val="0"/>
          <w:sz w:val="24"/>
          <w:szCs w:val="24"/>
        </w:rPr>
        <w:t xml:space="preserve">, due to </w:t>
      </w:r>
      <w:r w:rsidR="006A78C0">
        <w:rPr>
          <w:rFonts w:ascii="Times New Roman" w:hAnsi="Times New Roman"/>
          <w:shadow w:val="0"/>
          <w:sz w:val="24"/>
          <w:szCs w:val="24"/>
        </w:rPr>
        <w:t>high collection of delinquent property tax in 2011-12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>; State GF Revenue</w:t>
      </w:r>
      <w:r w:rsidR="006A78C0">
        <w:rPr>
          <w:rFonts w:ascii="Times New Roman" w:hAnsi="Times New Roman"/>
          <w:shadow w:val="0"/>
          <w:sz w:val="24"/>
          <w:szCs w:val="24"/>
        </w:rPr>
        <w:t xml:space="preserve"> down due to decrease in per pupil funding, 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 Federal GF Revenue – </w:t>
      </w:r>
      <w:r w:rsidR="004B159F">
        <w:rPr>
          <w:rFonts w:ascii="Times New Roman" w:hAnsi="Times New Roman"/>
          <w:shadow w:val="0"/>
          <w:sz w:val="24"/>
          <w:szCs w:val="24"/>
        </w:rPr>
        <w:t>down $</w:t>
      </w:r>
      <w:r w:rsidR="006A78C0">
        <w:rPr>
          <w:rFonts w:ascii="Times New Roman" w:hAnsi="Times New Roman"/>
          <w:shadow w:val="0"/>
          <w:sz w:val="24"/>
          <w:szCs w:val="24"/>
        </w:rPr>
        <w:t>59,192, due to loss of Medicaid eligible OP/PT providers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 and Other Receipts – </w:t>
      </w:r>
      <w:r w:rsidR="006A78C0">
        <w:rPr>
          <w:rFonts w:ascii="Times New Roman" w:hAnsi="Times New Roman"/>
          <w:shadow w:val="0"/>
          <w:sz w:val="24"/>
          <w:szCs w:val="24"/>
        </w:rPr>
        <w:t>down due to sale of surplus property in 11-12</w:t>
      </w:r>
      <w:r w:rsidR="004B159F">
        <w:rPr>
          <w:rFonts w:ascii="Times New Roman" w:hAnsi="Times New Roman"/>
          <w:shadow w:val="0"/>
          <w:sz w:val="24"/>
          <w:szCs w:val="24"/>
        </w:rPr>
        <w:t>.</w:t>
      </w:r>
    </w:p>
    <w:p w:rsidR="002A2DF0" w:rsidRDefault="002A2DF0">
      <w:pPr>
        <w:rPr>
          <w:rFonts w:ascii="Times New Roman" w:hAnsi="Times New Roman"/>
          <w:shadow w:val="0"/>
          <w:sz w:val="24"/>
        </w:rPr>
      </w:pPr>
    </w:p>
    <w:p w:rsidR="002A2DF0" w:rsidRDefault="002A2DF0" w:rsidP="002A2DF0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C</w:t>
      </w:r>
    </w:p>
    <w:p w:rsidR="002A2DF0" w:rsidRDefault="002A2DF0" w:rsidP="002A2DF0">
      <w:pPr>
        <w:pStyle w:val="Heading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Revenue </w:t>
      </w:r>
      <w:proofErr w:type="gramStart"/>
      <w:r>
        <w:rPr>
          <w:rFonts w:ascii="Times New Roman" w:hAnsi="Times New Roman"/>
          <w:b/>
        </w:rPr>
        <w:t>–  Tentative</w:t>
      </w:r>
      <w:proofErr w:type="gramEnd"/>
      <w:r>
        <w:rPr>
          <w:rFonts w:ascii="Times New Roman" w:hAnsi="Times New Roman"/>
          <w:b/>
        </w:rPr>
        <w:t xml:space="preserve"> to Working Budget</w:t>
      </w:r>
    </w:p>
    <w:p w:rsidR="00AB6330" w:rsidRPr="000F3507" w:rsidRDefault="00AB6330" w:rsidP="000F3507">
      <w:pPr>
        <w:jc w:val="center"/>
        <w:rPr>
          <w:sz w:val="24"/>
          <w:szCs w:val="24"/>
        </w:rPr>
      </w:pPr>
    </w:p>
    <w:tbl>
      <w:tblPr>
        <w:tblW w:w="4220" w:type="pct"/>
        <w:jc w:val="center"/>
        <w:tblCellMar>
          <w:left w:w="30" w:type="dxa"/>
          <w:right w:w="30" w:type="dxa"/>
        </w:tblCellMar>
        <w:tblLook w:val="0000"/>
      </w:tblPr>
      <w:tblGrid>
        <w:gridCol w:w="3179"/>
        <w:gridCol w:w="1711"/>
        <w:gridCol w:w="1801"/>
        <w:gridCol w:w="1259"/>
      </w:tblGrid>
      <w:tr w:rsidR="002A2DF0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EF4FDC">
            <w:pPr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  <w:t>Revenue Source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0F3507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Tentative Budget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0F3507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Working Budget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0F3507" w:rsidP="000F3507">
            <w:pPr>
              <w:jc w:val="center"/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  <w:t>$</w:t>
            </w:r>
          </w:p>
        </w:tc>
      </w:tr>
      <w:tr w:rsidR="002A2DF0" w:rsidTr="007576BF">
        <w:trPr>
          <w:trHeight w:val="259"/>
          <w:jc w:val="center"/>
        </w:trPr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EF4FDC">
            <w:pPr>
              <w:jc w:val="right"/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D82B14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May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1</w:t>
            </w:r>
            <w:r w:rsidR="00D82B14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2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D82B14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Sep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1</w:t>
            </w:r>
            <w:r w:rsidR="00D82B14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2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0F3507" w:rsidP="000F3507">
            <w:pPr>
              <w:jc w:val="center"/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Beginning Balance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4,445,407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5,180,386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2F522B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734,979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Local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4,934,016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5,088,016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2F522B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154,000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State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9,089,276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9,089,276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2F522B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Federal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6,000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2F52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Other Receipts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52,000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800AAA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52,000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2F52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  <w:t xml:space="preserve"> Total Gen. Fund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7576BF" w:rsidRDefault="00800AAA" w:rsidP="009A50DF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18,526,699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7576BF" w:rsidRDefault="00800AAA" w:rsidP="009A50DF">
            <w:pPr>
              <w:jc w:val="right"/>
              <w:rPr>
                <w:b/>
                <w:shadow w:val="0"/>
                <w:color w:val="000000"/>
              </w:rPr>
            </w:pPr>
            <w:r>
              <w:rPr>
                <w:b/>
                <w:shadow w:val="0"/>
                <w:color w:val="000000"/>
              </w:rPr>
              <w:t>19,415,678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7576BF" w:rsidRDefault="002F522B" w:rsidP="009A50DF">
            <w:pPr>
              <w:jc w:val="right"/>
              <w:rPr>
                <w:b/>
                <w:shadow w:val="0"/>
                <w:color w:val="000000"/>
              </w:rPr>
            </w:pPr>
            <w:r>
              <w:rPr>
                <w:b/>
                <w:shadow w:val="0"/>
                <w:color w:val="000000"/>
              </w:rPr>
              <w:t>888,979</w:t>
            </w:r>
          </w:p>
        </w:tc>
      </w:tr>
    </w:tbl>
    <w:p w:rsidR="0029475D" w:rsidRDefault="0029475D">
      <w:pPr>
        <w:pStyle w:val="BodyText"/>
        <w:rPr>
          <w:rFonts w:ascii="Times New Roman" w:hAnsi="Times New Roman"/>
        </w:rPr>
      </w:pPr>
    </w:p>
    <w:p w:rsidR="00797F70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Changes in local tax revenue </w:t>
      </w:r>
      <w:r w:rsidR="009D1156" w:rsidRPr="00B62258">
        <w:rPr>
          <w:rFonts w:ascii="Times New Roman" w:hAnsi="Times New Roman"/>
        </w:rPr>
        <w:t xml:space="preserve">for </w:t>
      </w:r>
      <w:r w:rsidRPr="00B62258">
        <w:rPr>
          <w:rFonts w:ascii="Times New Roman" w:hAnsi="Times New Roman"/>
        </w:rPr>
        <w:t xml:space="preserve">were presented at the public hearing in </w:t>
      </w:r>
      <w:r w:rsidR="007576BF">
        <w:rPr>
          <w:rFonts w:ascii="Times New Roman" w:hAnsi="Times New Roman"/>
        </w:rPr>
        <w:t>August</w:t>
      </w:r>
      <w:r w:rsidRPr="00B62258">
        <w:rPr>
          <w:rFonts w:ascii="Times New Roman" w:hAnsi="Times New Roman"/>
        </w:rPr>
        <w:t>.  Local school districts are directed by KDE to be very conservative in estimating revenue from these sources.</w:t>
      </w:r>
    </w:p>
    <w:p w:rsidR="00797F70" w:rsidRDefault="00797F70">
      <w:pPr>
        <w:pStyle w:val="BodyText"/>
        <w:rPr>
          <w:rFonts w:ascii="Times New Roman" w:hAnsi="Times New Roman"/>
        </w:rPr>
      </w:pPr>
    </w:p>
    <w:p w:rsidR="0029475D" w:rsidRDefault="0029475D">
      <w:pPr>
        <w:pStyle w:val="BodyText"/>
        <w:rPr>
          <w:rFonts w:ascii="Times New Roman" w:hAnsi="Times New Roman"/>
        </w:rPr>
      </w:pPr>
    </w:p>
    <w:p w:rsidR="000022C2" w:rsidRDefault="000022C2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D82B14" w:rsidRDefault="00D82B14">
      <w:pPr>
        <w:pStyle w:val="BodyText"/>
        <w:rPr>
          <w:rFonts w:ascii="Times New Roman" w:hAnsi="Times New Roman"/>
        </w:rPr>
      </w:pP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pStyle w:val="Heading2"/>
        <w:rPr>
          <w:b/>
        </w:rPr>
      </w:pPr>
      <w:r>
        <w:rPr>
          <w:b/>
        </w:rPr>
        <w:lastRenderedPageBreak/>
        <w:t xml:space="preserve">Table </w:t>
      </w:r>
      <w:r w:rsidR="00800AAA">
        <w:rPr>
          <w:b/>
        </w:rPr>
        <w:t>D</w:t>
      </w: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Expense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797F70" w:rsidRDefault="00797F70">
      <w:pPr>
        <w:pStyle w:val="Footer"/>
        <w:tabs>
          <w:tab w:val="clear" w:pos="4320"/>
          <w:tab w:val="clear" w:pos="8640"/>
        </w:tabs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73"/>
        <w:gridCol w:w="2860"/>
        <w:gridCol w:w="1262"/>
        <w:gridCol w:w="1262"/>
        <w:gridCol w:w="1345"/>
        <w:gridCol w:w="1095"/>
        <w:gridCol w:w="923"/>
      </w:tblGrid>
      <w:tr w:rsidR="00797F7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CODE</w:t>
            </w:r>
          </w:p>
        </w:tc>
        <w:tc>
          <w:tcPr>
            <w:tcW w:w="1518" w:type="pct"/>
            <w:tcBorders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FUNCTION DESCRIPTION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Prior Year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Last Year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Current Year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$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%</w:t>
            </w:r>
          </w:p>
        </w:tc>
      </w:tr>
      <w:tr w:rsidR="00797F70" w:rsidTr="007576BF">
        <w:trPr>
          <w:trHeight w:val="245"/>
        </w:trPr>
        <w:tc>
          <w:tcPr>
            <w:tcW w:w="1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Budget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7B" w:rsidRPr="008B317B" w:rsidRDefault="008B317B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Change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7576BF">
        <w:trPr>
          <w:trHeight w:val="288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AA28A0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2010-11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AA28A0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 - B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D / B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0100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SALARIES PERSONNEL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10,159,213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$10,929,371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$11,509,844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$580,473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5.3%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79.5%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76" w:rsidRPr="007576BF" w:rsidRDefault="00EF0E76" w:rsidP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78.5%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77.7%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0200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EMPLOYEE BENEFITS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663,467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$746,129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$802,328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6B76A5" w:rsidRDefault="00EF0E7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$56,198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7.5%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5.2%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5.4%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5.4%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0300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PURCHASED PROF &amp; TECH SER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147,390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$186,537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$191,019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6B76A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$4,482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2.4%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1.2%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1.3%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1.3%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0400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PURCHASED PROPERTY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295,431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F2649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$307,660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F2649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$319,275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F2649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$11,615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3.8%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2.3</w:t>
            </w:r>
            <w:r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2.2%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2.2%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0500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OTHER PURCHASED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161,765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A215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$280,362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A215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$252,217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A215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($28,145)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-10.0%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1.3%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2.0%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1.7%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0600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SUPPLIES &amp; MATERIALS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$1,</w:t>
            </w:r>
            <w:r>
              <w:rPr>
                <w:shadow w:val="0"/>
              </w:rPr>
              <w:t>126,361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A215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$1,109,075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A215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$1,434,912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A215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$325,838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29.4%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8.8</w:t>
            </w:r>
            <w:r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8.0%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9.7%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0700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PROPERTY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118,089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$266,524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$118,200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EF2848" w:rsidRDefault="00EF0E7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($148,324)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-55.7%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0.9</w:t>
            </w:r>
            <w:r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1.9%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0.8%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0800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MISCELLANEOUS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64,798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$74,175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$130,070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$55,895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75.4%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 w:rsidRPr="007576BF">
              <w:rPr>
                <w:i/>
                <w:shadow w:val="0"/>
                <w:sz w:val="18"/>
                <w:szCs w:val="18"/>
              </w:rPr>
              <w:t>0.</w:t>
            </w:r>
            <w:r>
              <w:rPr>
                <w:i/>
                <w:shadow w:val="0"/>
                <w:sz w:val="18"/>
                <w:szCs w:val="18"/>
              </w:rPr>
              <w:t>5</w:t>
            </w:r>
            <w:r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0.5%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0.9%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0900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OTHER USES OF FUNDS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50,252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$25,267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$50,000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0E76">
            <w:pPr>
              <w:jc w:val="center"/>
              <w:rPr>
                <w:shadow w:val="0"/>
              </w:rPr>
            </w:pPr>
            <w:r>
              <w:rPr>
                <w:shadow w:val="0"/>
              </w:rPr>
              <w:t xml:space="preserve">    </w:t>
            </w:r>
            <w:r w:rsidR="008E72E4">
              <w:rPr>
                <w:shadow w:val="0"/>
              </w:rPr>
              <w:t xml:space="preserve">  </w:t>
            </w:r>
            <w:r>
              <w:rPr>
                <w:shadow w:val="0"/>
              </w:rPr>
              <w:t>$24,733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060562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97.9%</w:t>
            </w:r>
          </w:p>
        </w:tc>
      </w:tr>
      <w:tr w:rsidR="00AA28A0" w:rsidTr="007576BF">
        <w:trPr>
          <w:trHeight w:val="25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 w:rsidRPr="007576BF">
              <w:rPr>
                <w:i/>
                <w:shadow w:val="0"/>
                <w:sz w:val="18"/>
                <w:szCs w:val="18"/>
              </w:rPr>
              <w:t>0.4%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0.2%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0.3%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8A0" w:rsidRDefault="00AA28A0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Subtotal for General Fund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AA28A0" w:rsidP="00D06734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12,786,762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EF0E76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$13,925,099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EF0E76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$14,807,862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EF0E76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$882,766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060562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6.3%</w:t>
            </w:r>
          </w:p>
        </w:tc>
      </w:tr>
      <w:tr w:rsidR="00AA28A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0840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autoSpaceDE w:val="0"/>
              <w:autoSpaceDN w:val="0"/>
              <w:adjustRightInd w:val="0"/>
              <w:rPr>
                <w:rFonts w:ascii="Times New Roman" w:hAnsi="Times New Roman"/>
                <w:shadow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color w:val="000000"/>
                <w:sz w:val="18"/>
              </w:rPr>
              <w:t>CONTINGENCY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 xml:space="preserve">$0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jc w:val="right"/>
              <w:rPr>
                <w:shadow w:val="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$4,607,813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EF2848">
            <w:pPr>
              <w:jc w:val="right"/>
              <w:rPr>
                <w:shadow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jc w:val="right"/>
              <w:rPr>
                <w:shadow w:val="0"/>
              </w:rPr>
            </w:pPr>
          </w:p>
        </w:tc>
      </w:tr>
      <w:tr w:rsidR="00AA28A0" w:rsidTr="007576BF">
        <w:trPr>
          <w:trHeight w:val="25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jc w:val="right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A0" w:rsidRDefault="00AA28A0">
            <w:pPr>
              <w:autoSpaceDE w:val="0"/>
              <w:autoSpaceDN w:val="0"/>
              <w:adjustRightInd w:val="0"/>
              <w:rPr>
                <w:rFonts w:ascii="Times New Roman" w:hAnsi="Times New Roman"/>
                <w:shadow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 w:rsidRPr="007576BF">
              <w:rPr>
                <w:i/>
                <w:shadow w:val="0"/>
                <w:sz w:val="18"/>
                <w:szCs w:val="18"/>
              </w:rPr>
              <w:t>0.0%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jc w:val="right"/>
              <w:rPr>
                <w:i/>
                <w:shadow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31.1%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A0" w:rsidRPr="007576BF" w:rsidRDefault="00AA28A0">
            <w:pPr>
              <w:rPr>
                <w:shadow w:val="0"/>
              </w:rPr>
            </w:pPr>
          </w:p>
        </w:tc>
      </w:tr>
      <w:tr w:rsidR="00AA28A0" w:rsidTr="007576BF">
        <w:trPr>
          <w:trHeight w:val="2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8A0" w:rsidRDefault="00AA28A0">
            <w:pPr>
              <w:jc w:val="right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8A0" w:rsidRDefault="00AA28A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Total for General Fund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AA28A0" w:rsidP="00D06734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12,786,765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EF0E76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$13,925,099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EF0E76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$19,415,678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AA28A0" w:rsidP="00EF2848">
            <w:pPr>
              <w:jc w:val="right"/>
              <w:rPr>
                <w:b/>
                <w:shadow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A28A0" w:rsidRPr="007576BF" w:rsidRDefault="00AA28A0">
            <w:pPr>
              <w:jc w:val="right"/>
              <w:rPr>
                <w:b/>
                <w:shadow w:val="0"/>
              </w:rPr>
            </w:pP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Columns A</w:t>
      </w:r>
      <w:r w:rsidR="003C3297" w:rsidRPr="008B317B">
        <w:rPr>
          <w:rFonts w:ascii="Times New Roman" w:hAnsi="Times New Roman"/>
          <w:i/>
          <w:iCs/>
          <w:sz w:val="18"/>
          <w:szCs w:val="18"/>
        </w:rPr>
        <w:t>, B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and</w:t>
      </w:r>
      <w:r w:rsidR="003C3297" w:rsidRPr="008B317B">
        <w:rPr>
          <w:rFonts w:ascii="Times New Roman" w:hAnsi="Times New Roman"/>
          <w:i/>
          <w:iCs/>
          <w:sz w:val="18"/>
          <w:szCs w:val="18"/>
        </w:rPr>
        <w:t xml:space="preserve"> 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E77C05" w:rsidRPr="00B64ED1" w:rsidRDefault="00B64ED1" w:rsidP="00B64ED1">
      <w:pPr>
        <w:rPr>
          <w:color w:val="000000"/>
          <w:sz w:val="24"/>
          <w:szCs w:val="24"/>
        </w:rPr>
      </w:pPr>
      <w:r>
        <w:rPr>
          <w:rFonts w:ascii="Times New Roman" w:hAnsi="Times New Roman"/>
          <w:shadow w:val="0"/>
          <w:sz w:val="24"/>
        </w:rPr>
        <w:br w:type="page"/>
      </w:r>
      <w:r w:rsidR="00AB6330" w:rsidRPr="00B64ED1">
        <w:rPr>
          <w:rFonts w:ascii="Times New Roman" w:hAnsi="Times New Roman"/>
          <w:shadow w:val="0"/>
          <w:sz w:val="24"/>
          <w:szCs w:val="24"/>
        </w:rPr>
        <w:lastRenderedPageBreak/>
        <w:t xml:space="preserve">Recommended expense allocations are presented in summary form in Table </w:t>
      </w:r>
      <w:r w:rsidR="00840F85">
        <w:rPr>
          <w:rFonts w:ascii="Times New Roman" w:hAnsi="Times New Roman"/>
          <w:shadow w:val="0"/>
          <w:sz w:val="24"/>
          <w:szCs w:val="24"/>
        </w:rPr>
        <w:t>D</w:t>
      </w:r>
      <w:r w:rsidR="00AB6330" w:rsidRPr="00B64ED1">
        <w:rPr>
          <w:rFonts w:ascii="Times New Roman" w:hAnsi="Times New Roman"/>
          <w:shadow w:val="0"/>
          <w:sz w:val="24"/>
          <w:szCs w:val="24"/>
        </w:rPr>
        <w:t xml:space="preserve"> (see page 3).  </w:t>
      </w:r>
      <w:r w:rsidR="00E77C05" w:rsidRPr="00840F85">
        <w:rPr>
          <w:bCs/>
          <w:color w:val="000000"/>
          <w:sz w:val="24"/>
          <w:szCs w:val="24"/>
        </w:rPr>
        <w:t xml:space="preserve">It is important to note that approximately </w:t>
      </w:r>
      <w:r w:rsidR="001152C6" w:rsidRPr="00840F85">
        <w:rPr>
          <w:bCs/>
          <w:color w:val="000000"/>
          <w:sz w:val="24"/>
          <w:szCs w:val="24"/>
        </w:rPr>
        <w:t>83</w:t>
      </w:r>
      <w:r w:rsidR="00E77C05" w:rsidRPr="00840F85">
        <w:rPr>
          <w:bCs/>
          <w:color w:val="000000"/>
          <w:sz w:val="24"/>
          <w:szCs w:val="24"/>
        </w:rPr>
        <w:t>% of the General Fund is dedicated to personnel expense</w:t>
      </w:r>
      <w:r w:rsidR="00E77C05" w:rsidRPr="00B64ED1">
        <w:rPr>
          <w:b/>
          <w:bCs/>
          <w:color w:val="000000"/>
          <w:sz w:val="24"/>
          <w:szCs w:val="24"/>
        </w:rPr>
        <w:t xml:space="preserve">. </w:t>
      </w:r>
      <w:r w:rsidR="00E77C05" w:rsidRPr="00B64ED1">
        <w:rPr>
          <w:color w:val="000000"/>
          <w:sz w:val="24"/>
          <w:szCs w:val="24"/>
        </w:rPr>
        <w:t xml:space="preserve"> Table </w:t>
      </w:r>
      <w:r w:rsidR="00840F85">
        <w:rPr>
          <w:color w:val="000000"/>
          <w:sz w:val="24"/>
          <w:szCs w:val="24"/>
        </w:rPr>
        <w:t>E</w:t>
      </w:r>
      <w:r w:rsidR="00E77C05" w:rsidRPr="00B64ED1">
        <w:rPr>
          <w:color w:val="000000"/>
          <w:sz w:val="24"/>
          <w:szCs w:val="24"/>
        </w:rPr>
        <w:t xml:space="preserve"> presents a summary of actual personnel and benefit costs as a portion of the General Fund, excluding accumulated sick leave, for the last two years compared to </w:t>
      </w:r>
      <w:r w:rsidR="00840F85">
        <w:rPr>
          <w:color w:val="000000"/>
          <w:sz w:val="24"/>
          <w:szCs w:val="24"/>
        </w:rPr>
        <w:t>2012-13</w:t>
      </w:r>
      <w:r w:rsidR="00E77C05" w:rsidRPr="00B64ED1">
        <w:rPr>
          <w:color w:val="000000"/>
          <w:sz w:val="24"/>
          <w:szCs w:val="24"/>
        </w:rPr>
        <w:t xml:space="preserve"> budgeted costs. </w:t>
      </w:r>
      <w:r w:rsidR="004962B4">
        <w:rPr>
          <w:color w:val="000000"/>
          <w:sz w:val="24"/>
          <w:szCs w:val="24"/>
        </w:rPr>
        <w:t xml:space="preserve"> The increase in salaries includes </w:t>
      </w:r>
      <w:r w:rsidR="00840F85">
        <w:rPr>
          <w:color w:val="000000"/>
          <w:sz w:val="24"/>
          <w:szCs w:val="24"/>
        </w:rPr>
        <w:t>experience step</w:t>
      </w:r>
      <w:r w:rsidR="004962B4">
        <w:rPr>
          <w:color w:val="000000"/>
          <w:sz w:val="24"/>
          <w:szCs w:val="24"/>
        </w:rPr>
        <w:t xml:space="preserve"> </w:t>
      </w:r>
      <w:r w:rsidR="00840F85">
        <w:rPr>
          <w:color w:val="000000"/>
          <w:sz w:val="24"/>
          <w:szCs w:val="24"/>
        </w:rPr>
        <w:t>to all staff</w:t>
      </w:r>
      <w:r w:rsidR="004962B4">
        <w:rPr>
          <w:color w:val="000000"/>
          <w:sz w:val="24"/>
          <w:szCs w:val="24"/>
        </w:rPr>
        <w:t xml:space="preserve">, as well as </w:t>
      </w:r>
      <w:r w:rsidR="00840F85">
        <w:rPr>
          <w:color w:val="000000"/>
          <w:sz w:val="24"/>
          <w:szCs w:val="24"/>
        </w:rPr>
        <w:t xml:space="preserve">staff funded thru the Federal EduJobs </w:t>
      </w:r>
      <w:r w:rsidR="004962B4">
        <w:rPr>
          <w:color w:val="000000"/>
          <w:sz w:val="24"/>
          <w:szCs w:val="24"/>
        </w:rPr>
        <w:t xml:space="preserve">funds </w:t>
      </w:r>
      <w:r w:rsidR="00840F85">
        <w:rPr>
          <w:color w:val="000000"/>
          <w:sz w:val="24"/>
          <w:szCs w:val="24"/>
        </w:rPr>
        <w:t>are</w:t>
      </w:r>
      <w:r w:rsidR="004962B4">
        <w:rPr>
          <w:color w:val="000000"/>
          <w:sz w:val="24"/>
          <w:szCs w:val="24"/>
        </w:rPr>
        <w:t xml:space="preserve"> accounted for in the General Fund </w:t>
      </w:r>
      <w:r w:rsidR="00840F85">
        <w:rPr>
          <w:color w:val="000000"/>
          <w:sz w:val="24"/>
          <w:szCs w:val="24"/>
        </w:rPr>
        <w:t>for 2012-13.</w:t>
      </w:r>
    </w:p>
    <w:p w:rsidR="00E77C05" w:rsidRPr="00B62258" w:rsidRDefault="00E77C05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 w:rsidRPr="00B62258">
        <w:rPr>
          <w:rFonts w:ascii="Times New Roman" w:hAnsi="Times New Roman"/>
          <w:shadow w:val="0"/>
          <w:sz w:val="24"/>
        </w:rPr>
        <w:t xml:space="preserve">The </w:t>
      </w:r>
      <w:r w:rsidR="00111BF8" w:rsidRPr="00B62258">
        <w:rPr>
          <w:rFonts w:ascii="Times New Roman" w:hAnsi="Times New Roman"/>
          <w:shadow w:val="0"/>
          <w:sz w:val="24"/>
        </w:rPr>
        <w:t>Working B</w:t>
      </w:r>
      <w:r w:rsidRPr="00B62258">
        <w:rPr>
          <w:rFonts w:ascii="Times New Roman" w:hAnsi="Times New Roman"/>
          <w:shadow w:val="0"/>
          <w:sz w:val="24"/>
        </w:rPr>
        <w:t xml:space="preserve">udget </w:t>
      </w:r>
      <w:r w:rsidR="0076479D" w:rsidRPr="00B62258">
        <w:rPr>
          <w:rFonts w:ascii="Times New Roman" w:hAnsi="Times New Roman"/>
          <w:shadow w:val="0"/>
          <w:sz w:val="24"/>
          <w:szCs w:val="24"/>
        </w:rPr>
        <w:t xml:space="preserve">provides </w:t>
      </w:r>
      <w:r w:rsidR="001152C6" w:rsidRPr="00B62258">
        <w:rPr>
          <w:rFonts w:ascii="Times New Roman" w:hAnsi="Times New Roman"/>
          <w:sz w:val="24"/>
          <w:szCs w:val="24"/>
        </w:rPr>
        <w:t xml:space="preserve">a set aside of $100,000 </w:t>
      </w:r>
      <w:r w:rsidRPr="00B62258">
        <w:rPr>
          <w:rFonts w:ascii="Times New Roman" w:hAnsi="Times New Roman"/>
          <w:shadow w:val="0"/>
          <w:sz w:val="24"/>
        </w:rPr>
        <w:t>to pay accumulated benefits at the time of retirement for all eligible staff members.  It is very unlikely that all eligible staff members will choose</w:t>
      </w:r>
      <w:r>
        <w:rPr>
          <w:rFonts w:ascii="Times New Roman" w:hAnsi="Times New Roman"/>
          <w:shadow w:val="0"/>
          <w:sz w:val="24"/>
        </w:rPr>
        <w:t xml:space="preserve"> to retire at the same time.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E77C05" w:rsidRDefault="00E77C05" w:rsidP="00E77C05">
      <w:pPr>
        <w:pStyle w:val="Heading1"/>
        <w:jc w:val="center"/>
        <w:rPr>
          <w:b/>
        </w:rPr>
      </w:pPr>
      <w:r>
        <w:rPr>
          <w:b/>
        </w:rPr>
        <w:t xml:space="preserve">Table </w:t>
      </w:r>
      <w:r w:rsidR="00A94B4C">
        <w:rPr>
          <w:b/>
        </w:rPr>
        <w:t>E</w:t>
      </w:r>
    </w:p>
    <w:p w:rsidR="00E77C05" w:rsidRDefault="00E77C05" w:rsidP="00E77C05">
      <w:pPr>
        <w:pStyle w:val="Heading5"/>
        <w:rPr>
          <w:sz w:val="24"/>
          <w:szCs w:val="24"/>
        </w:rPr>
      </w:pPr>
      <w:r w:rsidRPr="00E52342">
        <w:rPr>
          <w:sz w:val="24"/>
          <w:szCs w:val="24"/>
        </w:rPr>
        <w:t xml:space="preserve">Summary of Projected Personnel Expense </w:t>
      </w:r>
      <w:proofErr w:type="gramStart"/>
      <w:r w:rsidR="00247143">
        <w:rPr>
          <w:sz w:val="24"/>
          <w:szCs w:val="24"/>
        </w:rPr>
        <w:t>–</w:t>
      </w:r>
      <w:r w:rsidRPr="00E52342">
        <w:rPr>
          <w:sz w:val="24"/>
          <w:szCs w:val="24"/>
        </w:rPr>
        <w:t xml:space="preserve">  </w:t>
      </w:r>
      <w:r>
        <w:rPr>
          <w:sz w:val="24"/>
          <w:szCs w:val="24"/>
        </w:rPr>
        <w:t>Working</w:t>
      </w:r>
      <w:proofErr w:type="gramEnd"/>
      <w:r w:rsidRPr="00E52342">
        <w:rPr>
          <w:sz w:val="24"/>
          <w:szCs w:val="24"/>
        </w:rPr>
        <w:t xml:space="preserve"> Budget</w:t>
      </w:r>
    </w:p>
    <w:p w:rsidR="00E1229F" w:rsidRPr="00E1229F" w:rsidRDefault="00E1229F" w:rsidP="00E1229F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457"/>
        <w:gridCol w:w="1449"/>
        <w:gridCol w:w="1302"/>
        <w:gridCol w:w="1404"/>
        <w:gridCol w:w="1404"/>
        <w:gridCol w:w="1202"/>
        <w:gridCol w:w="1202"/>
      </w:tblGrid>
      <w:tr w:rsidR="00E77C05" w:rsidTr="00CA1B6C">
        <w:trPr>
          <w:trHeight w:val="25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</w:tcPr>
          <w:p w:rsidR="00E77C05" w:rsidRPr="00CA1B6C" w:rsidRDefault="00E77C05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</w:tcPr>
          <w:p w:rsidR="00E77C05" w:rsidRPr="00CA1B6C" w:rsidRDefault="00E77C05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6" w:space="0" w:color="auto"/>
            </w:tcBorders>
          </w:tcPr>
          <w:p w:rsidR="00E77C05" w:rsidRPr="00D01921" w:rsidRDefault="00E77C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$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4" w:space="0" w:color="auto"/>
            </w:tcBorders>
          </w:tcPr>
          <w:p w:rsidR="00E77C05" w:rsidRPr="00D01921" w:rsidRDefault="00E77C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7576BF" w:rsidTr="0065662D">
        <w:trPr>
          <w:trHeight w:val="264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</w:tcPr>
          <w:p w:rsidR="007576BF" w:rsidRPr="00CA1B6C" w:rsidRDefault="007576BF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4" w:space="0" w:color="auto"/>
              <w:right w:val="single" w:sz="4" w:space="0" w:color="auto"/>
            </w:tcBorders>
          </w:tcPr>
          <w:p w:rsidR="007576BF" w:rsidRPr="00CA1B6C" w:rsidRDefault="007576BF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4F2E0B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2010-11</w:t>
            </w:r>
          </w:p>
        </w:tc>
        <w:tc>
          <w:tcPr>
            <w:tcW w:w="7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4F2E0B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7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7576BF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6BF" w:rsidRPr="00D01921" w:rsidRDefault="007576BF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Change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38" w:type="pct"/>
            <w:tcBorders>
              <w:bottom w:val="single" w:sz="4" w:space="0" w:color="auto"/>
              <w:right w:val="single" w:sz="4" w:space="0" w:color="auto"/>
            </w:tcBorders>
          </w:tcPr>
          <w:p w:rsidR="007576BF" w:rsidRPr="00D01921" w:rsidRDefault="007576BF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Change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**</w:t>
            </w: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Salaries GF Personnel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10,159,213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10,929,371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11,509,844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580,473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5.3%</w:t>
            </w: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79.5</w:t>
            </w:r>
            <w:r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78.5%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F87FEE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77.7%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Benefits </w:t>
            </w: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excl. accum. sk. Lv. (*)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 w:rsidP="00D06734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663,467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666E2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746,129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802,328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56,198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7.5%</w:t>
            </w:r>
          </w:p>
        </w:tc>
      </w:tr>
      <w:tr w:rsidR="004F2E0B" w:rsidTr="0065662D">
        <w:trPr>
          <w:trHeight w:val="264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 w:rsidRPr="007576BF">
              <w:rPr>
                <w:i/>
                <w:shadow w:val="0"/>
                <w:sz w:val="18"/>
                <w:szCs w:val="18"/>
              </w:rPr>
              <w:t>4.4%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5.4%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666E2A" w:rsidP="008F74DB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5.4%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Total Salaries &amp; Benefits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4F2E0B" w:rsidP="00D06734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10,822,680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666E2A" w:rsidP="00F87FE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11,675,500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666E2A" w:rsidP="00F87FE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12,312,172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0958D2" w:rsidP="00F87FE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636,672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0958D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5.4%</w:t>
            </w:r>
          </w:p>
        </w:tc>
      </w:tr>
      <w:tr w:rsidR="004F2E0B" w:rsidTr="0065662D">
        <w:trPr>
          <w:trHeight w:val="264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E0B" w:rsidRPr="007576BF" w:rsidRDefault="004F2E0B" w:rsidP="00111BF8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576BF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666E2A" w:rsidP="00666E2A">
            <w:pPr>
              <w:jc w:val="right"/>
              <w:rPr>
                <w:b/>
                <w:i/>
                <w:shadow w:val="0"/>
                <w:sz w:val="18"/>
                <w:szCs w:val="18"/>
              </w:rPr>
            </w:pPr>
            <w:r>
              <w:rPr>
                <w:b/>
                <w:i/>
                <w:shadow w:val="0"/>
                <w:sz w:val="18"/>
                <w:szCs w:val="18"/>
              </w:rPr>
              <w:t>83.9</w:t>
            </w:r>
            <w:r w:rsidR="004F2E0B" w:rsidRPr="007576BF">
              <w:rPr>
                <w:b/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666E2A">
            <w:pPr>
              <w:jc w:val="right"/>
              <w:rPr>
                <w:b/>
                <w:i/>
                <w:shadow w:val="0"/>
                <w:sz w:val="18"/>
                <w:szCs w:val="18"/>
              </w:rPr>
            </w:pPr>
            <w:r>
              <w:rPr>
                <w:b/>
                <w:i/>
                <w:shadow w:val="0"/>
                <w:sz w:val="18"/>
                <w:szCs w:val="18"/>
              </w:rPr>
              <w:t>83.9%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666E2A" w:rsidP="00F87FEE">
            <w:pPr>
              <w:jc w:val="right"/>
              <w:rPr>
                <w:b/>
                <w:i/>
                <w:shadow w:val="0"/>
                <w:sz w:val="18"/>
                <w:szCs w:val="18"/>
              </w:rPr>
            </w:pPr>
            <w:r>
              <w:rPr>
                <w:b/>
                <w:i/>
                <w:shadow w:val="0"/>
                <w:sz w:val="18"/>
                <w:szCs w:val="18"/>
              </w:rPr>
              <w:t>83.1%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4F2E0B">
            <w:pPr>
              <w:rPr>
                <w:b/>
                <w:shadow w:val="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4F2E0B">
            <w:pPr>
              <w:rPr>
                <w:b/>
                <w:shadow w:val="0"/>
              </w:rPr>
            </w:pPr>
          </w:p>
        </w:tc>
      </w:tr>
    </w:tbl>
    <w:p w:rsidR="00E77C05" w:rsidRDefault="00E77C05" w:rsidP="00E77C05">
      <w:pPr>
        <w:rPr>
          <w:bCs/>
          <w:i/>
          <w:iCs/>
          <w:sz w:val="18"/>
          <w:szCs w:val="18"/>
        </w:rPr>
      </w:pPr>
      <w:r w:rsidRPr="008B317B">
        <w:rPr>
          <w:bCs/>
          <w:i/>
          <w:iCs/>
          <w:sz w:val="18"/>
          <w:szCs w:val="18"/>
        </w:rPr>
        <w:t>*Excludes state payments on-behalf of the school district, which are unbudgeted as per state instructions.</w:t>
      </w:r>
    </w:p>
    <w:p w:rsidR="00D5271D" w:rsidRPr="008B317B" w:rsidRDefault="00D5271D" w:rsidP="00E77C05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**Reflects movement of General Fund personnel costs to Fund 2 SFSF Grant.</w:t>
      </w:r>
    </w:p>
    <w:p w:rsidR="00E77C05" w:rsidRDefault="00E77C05">
      <w:pPr>
        <w:rPr>
          <w:rFonts w:ascii="Times New Roman" w:hAnsi="Times New Roman"/>
          <w:shadow w:val="0"/>
          <w:sz w:val="24"/>
        </w:rPr>
      </w:pPr>
    </w:p>
    <w:p w:rsidR="008A5191" w:rsidRPr="007576BF" w:rsidRDefault="00CE3905" w:rsidP="00AB6330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>Proposed expenses are detailed in the attached Working Budget.</w:t>
      </w:r>
      <w:r w:rsidR="008E2BDE" w:rsidRPr="007576BF">
        <w:rPr>
          <w:rFonts w:ascii="Times New Roman" w:hAnsi="Times New Roman"/>
        </w:rPr>
        <w:t xml:space="preserve">  </w:t>
      </w:r>
      <w:r w:rsidR="00AB6330" w:rsidRPr="007576BF">
        <w:rPr>
          <w:rFonts w:ascii="Times New Roman" w:hAnsi="Times New Roman"/>
        </w:rPr>
        <w:t xml:space="preserve">Table </w:t>
      </w:r>
      <w:r w:rsidR="009827B8">
        <w:rPr>
          <w:rFonts w:ascii="Times New Roman" w:hAnsi="Times New Roman"/>
        </w:rPr>
        <w:t>F</w:t>
      </w:r>
      <w:r w:rsidR="00AB6330" w:rsidRPr="007576BF">
        <w:rPr>
          <w:rFonts w:ascii="Times New Roman" w:hAnsi="Times New Roman"/>
        </w:rPr>
        <w:t xml:space="preserve"> (see page 5) provides an overview of all proposed General Fund expenses and changes made since the </w:t>
      </w:r>
    </w:p>
    <w:p w:rsidR="00B64ED1" w:rsidRDefault="00AB6330" w:rsidP="00B64ED1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>May 20</w:t>
      </w:r>
      <w:r w:rsidR="007576BF" w:rsidRPr="007576BF">
        <w:rPr>
          <w:rFonts w:ascii="Times New Roman" w:hAnsi="Times New Roman"/>
        </w:rPr>
        <w:t>1</w:t>
      </w:r>
      <w:r w:rsidR="009827B8">
        <w:rPr>
          <w:rFonts w:ascii="Times New Roman" w:hAnsi="Times New Roman"/>
        </w:rPr>
        <w:t>2</w:t>
      </w:r>
      <w:r w:rsidR="00C70DC5">
        <w:rPr>
          <w:rFonts w:ascii="Times New Roman" w:hAnsi="Times New Roman"/>
        </w:rPr>
        <w:t xml:space="preserve"> </w:t>
      </w:r>
      <w:r w:rsidRPr="007576BF">
        <w:rPr>
          <w:rFonts w:ascii="Times New Roman" w:hAnsi="Times New Roman"/>
        </w:rPr>
        <w:t xml:space="preserve">review of projected expenses.  Appendix A (see page 7) contains brief descriptions of the object codes utilized in Table </w:t>
      </w:r>
      <w:r w:rsidR="009827B8">
        <w:rPr>
          <w:rFonts w:ascii="Times New Roman" w:hAnsi="Times New Roman"/>
        </w:rPr>
        <w:t>F</w:t>
      </w:r>
      <w:r w:rsidRPr="007576BF">
        <w:rPr>
          <w:rFonts w:ascii="Times New Roman" w:hAnsi="Times New Roman"/>
        </w:rPr>
        <w:t>.</w:t>
      </w:r>
      <w:r w:rsidR="00B64ED1">
        <w:rPr>
          <w:rFonts w:ascii="Times New Roman" w:hAnsi="Times New Roman"/>
        </w:rPr>
        <w:t xml:space="preserve">  </w:t>
      </w:r>
      <w:r w:rsidR="00B64ED1" w:rsidRPr="00B64ED1">
        <w:rPr>
          <w:rFonts w:ascii="Times New Roman" w:hAnsi="Times New Roman"/>
        </w:rPr>
        <w:t>Expense changes from the Tentative Budget approved in May 201</w:t>
      </w:r>
      <w:r w:rsidR="009827B8">
        <w:rPr>
          <w:rFonts w:ascii="Times New Roman" w:hAnsi="Times New Roman"/>
        </w:rPr>
        <w:t>2</w:t>
      </w:r>
      <w:r w:rsidR="00B64ED1" w:rsidRPr="00B64ED1">
        <w:rPr>
          <w:rFonts w:ascii="Times New Roman" w:hAnsi="Times New Roman"/>
        </w:rPr>
        <w:t xml:space="preserve"> were primarily in salaries and contingency.  Salaries </w:t>
      </w:r>
      <w:r w:rsidR="009827B8">
        <w:rPr>
          <w:rFonts w:ascii="Times New Roman" w:hAnsi="Times New Roman"/>
        </w:rPr>
        <w:t>increase</w:t>
      </w:r>
      <w:r w:rsidR="00B64ED1" w:rsidRPr="00B64ED1">
        <w:rPr>
          <w:rFonts w:ascii="Times New Roman" w:hAnsi="Times New Roman"/>
        </w:rPr>
        <w:t xml:space="preserve"> because of the shift </w:t>
      </w:r>
      <w:r w:rsidR="009827B8">
        <w:rPr>
          <w:rFonts w:ascii="Times New Roman" w:hAnsi="Times New Roman"/>
        </w:rPr>
        <w:t>of General fund payroll from</w:t>
      </w:r>
      <w:r w:rsidR="00C70DC5">
        <w:rPr>
          <w:rFonts w:ascii="Times New Roman" w:hAnsi="Times New Roman"/>
        </w:rPr>
        <w:t xml:space="preserve"> federal EduJobs </w:t>
      </w:r>
      <w:r w:rsidR="00B64ED1" w:rsidRPr="00B64ED1">
        <w:rPr>
          <w:rFonts w:ascii="Times New Roman" w:hAnsi="Times New Roman"/>
        </w:rPr>
        <w:t>funding</w:t>
      </w:r>
      <w:r w:rsidR="00C70DC5">
        <w:rPr>
          <w:rFonts w:ascii="Times New Roman" w:hAnsi="Times New Roman"/>
        </w:rPr>
        <w:t xml:space="preserve">. </w:t>
      </w:r>
      <w:r w:rsidR="00B64ED1" w:rsidRPr="00B64ED1">
        <w:rPr>
          <w:rFonts w:ascii="Times New Roman" w:hAnsi="Times New Roman"/>
        </w:rPr>
        <w:t xml:space="preserve"> The contingency increased because </w:t>
      </w:r>
      <w:r w:rsidR="009827B8">
        <w:rPr>
          <w:rFonts w:ascii="Times New Roman" w:hAnsi="Times New Roman"/>
        </w:rPr>
        <w:t>2011-12</w:t>
      </w:r>
      <w:r w:rsidR="00B64ED1" w:rsidRPr="00B64ED1">
        <w:rPr>
          <w:rFonts w:ascii="Times New Roman" w:hAnsi="Times New Roman"/>
        </w:rPr>
        <w:t xml:space="preserve"> revenues were above the budget projection and expenses were under budget.  Appendix A (see page 7) contains brief descriptions of the object codes utilized in </w:t>
      </w:r>
      <w:r w:rsidR="00B64ED1">
        <w:rPr>
          <w:rFonts w:ascii="Times New Roman" w:hAnsi="Times New Roman"/>
        </w:rPr>
        <w:t>t</w:t>
      </w:r>
      <w:r w:rsidR="00B64ED1" w:rsidRPr="00B64ED1">
        <w:rPr>
          <w:rFonts w:ascii="Times New Roman" w:hAnsi="Times New Roman"/>
        </w:rPr>
        <w:t xml:space="preserve">able </w:t>
      </w:r>
      <w:r w:rsidR="009827B8">
        <w:rPr>
          <w:rFonts w:ascii="Times New Roman" w:hAnsi="Times New Roman"/>
        </w:rPr>
        <w:t>F &amp; G</w:t>
      </w:r>
      <w:r w:rsidR="00B64ED1" w:rsidRPr="00B64ED1">
        <w:rPr>
          <w:rFonts w:ascii="Times New Roman" w:hAnsi="Times New Roman"/>
        </w:rPr>
        <w:t xml:space="preserve">.  </w:t>
      </w:r>
    </w:p>
    <w:p w:rsidR="00AB6330" w:rsidRDefault="00AB6330">
      <w:pPr>
        <w:pStyle w:val="BodyText"/>
        <w:rPr>
          <w:rFonts w:ascii="Times New Roman" w:hAnsi="Times New Roman"/>
        </w:rPr>
      </w:pPr>
    </w:p>
    <w:p w:rsidR="00797F70" w:rsidRDefault="00B64ED1">
      <w:pPr>
        <w:pStyle w:val="Heading1"/>
        <w:jc w:val="center"/>
        <w:rPr>
          <w:b/>
        </w:rPr>
      </w:pPr>
      <w:r>
        <w:rPr>
          <w:b/>
        </w:rPr>
        <w:br w:type="page"/>
      </w:r>
      <w:r w:rsidR="00CE3905">
        <w:rPr>
          <w:b/>
        </w:rPr>
        <w:lastRenderedPageBreak/>
        <w:t xml:space="preserve">Table </w:t>
      </w:r>
      <w:r w:rsidR="00A94B4C">
        <w:rPr>
          <w:b/>
        </w:rPr>
        <w:t>F</w:t>
      </w:r>
    </w:p>
    <w:p w:rsidR="00797F70" w:rsidRDefault="00CE3905">
      <w:pPr>
        <w:pStyle w:val="Heading1"/>
        <w:jc w:val="center"/>
        <w:rPr>
          <w:rFonts w:ascii="Times New Roman" w:hAnsi="Times New Roman"/>
          <w:b/>
          <w:shadow/>
        </w:rPr>
      </w:pPr>
      <w:r>
        <w:rPr>
          <w:rFonts w:ascii="Times New Roman" w:hAnsi="Times New Roman"/>
          <w:b/>
        </w:rPr>
        <w:t xml:space="preserve">General Fund Expense </w:t>
      </w:r>
      <w:proofErr w:type="gramStart"/>
      <w:r>
        <w:rPr>
          <w:rFonts w:ascii="Times New Roman" w:hAnsi="Times New Roman"/>
          <w:b/>
        </w:rPr>
        <w:t>–  Tentative</w:t>
      </w:r>
      <w:proofErr w:type="gramEnd"/>
      <w:r>
        <w:rPr>
          <w:rFonts w:ascii="Times New Roman" w:hAnsi="Times New Roman"/>
          <w:b/>
        </w:rPr>
        <w:t xml:space="preserve"> to Working Budget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tbl>
      <w:tblPr>
        <w:tblW w:w="5000" w:type="pct"/>
        <w:tblLook w:val="0000"/>
      </w:tblPr>
      <w:tblGrid>
        <w:gridCol w:w="1090"/>
        <w:gridCol w:w="3512"/>
        <w:gridCol w:w="1875"/>
        <w:gridCol w:w="1712"/>
        <w:gridCol w:w="1387"/>
      </w:tblGrid>
      <w:tr w:rsidR="00797F70" w:rsidTr="00D01921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FUNCTION DESCRIPTION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Tentative Budget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Working Budget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8B317B" w:rsidP="008B317B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$</w:t>
            </w:r>
          </w:p>
        </w:tc>
      </w:tr>
      <w:tr w:rsidR="00797F70" w:rsidTr="00D01921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797F70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 w:rsidP="004F2E0B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May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1</w:t>
            </w:r>
            <w:r w:rsidR="004F2E0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 w:rsidP="004F2E0B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Sep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1</w:t>
            </w:r>
            <w:r w:rsidR="004F2E0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7B" w:rsidRPr="008B317B" w:rsidRDefault="008B317B" w:rsidP="008B317B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Change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SALARIES PERSONNEL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11,445,792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11,509,844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575" w:rsidRPr="007576BF" w:rsidRDefault="00410575" w:rsidP="0041057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64,052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77.7%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77.7%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EMPLOYEE BENEFITS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807,373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802,328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(5,045)</w:t>
            </w:r>
          </w:p>
        </w:tc>
      </w:tr>
      <w:tr w:rsidR="007576BF" w:rsidTr="001407D0">
        <w:trPr>
          <w:trHeight w:val="33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5.5%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5.4%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PURCHASED PROF &amp; TECH SER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189,519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191,019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1,500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1.3%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1.3%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PURCHASED PROPERTY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311,275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319,275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8,000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2.1%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2.2%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OTHER PURCHASED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257,217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252,217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(5,000)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1.7%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1.7%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SUPPLIES &amp; MATERIALS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1,429,576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1,434,912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1407D0" w:rsidRDefault="0041057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5,336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9.7%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9.7%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PROPERTY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118,200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118,200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0.8%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.08%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130,070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130,070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0.9%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0.9%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OTHER USES OF FUNDS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50,000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50,000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65662D">
        <w:trPr>
          <w:trHeight w:val="2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0.3%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0.3%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Subtotal for General Fund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b/>
                <w:shadow w:val="0"/>
                <w:color w:val="800080"/>
              </w:rPr>
            </w:pPr>
            <w:r>
              <w:rPr>
                <w:b/>
                <w:shadow w:val="0"/>
                <w:color w:val="800080"/>
              </w:rPr>
              <w:t>14,739,022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14,807,865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576BF" w:rsidRPr="007576BF" w:rsidRDefault="00410575" w:rsidP="001407D0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68,843</w:t>
            </w:r>
          </w:p>
        </w:tc>
      </w:tr>
      <w:tr w:rsidR="007576BF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3,787,678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4,607,813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76BF" w:rsidRPr="007576BF" w:rsidRDefault="00410575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820,135</w:t>
            </w:r>
          </w:p>
        </w:tc>
      </w:tr>
      <w:tr w:rsidR="007576BF" w:rsidTr="0065662D">
        <w:trPr>
          <w:trHeight w:val="2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25.7%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8B5E3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31.1%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6BF" w:rsidRPr="007576BF" w:rsidRDefault="007576BF">
            <w:pPr>
              <w:rPr>
                <w:rFonts w:ascii="Arial" w:hAnsi="Arial" w:cs="Arial"/>
                <w:shadow w:val="0"/>
              </w:rPr>
            </w:pPr>
          </w:p>
        </w:tc>
      </w:tr>
      <w:tr w:rsidR="007576BF" w:rsidTr="0065662D">
        <w:trPr>
          <w:trHeight w:val="2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76BF" w:rsidRPr="008B317B" w:rsidRDefault="007576BF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Total for General Fund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b/>
                <w:shadow w:val="0"/>
                <w:color w:val="800080"/>
              </w:rPr>
            </w:pPr>
            <w:r>
              <w:rPr>
                <w:b/>
                <w:shadow w:val="0"/>
                <w:color w:val="800080"/>
              </w:rPr>
              <w:t>18,526,700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576BF" w:rsidRPr="007576BF" w:rsidRDefault="008B5E38" w:rsidP="001407D0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19,415,678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576BF" w:rsidRPr="007576BF" w:rsidRDefault="00C9470F" w:rsidP="001407D0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888,978</w:t>
            </w:r>
          </w:p>
        </w:tc>
      </w:tr>
    </w:tbl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AE02AF" w:rsidRPr="00B62258" w:rsidRDefault="00AE02AF" w:rsidP="00AE02AF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>KDE defines “total budget” as the budgeted expenditures in the General, Special Revenue, Capital Outlay, Building</w:t>
      </w:r>
      <w:r w:rsidR="007B6BF0" w:rsidRPr="00B62258">
        <w:rPr>
          <w:rFonts w:ascii="Times New Roman" w:hAnsi="Times New Roman"/>
        </w:rPr>
        <w:t>,</w:t>
      </w:r>
      <w:r w:rsidRPr="00B62258">
        <w:rPr>
          <w:rFonts w:ascii="Times New Roman" w:hAnsi="Times New Roman"/>
        </w:rPr>
        <w:t xml:space="preserve"> and Food Service Fund</w:t>
      </w:r>
      <w:r w:rsidR="00421485" w:rsidRPr="00B62258">
        <w:rPr>
          <w:rFonts w:ascii="Times New Roman" w:hAnsi="Times New Roman"/>
        </w:rPr>
        <w:t>s</w:t>
      </w:r>
      <w:r w:rsidRPr="00B62258">
        <w:rPr>
          <w:rFonts w:ascii="Times New Roman" w:hAnsi="Times New Roman"/>
        </w:rPr>
        <w:t xml:space="preserve"> excluding the Contingency.  The budgeted reserve (Contingency) in the Working Budget has been determined accordingly.</w:t>
      </w:r>
    </w:p>
    <w:p w:rsidR="00AE02AF" w:rsidRPr="00B62258" w:rsidRDefault="00AE02AF">
      <w:pPr>
        <w:pStyle w:val="BodyText"/>
        <w:rPr>
          <w:rFonts w:ascii="Times New Roman" w:hAnsi="Times New Roman"/>
        </w:rPr>
      </w:pPr>
    </w:p>
    <w:p w:rsidR="00797F7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The minimum reserve or </w:t>
      </w:r>
      <w:r w:rsidR="00421485" w:rsidRPr="00B62258">
        <w:rPr>
          <w:rFonts w:ascii="Times New Roman" w:hAnsi="Times New Roman"/>
        </w:rPr>
        <w:t>C</w:t>
      </w:r>
      <w:r w:rsidRPr="00B62258">
        <w:rPr>
          <w:rFonts w:ascii="Times New Roman" w:hAnsi="Times New Roman"/>
        </w:rPr>
        <w:t>ontingency required is 2% of the total Working Budget ($</w:t>
      </w:r>
      <w:r w:rsidR="00B415B5">
        <w:rPr>
          <w:rFonts w:ascii="Times New Roman" w:hAnsi="Times New Roman"/>
        </w:rPr>
        <w:t>456,293</w:t>
      </w:r>
      <w:r w:rsidRPr="00B62258">
        <w:rPr>
          <w:rFonts w:ascii="Times New Roman" w:hAnsi="Times New Roman"/>
        </w:rPr>
        <w:t xml:space="preserve">).  KDE encourages local districts to consider inclusion of </w:t>
      </w:r>
      <w:r w:rsidR="00FB0F8F" w:rsidRPr="00B62258">
        <w:rPr>
          <w:rFonts w:ascii="Times New Roman" w:hAnsi="Times New Roman"/>
        </w:rPr>
        <w:t xml:space="preserve">a </w:t>
      </w:r>
      <w:r w:rsidRPr="00B62258">
        <w:rPr>
          <w:rFonts w:ascii="Times New Roman" w:hAnsi="Times New Roman"/>
        </w:rPr>
        <w:t xml:space="preserve">5% budgeted reserve.   A 5% reserve of </w:t>
      </w:r>
      <w:proofErr w:type="gramStart"/>
      <w:r w:rsidR="00131CFA" w:rsidRPr="00B62258">
        <w:rPr>
          <w:rFonts w:ascii="Times New Roman" w:hAnsi="Times New Roman"/>
        </w:rPr>
        <w:t>Elizabethtown</w:t>
      </w:r>
      <w:r w:rsidRPr="00B62258">
        <w:rPr>
          <w:rFonts w:ascii="Times New Roman" w:hAnsi="Times New Roman"/>
        </w:rPr>
        <w:t xml:space="preserve">’s  </w:t>
      </w:r>
      <w:r w:rsidR="00421485" w:rsidRPr="00B62258">
        <w:rPr>
          <w:rFonts w:ascii="Times New Roman" w:hAnsi="Times New Roman"/>
        </w:rPr>
        <w:t>total</w:t>
      </w:r>
      <w:proofErr w:type="gramEnd"/>
      <w:r w:rsidR="00421485" w:rsidRPr="00B62258">
        <w:rPr>
          <w:rFonts w:ascii="Times New Roman" w:hAnsi="Times New Roman"/>
        </w:rPr>
        <w:t xml:space="preserve"> </w:t>
      </w:r>
      <w:r w:rsidRPr="00B62258">
        <w:rPr>
          <w:rFonts w:ascii="Times New Roman" w:hAnsi="Times New Roman"/>
        </w:rPr>
        <w:t>Working Budget is $</w:t>
      </w:r>
      <w:r w:rsidR="00B415B5">
        <w:rPr>
          <w:rFonts w:ascii="Times New Roman" w:hAnsi="Times New Roman"/>
        </w:rPr>
        <w:t>1,140,733</w:t>
      </w:r>
      <w:r w:rsidRPr="00B62258">
        <w:rPr>
          <w:rFonts w:ascii="Times New Roman" w:hAnsi="Times New Roman"/>
        </w:rPr>
        <w:t>.</w:t>
      </w:r>
    </w:p>
    <w:p w:rsidR="00797F70" w:rsidRPr="00B62258" w:rsidRDefault="00797F70">
      <w:pPr>
        <w:pStyle w:val="BodyText"/>
        <w:rPr>
          <w:rFonts w:ascii="Times New Roman" w:hAnsi="Times New Roman"/>
        </w:rPr>
      </w:pPr>
    </w:p>
    <w:p w:rsidR="00797F7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>The unrestricted budget reserve (</w:t>
      </w:r>
      <w:r w:rsidR="00421485" w:rsidRPr="00B62258">
        <w:rPr>
          <w:rFonts w:ascii="Times New Roman" w:hAnsi="Times New Roman"/>
        </w:rPr>
        <w:t>C</w:t>
      </w:r>
      <w:r w:rsidRPr="00B62258">
        <w:rPr>
          <w:rFonts w:ascii="Times New Roman" w:hAnsi="Times New Roman"/>
        </w:rPr>
        <w:t xml:space="preserve">ontingency) is necessary for maintaining adequate cash flow during the year, providing for unanticipated emergency expenditures, and to provide a buffer from immediate program cuts in the event of any reduction in anticipated receipts.  A restricted budget reserve is for specific needs such as litigation, or other special needs the board may wish to designate.  The unrestricted reserve </w:t>
      </w:r>
      <w:r w:rsidR="007B6BF0" w:rsidRPr="00B62258">
        <w:rPr>
          <w:rFonts w:ascii="Times New Roman" w:hAnsi="Times New Roman"/>
        </w:rPr>
        <w:t xml:space="preserve">of </w:t>
      </w:r>
      <w:r w:rsidRPr="00B62258">
        <w:rPr>
          <w:rFonts w:ascii="Times New Roman" w:hAnsi="Times New Roman"/>
        </w:rPr>
        <w:t>$</w:t>
      </w:r>
      <w:r w:rsidR="0092300C">
        <w:rPr>
          <w:rFonts w:ascii="Times New Roman" w:hAnsi="Times New Roman"/>
        </w:rPr>
        <w:t>4,</w:t>
      </w:r>
      <w:r w:rsidR="00B415B5">
        <w:rPr>
          <w:rFonts w:ascii="Times New Roman" w:hAnsi="Times New Roman"/>
        </w:rPr>
        <w:t>607,813</w:t>
      </w:r>
      <w:r w:rsidRPr="00B62258">
        <w:rPr>
          <w:rFonts w:ascii="Times New Roman" w:hAnsi="Times New Roman"/>
        </w:rPr>
        <w:t xml:space="preserve"> is</w:t>
      </w:r>
      <w:r w:rsidR="00E4583F" w:rsidRPr="00B62258">
        <w:rPr>
          <w:rFonts w:ascii="Times New Roman" w:hAnsi="Times New Roman"/>
        </w:rPr>
        <w:t xml:space="preserve"> approximately</w:t>
      </w:r>
      <w:r w:rsidRPr="00B62258">
        <w:rPr>
          <w:rFonts w:ascii="Times New Roman" w:hAnsi="Times New Roman"/>
        </w:rPr>
        <w:t xml:space="preserve"> </w:t>
      </w:r>
      <w:r w:rsidR="001237EE">
        <w:rPr>
          <w:rFonts w:ascii="Times New Roman" w:hAnsi="Times New Roman"/>
        </w:rPr>
        <w:t>20.2</w:t>
      </w:r>
      <w:r w:rsidRPr="00B62258">
        <w:rPr>
          <w:rFonts w:ascii="Times New Roman" w:hAnsi="Times New Roman"/>
        </w:rPr>
        <w:t xml:space="preserve">% of </w:t>
      </w:r>
      <w:r w:rsidR="00F516A9" w:rsidRPr="00B62258">
        <w:rPr>
          <w:rFonts w:ascii="Times New Roman" w:hAnsi="Times New Roman"/>
        </w:rPr>
        <w:t xml:space="preserve">the </w:t>
      </w:r>
      <w:proofErr w:type="gramStart"/>
      <w:r w:rsidR="00F516A9" w:rsidRPr="00B62258">
        <w:rPr>
          <w:rFonts w:ascii="Times New Roman" w:hAnsi="Times New Roman"/>
        </w:rPr>
        <w:t xml:space="preserve">total </w:t>
      </w:r>
      <w:r w:rsidR="007B6BF0" w:rsidRPr="00B62258">
        <w:rPr>
          <w:rFonts w:ascii="Times New Roman" w:hAnsi="Times New Roman"/>
        </w:rPr>
        <w:t xml:space="preserve"> </w:t>
      </w:r>
      <w:r w:rsidR="00421485" w:rsidRPr="00B62258">
        <w:rPr>
          <w:rFonts w:ascii="Times New Roman" w:hAnsi="Times New Roman"/>
        </w:rPr>
        <w:t>Working</w:t>
      </w:r>
      <w:proofErr w:type="gramEnd"/>
      <w:r w:rsidR="00421485" w:rsidRPr="00B62258">
        <w:rPr>
          <w:rFonts w:ascii="Times New Roman" w:hAnsi="Times New Roman"/>
        </w:rPr>
        <w:t xml:space="preserve"> B</w:t>
      </w:r>
      <w:r w:rsidR="00F516A9" w:rsidRPr="00B62258">
        <w:rPr>
          <w:rFonts w:ascii="Times New Roman" w:hAnsi="Times New Roman"/>
        </w:rPr>
        <w:t>udget</w:t>
      </w:r>
      <w:r w:rsidRPr="00B62258">
        <w:rPr>
          <w:rFonts w:ascii="Times New Roman" w:hAnsi="Times New Roman"/>
        </w:rPr>
        <w:t>.</w:t>
      </w:r>
    </w:p>
    <w:p w:rsidR="007F4D48" w:rsidRPr="00B62258" w:rsidRDefault="007F4D48">
      <w:pPr>
        <w:pStyle w:val="BodyText"/>
        <w:rPr>
          <w:rFonts w:ascii="Times New Roman" w:hAnsi="Times New Roman"/>
        </w:rPr>
      </w:pPr>
    </w:p>
    <w:p w:rsidR="007F4D48" w:rsidRPr="00B62258" w:rsidRDefault="007F4D48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The </w:t>
      </w:r>
      <w:r w:rsidR="00131CFA" w:rsidRPr="00B62258">
        <w:rPr>
          <w:rFonts w:ascii="Times New Roman" w:hAnsi="Times New Roman"/>
        </w:rPr>
        <w:t>Elizabethtown Independent</w:t>
      </w:r>
      <w:r w:rsidRPr="00B62258">
        <w:rPr>
          <w:rFonts w:ascii="Times New Roman" w:hAnsi="Times New Roman"/>
        </w:rPr>
        <w:t xml:space="preserve"> School District also has a General Fund Escrow Fund Balance of $</w:t>
      </w:r>
      <w:r w:rsidR="00164058" w:rsidRPr="00B62258">
        <w:rPr>
          <w:rFonts w:ascii="Times New Roman" w:hAnsi="Times New Roman"/>
        </w:rPr>
        <w:t>1</w:t>
      </w:r>
      <w:r w:rsidRPr="00B62258">
        <w:rPr>
          <w:rFonts w:ascii="Times New Roman" w:hAnsi="Times New Roman"/>
        </w:rPr>
        <w:t>,</w:t>
      </w:r>
      <w:r w:rsidR="008545A6" w:rsidRPr="00B62258">
        <w:rPr>
          <w:rFonts w:ascii="Times New Roman" w:hAnsi="Times New Roman"/>
        </w:rPr>
        <w:t>460</w:t>
      </w:r>
      <w:r w:rsidRPr="00B62258">
        <w:rPr>
          <w:rFonts w:ascii="Times New Roman" w:hAnsi="Times New Roman"/>
        </w:rPr>
        <w:t xml:space="preserve">,000 that is not included in the unrestricted reserve.  These funds are available for </w:t>
      </w:r>
    </w:p>
    <w:p w:rsidR="00797F70" w:rsidRPr="00B62258" w:rsidRDefault="007F4D48">
      <w:pPr>
        <w:pStyle w:val="BodyText"/>
        <w:rPr>
          <w:rFonts w:ascii="Times New Roman" w:hAnsi="Times New Roman"/>
        </w:rPr>
      </w:pPr>
      <w:proofErr w:type="gramStart"/>
      <w:r w:rsidRPr="00B62258">
        <w:rPr>
          <w:rFonts w:ascii="Times New Roman" w:hAnsi="Times New Roman"/>
        </w:rPr>
        <w:lastRenderedPageBreak/>
        <w:t>one-time</w:t>
      </w:r>
      <w:proofErr w:type="gramEnd"/>
      <w:r w:rsidRPr="00B62258">
        <w:rPr>
          <w:rFonts w:ascii="Times New Roman" w:hAnsi="Times New Roman"/>
        </w:rPr>
        <w:t xml:space="preserve"> expenses </w:t>
      </w:r>
      <w:r w:rsidR="00E33C3F">
        <w:rPr>
          <w:rFonts w:ascii="Times New Roman" w:hAnsi="Times New Roman"/>
        </w:rPr>
        <w:t xml:space="preserve">that have </w:t>
      </w:r>
      <w:r w:rsidRPr="00B62258">
        <w:rPr>
          <w:rFonts w:ascii="Times New Roman" w:hAnsi="Times New Roman"/>
        </w:rPr>
        <w:t>be</w:t>
      </w:r>
      <w:r w:rsidR="00E33C3F">
        <w:rPr>
          <w:rFonts w:ascii="Times New Roman" w:hAnsi="Times New Roman"/>
        </w:rPr>
        <w:t>en</w:t>
      </w:r>
      <w:r w:rsidRPr="00B62258">
        <w:rPr>
          <w:rFonts w:ascii="Times New Roman" w:hAnsi="Times New Roman"/>
        </w:rPr>
        <w:t xml:space="preserve"> determined by the Board</w:t>
      </w:r>
      <w:r w:rsidR="005F0534" w:rsidRPr="00B62258">
        <w:rPr>
          <w:rFonts w:ascii="Times New Roman" w:hAnsi="Times New Roman"/>
        </w:rPr>
        <w:t>,</w:t>
      </w:r>
      <w:r w:rsidRPr="00B62258">
        <w:rPr>
          <w:rFonts w:ascii="Times New Roman" w:hAnsi="Times New Roman"/>
        </w:rPr>
        <w:t xml:space="preserve"> serve as a reserve for current or future major construction projects</w:t>
      </w:r>
      <w:r w:rsidR="005F0534" w:rsidRPr="00B62258">
        <w:rPr>
          <w:rFonts w:ascii="Times New Roman" w:hAnsi="Times New Roman"/>
        </w:rPr>
        <w:t xml:space="preserve"> </w:t>
      </w:r>
      <w:r w:rsidR="00184811" w:rsidRPr="00B62258">
        <w:rPr>
          <w:rFonts w:ascii="Times New Roman" w:hAnsi="Times New Roman"/>
        </w:rPr>
        <w:t>or serve as an additional General Fund reserve</w:t>
      </w:r>
      <w:r w:rsidRPr="00B62258">
        <w:rPr>
          <w:rFonts w:ascii="Times New Roman" w:hAnsi="Times New Roman"/>
        </w:rPr>
        <w:t>.</w:t>
      </w:r>
      <w:r w:rsidR="00B040E5" w:rsidRPr="00B62258">
        <w:rPr>
          <w:rFonts w:ascii="Times New Roman" w:hAnsi="Times New Roman"/>
        </w:rPr>
        <w:t xml:space="preserve">  </w:t>
      </w:r>
      <w:r w:rsidR="008545A6" w:rsidRPr="00B62258">
        <w:rPr>
          <w:rFonts w:ascii="Times New Roman" w:hAnsi="Times New Roman"/>
        </w:rPr>
        <w:t>The district has some capacity for discretionary projects in the Working Budget.</w:t>
      </w:r>
    </w:p>
    <w:p w:rsidR="007F4D48" w:rsidRPr="00B62258" w:rsidRDefault="007F4D48">
      <w:pPr>
        <w:pStyle w:val="BodyText"/>
        <w:rPr>
          <w:rFonts w:ascii="Times New Roman" w:hAnsi="Times New Roman"/>
        </w:rPr>
      </w:pPr>
    </w:p>
    <w:p w:rsidR="007B6BF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Table </w:t>
      </w:r>
      <w:r w:rsidR="00A72BB9">
        <w:rPr>
          <w:rFonts w:ascii="Times New Roman" w:hAnsi="Times New Roman"/>
        </w:rPr>
        <w:t>G</w:t>
      </w:r>
      <w:r w:rsidRPr="00B62258">
        <w:rPr>
          <w:rFonts w:ascii="Times New Roman" w:hAnsi="Times New Roman"/>
        </w:rPr>
        <w:t xml:space="preserve"> presents the district’s “Expense as Percent of Revenue” </w:t>
      </w:r>
      <w:r w:rsidR="00F516A9" w:rsidRPr="00B62258">
        <w:rPr>
          <w:rFonts w:ascii="Times New Roman" w:hAnsi="Times New Roman"/>
        </w:rPr>
        <w:t xml:space="preserve">historical </w:t>
      </w:r>
      <w:r w:rsidRPr="00B62258">
        <w:rPr>
          <w:rFonts w:ascii="Times New Roman" w:hAnsi="Times New Roman"/>
        </w:rPr>
        <w:t>trend for comparison</w:t>
      </w:r>
      <w:r w:rsidR="007F4D48" w:rsidRPr="00B62258">
        <w:rPr>
          <w:rFonts w:ascii="Times New Roman" w:hAnsi="Times New Roman"/>
        </w:rPr>
        <w:t xml:space="preserve"> purposes.  The </w:t>
      </w:r>
      <w:proofErr w:type="gramStart"/>
      <w:r w:rsidR="007F4D48" w:rsidRPr="00B62258">
        <w:rPr>
          <w:rFonts w:ascii="Times New Roman" w:hAnsi="Times New Roman"/>
        </w:rPr>
        <w:t>recommended  Working</w:t>
      </w:r>
      <w:proofErr w:type="gramEnd"/>
      <w:r w:rsidR="007F4D48" w:rsidRPr="00B62258">
        <w:rPr>
          <w:rFonts w:ascii="Times New Roman" w:hAnsi="Times New Roman"/>
        </w:rPr>
        <w:t xml:space="preserve"> Budget contains expenses budgeted </w:t>
      </w:r>
      <w:r w:rsidR="00F16269">
        <w:rPr>
          <w:rFonts w:ascii="Times New Roman" w:hAnsi="Times New Roman"/>
        </w:rPr>
        <w:t>lower</w:t>
      </w:r>
      <w:r w:rsidRPr="00B62258">
        <w:rPr>
          <w:rFonts w:ascii="Times New Roman" w:hAnsi="Times New Roman"/>
        </w:rPr>
        <w:t xml:space="preserve"> </w:t>
      </w:r>
      <w:r w:rsidR="007F4D48" w:rsidRPr="00B62258">
        <w:rPr>
          <w:rFonts w:ascii="Times New Roman" w:hAnsi="Times New Roman"/>
        </w:rPr>
        <w:t xml:space="preserve">than revenue, which </w:t>
      </w:r>
      <w:r w:rsidR="00184811" w:rsidRPr="00B62258">
        <w:rPr>
          <w:rFonts w:ascii="Times New Roman" w:hAnsi="Times New Roman"/>
        </w:rPr>
        <w:t xml:space="preserve">has </w:t>
      </w:r>
      <w:r w:rsidR="007F4D48" w:rsidRPr="00B62258">
        <w:rPr>
          <w:rFonts w:ascii="Times New Roman" w:hAnsi="Times New Roman"/>
        </w:rPr>
        <w:t xml:space="preserve">also occurred </w:t>
      </w:r>
      <w:r w:rsidR="00184811" w:rsidRPr="00B62258">
        <w:rPr>
          <w:rFonts w:ascii="Times New Roman" w:hAnsi="Times New Roman"/>
        </w:rPr>
        <w:t>in</w:t>
      </w:r>
      <w:r w:rsidR="007F4D48" w:rsidRPr="00B62258">
        <w:rPr>
          <w:rFonts w:ascii="Times New Roman" w:hAnsi="Times New Roman"/>
        </w:rPr>
        <w:t xml:space="preserve"> previous </w:t>
      </w:r>
      <w:r w:rsidR="002561DC" w:rsidRPr="00B62258">
        <w:rPr>
          <w:rFonts w:ascii="Times New Roman" w:hAnsi="Times New Roman"/>
        </w:rPr>
        <w:t xml:space="preserve">fiscal </w:t>
      </w:r>
      <w:r w:rsidR="007F4D48" w:rsidRPr="00B62258">
        <w:rPr>
          <w:rFonts w:ascii="Times New Roman" w:hAnsi="Times New Roman"/>
        </w:rPr>
        <w:t>years.</w:t>
      </w:r>
    </w:p>
    <w:p w:rsidR="007B6BF0" w:rsidRPr="00B62258" w:rsidRDefault="007B6BF0">
      <w:pPr>
        <w:pStyle w:val="BodyText"/>
        <w:rPr>
          <w:rFonts w:ascii="Times New Roman" w:hAnsi="Times New Roman"/>
        </w:rPr>
      </w:pPr>
    </w:p>
    <w:p w:rsidR="00797F70" w:rsidRDefault="00B040E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During these uncertain fiscal times, it is proving difficult to </w:t>
      </w:r>
      <w:r w:rsidR="005D684C" w:rsidRPr="00B62258">
        <w:rPr>
          <w:rFonts w:ascii="Times New Roman" w:hAnsi="Times New Roman"/>
        </w:rPr>
        <w:t xml:space="preserve">accurately </w:t>
      </w:r>
      <w:r w:rsidRPr="00B62258">
        <w:rPr>
          <w:rFonts w:ascii="Times New Roman" w:hAnsi="Times New Roman"/>
        </w:rPr>
        <w:t xml:space="preserve">budget </w:t>
      </w:r>
      <w:r w:rsidR="007F4D48" w:rsidRPr="00B62258">
        <w:rPr>
          <w:rFonts w:ascii="Times New Roman" w:hAnsi="Times New Roman"/>
        </w:rPr>
        <w:t xml:space="preserve">General Fund revenue </w:t>
      </w:r>
      <w:r w:rsidRPr="00B62258">
        <w:rPr>
          <w:rFonts w:ascii="Times New Roman" w:hAnsi="Times New Roman"/>
        </w:rPr>
        <w:t>and</w:t>
      </w:r>
      <w:r w:rsidR="007F4D48" w:rsidRPr="00B62258">
        <w:rPr>
          <w:rFonts w:ascii="Times New Roman" w:hAnsi="Times New Roman"/>
        </w:rPr>
        <w:t xml:space="preserve"> expenses</w:t>
      </w:r>
      <w:r w:rsidR="007B6BF0" w:rsidRPr="00B62258">
        <w:rPr>
          <w:rFonts w:ascii="Times New Roman" w:hAnsi="Times New Roman"/>
        </w:rPr>
        <w:t xml:space="preserve"> because c</w:t>
      </w:r>
      <w:r w:rsidR="007F4D48" w:rsidRPr="00B62258">
        <w:rPr>
          <w:rFonts w:ascii="Times New Roman" w:hAnsi="Times New Roman"/>
        </w:rPr>
        <w:t>ircumstances often change during the fiscal year</w:t>
      </w:r>
      <w:r w:rsidR="00413E5C" w:rsidRPr="00B62258">
        <w:rPr>
          <w:rFonts w:ascii="Times New Roman" w:hAnsi="Times New Roman"/>
        </w:rPr>
        <w:t>.  For example</w:t>
      </w:r>
      <w:r w:rsidR="002561DC" w:rsidRPr="00B62258">
        <w:rPr>
          <w:rFonts w:ascii="Times New Roman" w:hAnsi="Times New Roman"/>
        </w:rPr>
        <w:t xml:space="preserve">, </w:t>
      </w:r>
      <w:r w:rsidR="008545A6" w:rsidRPr="00B62258">
        <w:rPr>
          <w:rFonts w:ascii="Times New Roman" w:hAnsi="Times New Roman"/>
        </w:rPr>
        <w:t>the Governor could order a mid-year decrease in SEEK funding</w:t>
      </w:r>
      <w:r w:rsidR="00D214B9" w:rsidRPr="00B62258">
        <w:rPr>
          <w:rFonts w:ascii="Times New Roman" w:hAnsi="Times New Roman"/>
        </w:rPr>
        <w:t xml:space="preserve"> which would have a negative impact on projected revenue</w:t>
      </w:r>
      <w:r w:rsidR="005D684C" w:rsidRPr="00B62258">
        <w:rPr>
          <w:rFonts w:ascii="Times New Roman" w:hAnsi="Times New Roman"/>
        </w:rPr>
        <w:t xml:space="preserve">.  Concerning General Fund expenses, </w:t>
      </w:r>
      <w:r w:rsidR="00413E5C" w:rsidRPr="00B62258">
        <w:rPr>
          <w:rFonts w:ascii="Times New Roman" w:hAnsi="Times New Roman"/>
        </w:rPr>
        <w:t xml:space="preserve">diesel fuel or utilities could </w:t>
      </w:r>
      <w:r w:rsidR="002561DC" w:rsidRPr="00B62258">
        <w:rPr>
          <w:rFonts w:ascii="Times New Roman" w:hAnsi="Times New Roman"/>
        </w:rPr>
        <w:t>unexpected</w:t>
      </w:r>
      <w:r w:rsidR="00413E5C" w:rsidRPr="00B62258">
        <w:rPr>
          <w:rFonts w:ascii="Times New Roman" w:hAnsi="Times New Roman"/>
        </w:rPr>
        <w:t>ly</w:t>
      </w:r>
      <w:r w:rsidR="002561DC" w:rsidRPr="00B62258">
        <w:rPr>
          <w:rFonts w:ascii="Times New Roman" w:hAnsi="Times New Roman"/>
        </w:rPr>
        <w:t xml:space="preserve"> increase.</w:t>
      </w:r>
      <w:r w:rsidR="00413E5C" w:rsidRPr="00B62258">
        <w:rPr>
          <w:rFonts w:ascii="Times New Roman" w:hAnsi="Times New Roman"/>
        </w:rPr>
        <w:t xml:space="preserve">  Also, </w:t>
      </w:r>
      <w:r w:rsidR="002561DC" w:rsidRPr="00B62258">
        <w:rPr>
          <w:rFonts w:ascii="Times New Roman" w:hAnsi="Times New Roman"/>
        </w:rPr>
        <w:t>it is difficult to accurately budget for expenses such as substitute personnel or overtime pay</w:t>
      </w:r>
      <w:r w:rsidR="007B6BF0" w:rsidRPr="00B62258">
        <w:rPr>
          <w:rFonts w:ascii="Times New Roman" w:hAnsi="Times New Roman"/>
        </w:rPr>
        <w:t>.</w:t>
      </w:r>
      <w:r w:rsidR="002561DC" w:rsidRPr="00B62258">
        <w:rPr>
          <w:rFonts w:ascii="Times New Roman" w:hAnsi="Times New Roman"/>
        </w:rPr>
        <w:t xml:space="preserve">  Table </w:t>
      </w:r>
      <w:r w:rsidR="00A72BB9">
        <w:rPr>
          <w:rFonts w:ascii="Times New Roman" w:hAnsi="Times New Roman"/>
        </w:rPr>
        <w:t xml:space="preserve">G </w:t>
      </w:r>
      <w:r w:rsidR="002561DC" w:rsidRPr="00B62258">
        <w:rPr>
          <w:rFonts w:ascii="Times New Roman" w:hAnsi="Times New Roman"/>
        </w:rPr>
        <w:t>shows</w:t>
      </w:r>
      <w:r w:rsidR="00413E5C" w:rsidRPr="00B62258">
        <w:rPr>
          <w:rFonts w:ascii="Times New Roman" w:hAnsi="Times New Roman"/>
        </w:rPr>
        <w:t xml:space="preserve"> both</w:t>
      </w:r>
      <w:r w:rsidR="002561DC" w:rsidRPr="00B62258">
        <w:rPr>
          <w:rFonts w:ascii="Times New Roman" w:hAnsi="Times New Roman"/>
        </w:rPr>
        <w:t xml:space="preserve"> the budgeted expense </w:t>
      </w:r>
      <w:r w:rsidR="00413E5C" w:rsidRPr="00B62258">
        <w:rPr>
          <w:rFonts w:ascii="Times New Roman" w:hAnsi="Times New Roman"/>
        </w:rPr>
        <w:t>(Panel 1) and the actual expense (Panel 2)</w:t>
      </w:r>
      <w:r w:rsidR="005E6541" w:rsidRPr="00B62258">
        <w:rPr>
          <w:rFonts w:ascii="Times New Roman" w:hAnsi="Times New Roman"/>
        </w:rPr>
        <w:t xml:space="preserve"> </w:t>
      </w:r>
      <w:r w:rsidR="002561DC" w:rsidRPr="00B62258">
        <w:rPr>
          <w:rFonts w:ascii="Times New Roman" w:hAnsi="Times New Roman"/>
        </w:rPr>
        <w:t xml:space="preserve">as </w:t>
      </w:r>
      <w:r w:rsidR="005E6541" w:rsidRPr="00B62258">
        <w:rPr>
          <w:rFonts w:ascii="Times New Roman" w:hAnsi="Times New Roman"/>
        </w:rPr>
        <w:t>“</w:t>
      </w:r>
      <w:r w:rsidR="002561DC" w:rsidRPr="00B62258">
        <w:rPr>
          <w:rFonts w:ascii="Times New Roman" w:hAnsi="Times New Roman"/>
        </w:rPr>
        <w:t>percent of revenue</w:t>
      </w:r>
      <w:r w:rsidR="005E6541" w:rsidRPr="00B62258">
        <w:rPr>
          <w:rFonts w:ascii="Times New Roman" w:hAnsi="Times New Roman"/>
        </w:rPr>
        <w:t>”</w:t>
      </w:r>
      <w:r w:rsidR="002561DC" w:rsidRPr="00B62258">
        <w:rPr>
          <w:rFonts w:ascii="Times New Roman" w:hAnsi="Times New Roman"/>
        </w:rPr>
        <w:t xml:space="preserve"> for </w:t>
      </w:r>
      <w:r w:rsidR="00B94EDB" w:rsidRPr="00B62258">
        <w:rPr>
          <w:rFonts w:ascii="Times New Roman" w:hAnsi="Times New Roman"/>
        </w:rPr>
        <w:t>previous</w:t>
      </w:r>
      <w:r w:rsidR="002561DC" w:rsidRPr="00B62258">
        <w:rPr>
          <w:rFonts w:ascii="Times New Roman" w:hAnsi="Times New Roman"/>
        </w:rPr>
        <w:t xml:space="preserve"> fiscal years.</w:t>
      </w:r>
    </w:p>
    <w:p w:rsidR="00797F70" w:rsidRDefault="00797F70">
      <w:pPr>
        <w:pStyle w:val="BodyText"/>
        <w:rPr>
          <w:rFonts w:ascii="Times New Roman" w:hAnsi="Times New Roman"/>
        </w:rPr>
      </w:pPr>
    </w:p>
    <w:p w:rsidR="000A1504" w:rsidRDefault="000A1504" w:rsidP="000A1504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9827B8">
        <w:rPr>
          <w:rFonts w:ascii="Times New Roman" w:hAnsi="Times New Roman"/>
          <w:b/>
        </w:rPr>
        <w:t>G</w:t>
      </w:r>
    </w:p>
    <w:p w:rsidR="000A1504" w:rsidRDefault="000A1504" w:rsidP="000A1504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Expense as Percent of Revenue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BE1CD8" w:rsidRPr="00FA67D2" w:rsidRDefault="00BE1CD8" w:rsidP="00BE1CD8">
      <w:pPr>
        <w:rPr>
          <w:rFonts w:ascii="Times New Roman" w:hAnsi="Times New Roman"/>
          <w:b/>
          <w:sz w:val="18"/>
          <w:szCs w:val="18"/>
        </w:rPr>
      </w:pPr>
      <w:r w:rsidRPr="00FA67D2">
        <w:rPr>
          <w:rFonts w:ascii="Times New Roman" w:hAnsi="Times New Roman"/>
          <w:b/>
          <w:sz w:val="18"/>
          <w:szCs w:val="18"/>
        </w:rPr>
        <w:t>Panel 1</w:t>
      </w:r>
    </w:p>
    <w:tbl>
      <w:tblPr>
        <w:tblW w:w="3579" w:type="pct"/>
        <w:jc w:val="center"/>
        <w:tblInd w:w="-420" w:type="dxa"/>
        <w:tblCellMar>
          <w:left w:w="30" w:type="dxa"/>
          <w:right w:w="30" w:type="dxa"/>
        </w:tblCellMar>
        <w:tblLook w:val="0000"/>
      </w:tblPr>
      <w:tblGrid>
        <w:gridCol w:w="3567"/>
        <w:gridCol w:w="1060"/>
        <w:gridCol w:w="1060"/>
        <w:gridCol w:w="1056"/>
      </w:tblGrid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  <w:u w:val="single"/>
              </w:rPr>
            </w:pPr>
            <w:r w:rsidRPr="00D01921"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  <w:u w:val="single"/>
              </w:rPr>
              <w:t xml:space="preserve">BUDGETED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D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BE1CD8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Projected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BE1CD8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Projected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BE1CD8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Projected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A72BB9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2012-13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Projected GF Revenues less Beginning Balance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A57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$</w:t>
            </w:r>
            <w:r w:rsidR="00A579C1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12,715,084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A57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$</w:t>
            </w:r>
            <w:r w:rsidR="00A579C1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13,105,537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8A3DAE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8A3DAE">
              <w:rPr>
                <w:shadow w:val="0"/>
                <w:sz w:val="18"/>
                <w:szCs w:val="18"/>
              </w:rPr>
              <w:t>14,235,292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Projected GF Expenses less Contingency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A57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$</w:t>
            </w:r>
            <w:r w:rsidR="00A579C1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12,950,979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A57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$</w:t>
            </w:r>
            <w:r w:rsidR="00A579C1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13,282,065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8A3DAE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8A3DAE">
              <w:rPr>
                <w:shadow w:val="0"/>
                <w:sz w:val="18"/>
                <w:szCs w:val="18"/>
              </w:rPr>
              <w:t>14,807,866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 xml:space="preserve"> +/- Difference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A57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($</w:t>
            </w:r>
            <w:r w:rsidR="00A579C1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235,895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A57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($</w:t>
            </w:r>
            <w:r w:rsidR="00A579C1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176,498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AD2E42" w:rsidRDefault="009802B0" w:rsidP="008A3DAE">
            <w:pPr>
              <w:jc w:val="right"/>
              <w:rPr>
                <w:shadow w:val="0"/>
                <w:sz w:val="18"/>
                <w:szCs w:val="18"/>
              </w:rPr>
            </w:pPr>
            <w:r w:rsidRPr="00AD2E42">
              <w:rPr>
                <w:shadow w:val="0"/>
                <w:sz w:val="18"/>
                <w:szCs w:val="18"/>
              </w:rPr>
              <w:t>($</w:t>
            </w:r>
            <w:r w:rsidR="008A3DAE">
              <w:rPr>
                <w:shadow w:val="0"/>
                <w:sz w:val="18"/>
                <w:szCs w:val="18"/>
              </w:rPr>
              <w:t>572,574</w:t>
            </w:r>
            <w:r w:rsidRPr="00AD2E42">
              <w:rPr>
                <w:shadow w:val="0"/>
                <w:sz w:val="18"/>
                <w:szCs w:val="18"/>
              </w:rPr>
              <w:t>)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2B0" w:rsidRPr="00D01921" w:rsidRDefault="009802B0" w:rsidP="009F6CAE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01921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 xml:space="preserve">Expense as Percent of Revenue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2B0" w:rsidRPr="007576BF" w:rsidRDefault="003B523E" w:rsidP="00D067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101.9%</w:t>
            </w:r>
            <w:r w:rsidR="008A3DAE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2B0" w:rsidRPr="007576BF" w:rsidRDefault="003B523E" w:rsidP="00D067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101.3%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802B0" w:rsidRPr="007576BF" w:rsidRDefault="003B523E" w:rsidP="00D06734">
            <w:pPr>
              <w:jc w:val="right"/>
              <w:rPr>
                <w:b/>
                <w:shadow w:val="0"/>
                <w:sz w:val="18"/>
                <w:szCs w:val="18"/>
              </w:rPr>
            </w:pPr>
            <w:r>
              <w:rPr>
                <w:b/>
                <w:shadow w:val="0"/>
                <w:sz w:val="18"/>
                <w:szCs w:val="18"/>
              </w:rPr>
              <w:t>104.0%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B0" w:rsidRPr="00D214B9" w:rsidRDefault="009802B0" w:rsidP="009F6CAE">
            <w:pPr>
              <w:rPr>
                <w:rFonts w:ascii="Times New Roman" w:hAnsi="Times New Roman"/>
                <w:shadow w:val="0"/>
                <w:snapToGrid w:val="0"/>
                <w:color w:val="000000"/>
                <w:sz w:val="16"/>
                <w:szCs w:val="16"/>
              </w:rPr>
            </w:pPr>
          </w:p>
          <w:p w:rsidR="009802B0" w:rsidRPr="00FA67D2" w:rsidRDefault="009802B0" w:rsidP="009F6CAE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FA67D2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Panel 2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Cs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Cs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Cs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D4A85">
            <w:pPr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  <w:u w:val="single"/>
              </w:rPr>
            </w:pPr>
            <w:r w:rsidRPr="00D01921"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  <w:u w:val="single"/>
              </w:rPr>
              <w:t>ACTUAL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D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D4A85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Actual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Actual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Projected</w:t>
            </w:r>
          </w:p>
        </w:tc>
      </w:tr>
      <w:tr w:rsidR="009802B0" w:rsidRPr="00D01921" w:rsidTr="009802B0">
        <w:trPr>
          <w:trHeight w:val="259"/>
          <w:jc w:val="center"/>
        </w:trPr>
        <w:tc>
          <w:tcPr>
            <w:tcW w:w="2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D4A85">
            <w:pPr>
              <w:jc w:val="right"/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2012-13</w:t>
            </w:r>
          </w:p>
        </w:tc>
      </w:tr>
      <w:tr w:rsidR="009802B0" w:rsidRPr="00D01921" w:rsidTr="009802B0">
        <w:trPr>
          <w:trHeight w:val="23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GF Revenues less Beginning Balance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EA6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$</w:t>
            </w:r>
            <w:r w:rsidR="00EA67DE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13,656,148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9802B0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>
              <w:rPr>
                <w:shadow w:val="0"/>
                <w:sz w:val="18"/>
                <w:szCs w:val="18"/>
              </w:rPr>
              <w:t>14,476,012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EA67DE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>
              <w:rPr>
                <w:shadow w:val="0"/>
                <w:sz w:val="18"/>
                <w:szCs w:val="18"/>
              </w:rPr>
              <w:t>14,235,292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</w:tr>
      <w:tr w:rsidR="009802B0" w:rsidRPr="00D01921" w:rsidTr="009802B0">
        <w:trPr>
          <w:trHeight w:val="216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D4A85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GF Expenses less Contingency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9802B0" w:rsidP="00EA6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$</w:t>
            </w:r>
            <w:r w:rsidR="00EA67DE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12,786,764</w:t>
            </w:r>
            <w:r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EA67DE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EA67DE">
              <w:rPr>
                <w:shadow w:val="0"/>
                <w:sz w:val="18"/>
                <w:szCs w:val="18"/>
              </w:rPr>
              <w:t>13,925,103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EA67DE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EA67DE">
              <w:rPr>
                <w:shadow w:val="0"/>
                <w:sz w:val="18"/>
                <w:szCs w:val="18"/>
              </w:rPr>
              <w:t>14,807,866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</w:tr>
      <w:tr w:rsidR="009802B0" w:rsidRPr="00D01921" w:rsidTr="009802B0">
        <w:trPr>
          <w:trHeight w:val="23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D01921" w:rsidRDefault="009802B0" w:rsidP="006D4A85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 xml:space="preserve"> +/- Difference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B0" w:rsidRPr="008545A6" w:rsidRDefault="00EA67DE" w:rsidP="00EA6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$869,384 </w:t>
            </w:r>
            <w:r w:rsidR="009802B0" w:rsidRPr="008545A6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9802B0" w:rsidP="00EA67DE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EA67DE">
              <w:rPr>
                <w:shadow w:val="0"/>
                <w:sz w:val="18"/>
                <w:szCs w:val="18"/>
              </w:rPr>
              <w:t xml:space="preserve">550,909  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B0" w:rsidRPr="007576BF" w:rsidRDefault="00EA67DE" w:rsidP="00EA67DE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(</w:t>
            </w:r>
            <w:r w:rsidR="009802B0" w:rsidRPr="007576BF">
              <w:rPr>
                <w:shadow w:val="0"/>
                <w:sz w:val="18"/>
                <w:szCs w:val="18"/>
              </w:rPr>
              <w:t>$</w:t>
            </w:r>
            <w:r>
              <w:rPr>
                <w:shadow w:val="0"/>
                <w:sz w:val="18"/>
                <w:szCs w:val="18"/>
              </w:rPr>
              <w:t xml:space="preserve">572,574) </w:t>
            </w:r>
            <w:r w:rsidR="009802B0"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</w:tr>
      <w:tr w:rsidR="009802B0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2B0" w:rsidRPr="00D01921" w:rsidRDefault="009802B0" w:rsidP="006D4A85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 xml:space="preserve"> Expense as Percent of Revenue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2B0" w:rsidRPr="007576BF" w:rsidRDefault="003B523E" w:rsidP="00D067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93.6%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802B0" w:rsidRPr="007576BF" w:rsidRDefault="003B523E" w:rsidP="00D06734">
            <w:pPr>
              <w:jc w:val="right"/>
              <w:rPr>
                <w:b/>
                <w:shadow w:val="0"/>
                <w:sz w:val="18"/>
                <w:szCs w:val="18"/>
              </w:rPr>
            </w:pPr>
            <w:r>
              <w:rPr>
                <w:b/>
                <w:shadow w:val="0"/>
                <w:sz w:val="18"/>
                <w:szCs w:val="18"/>
              </w:rPr>
              <w:t>96.2%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802B0" w:rsidRPr="007576BF" w:rsidRDefault="003B523E" w:rsidP="00D06734">
            <w:pPr>
              <w:jc w:val="right"/>
              <w:rPr>
                <w:b/>
                <w:shadow w:val="0"/>
                <w:sz w:val="18"/>
                <w:szCs w:val="18"/>
              </w:rPr>
            </w:pPr>
            <w:r>
              <w:rPr>
                <w:b/>
                <w:shadow w:val="0"/>
                <w:sz w:val="18"/>
                <w:szCs w:val="18"/>
              </w:rPr>
              <w:t>104.0%</w:t>
            </w:r>
          </w:p>
        </w:tc>
      </w:tr>
    </w:tbl>
    <w:p w:rsidR="00797F70" w:rsidRPr="00D01921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D01921">
        <w:rPr>
          <w:rFonts w:ascii="Times New Roman" w:hAnsi="Times New Roman"/>
          <w:sz w:val="18"/>
          <w:szCs w:val="18"/>
        </w:rPr>
        <w:t xml:space="preserve">Note:  </w:t>
      </w:r>
      <w:r w:rsidRPr="00D01921">
        <w:rPr>
          <w:rFonts w:ascii="Times New Roman" w:hAnsi="Times New Roman"/>
          <w:i/>
          <w:iCs/>
          <w:sz w:val="18"/>
          <w:szCs w:val="18"/>
        </w:rPr>
        <w:t xml:space="preserve">All columns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D01921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pStyle w:val="BodyText"/>
      </w:pPr>
    </w:p>
    <w:p w:rsidR="00527F85" w:rsidRPr="00A92717" w:rsidRDefault="00CE3905">
      <w:pPr>
        <w:pStyle w:val="BodyText"/>
        <w:rPr>
          <w:rFonts w:ascii="Times New Roman" w:hAnsi="Times New Roman"/>
        </w:rPr>
      </w:pPr>
      <w:r w:rsidRPr="00A92717">
        <w:rPr>
          <w:rFonts w:ascii="Times New Roman" w:hAnsi="Times New Roman"/>
        </w:rPr>
        <w:t>The recommended Working Budget is a balanced budget</w:t>
      </w:r>
      <w:r w:rsidR="001B4809" w:rsidRPr="00A92717">
        <w:rPr>
          <w:rFonts w:ascii="Times New Roman" w:hAnsi="Times New Roman"/>
        </w:rPr>
        <w:t xml:space="preserve"> from the perspective there is a projected ending balance of approximately $</w:t>
      </w:r>
      <w:r w:rsidR="009864B9">
        <w:rPr>
          <w:rFonts w:ascii="Times New Roman" w:hAnsi="Times New Roman"/>
        </w:rPr>
        <w:t>4.6</w:t>
      </w:r>
      <w:r w:rsidR="00E52A86" w:rsidRPr="00A92717">
        <w:rPr>
          <w:rFonts w:ascii="Times New Roman" w:hAnsi="Times New Roman"/>
        </w:rPr>
        <w:t xml:space="preserve"> M</w:t>
      </w:r>
      <w:r w:rsidR="007B6BF0" w:rsidRPr="00A92717">
        <w:rPr>
          <w:rFonts w:ascii="Times New Roman" w:hAnsi="Times New Roman"/>
        </w:rPr>
        <w:t>.</w:t>
      </w:r>
    </w:p>
    <w:p w:rsidR="00413E5C" w:rsidRPr="00A92717" w:rsidRDefault="00413E5C">
      <w:pPr>
        <w:pStyle w:val="BodyText"/>
        <w:rPr>
          <w:rFonts w:ascii="Times New Roman" w:hAnsi="Times New Roman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 w:rsidRPr="00A92717">
        <w:rPr>
          <w:rFonts w:ascii="Times New Roman" w:hAnsi="Times New Roman"/>
          <w:shadow w:val="0"/>
          <w:sz w:val="24"/>
          <w:u w:val="single"/>
        </w:rPr>
        <w:t>RECOMMENDATION</w:t>
      </w:r>
      <w:r>
        <w:rPr>
          <w:rFonts w:ascii="Times New Roman" w:hAnsi="Times New Roman"/>
          <w:shadow w:val="0"/>
          <w:sz w:val="24"/>
        </w:rPr>
        <w:t>: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Approve the Working Budget as attached to this enclosure.</w:t>
      </w:r>
    </w:p>
    <w:p w:rsidR="00D214B9" w:rsidRDefault="00D214B9">
      <w:pPr>
        <w:rPr>
          <w:rFonts w:ascii="Times New Roman" w:hAnsi="Times New Roman"/>
          <w:shadow w:val="0"/>
          <w:sz w:val="24"/>
        </w:rPr>
      </w:pPr>
    </w:p>
    <w:p w:rsidR="00797F70" w:rsidRDefault="007576BF">
      <w:pPr>
        <w:pStyle w:val="Heading3"/>
        <w:jc w:val="center"/>
        <w:rPr>
          <w:b/>
          <w:bCs/>
        </w:rPr>
      </w:pPr>
      <w:r>
        <w:rPr>
          <w:b/>
          <w:bCs/>
        </w:rPr>
        <w:br w:type="page"/>
      </w:r>
      <w:r w:rsidR="00CE3905">
        <w:rPr>
          <w:b/>
          <w:bCs/>
        </w:rPr>
        <w:lastRenderedPageBreak/>
        <w:t>APPENDIX A</w:t>
      </w:r>
    </w:p>
    <w:p w:rsidR="00797F70" w:rsidRDefault="00797F70">
      <w:pPr>
        <w:jc w:val="center"/>
        <w:rPr>
          <w:b/>
          <w:bCs/>
          <w:sz w:val="24"/>
        </w:rPr>
      </w:pPr>
    </w:p>
    <w:p w:rsidR="00797F70" w:rsidRDefault="00CE3905">
      <w:pPr>
        <w:pStyle w:val="BodyText"/>
      </w:pPr>
      <w:r>
        <w:rPr>
          <w:u w:val="single"/>
        </w:rPr>
        <w:t>EXPENSE TYPES</w:t>
      </w:r>
      <w:r>
        <w:t>: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sz w:val="24"/>
        </w:rPr>
        <w:t xml:space="preserve">Within each major function, specific types of expenses are grouped together.  These groupings utilize the first two (2) digits of the object.  For instance, salary-related object codes always begin with </w:t>
      </w:r>
      <w:r>
        <w:rPr>
          <w:b/>
          <w:bCs/>
          <w:sz w:val="24"/>
          <w:u w:val="single"/>
        </w:rPr>
        <w:t xml:space="preserve">01 </w:t>
      </w:r>
      <w:r>
        <w:rPr>
          <w:sz w:val="24"/>
        </w:rPr>
        <w:t>(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 xml:space="preserve">10, 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 xml:space="preserve">20, 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>30, etc.), so the “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>” causes these expenses to be combined in the expense type grouping “</w:t>
      </w:r>
      <w:r>
        <w:rPr>
          <w:b/>
          <w:bCs/>
          <w:sz w:val="24"/>
        </w:rPr>
        <w:t>0100</w:t>
      </w:r>
      <w:r>
        <w:rPr>
          <w:sz w:val="24"/>
        </w:rPr>
        <w:t xml:space="preserve">.”  The following summarizes the types of expenses grouped under the function:  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0100</w:t>
      </w:r>
      <w:r>
        <w:rPr>
          <w:b/>
          <w:bCs/>
          <w:sz w:val="24"/>
        </w:rPr>
        <w:tab/>
        <w:t>Salaries Personnel Services</w:t>
      </w:r>
      <w:r>
        <w:rPr>
          <w:sz w:val="24"/>
        </w:rPr>
        <w:t xml:space="preserve"> – salary-related expenses, such as wages, stipends,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0200</w:t>
      </w:r>
      <w:r>
        <w:rPr>
          <w:b/>
          <w:bCs/>
          <w:sz w:val="24"/>
        </w:rPr>
        <w:tab/>
        <w:t xml:space="preserve">Employee </w:t>
      </w:r>
      <w:proofErr w:type="gramStart"/>
      <w:r>
        <w:rPr>
          <w:b/>
          <w:bCs/>
          <w:sz w:val="24"/>
        </w:rPr>
        <w:t xml:space="preserve">Benefits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fringe benefits, such as employee insurance, FICA match, Medicare match, CERS match, and KTRS match, when applicable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0300</w:t>
      </w:r>
      <w:r>
        <w:rPr>
          <w:b/>
          <w:bCs/>
          <w:sz w:val="24"/>
        </w:rPr>
        <w:tab/>
        <w:t>Purchased Professional &amp; Technical Services</w:t>
      </w:r>
      <w:r>
        <w:rPr>
          <w:sz w:val="24"/>
        </w:rPr>
        <w:t xml:space="preserve"> – contractual services, such as legal, consultants, audit, architectural, engineering,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0400</w:t>
      </w:r>
      <w:r>
        <w:rPr>
          <w:b/>
          <w:bCs/>
          <w:sz w:val="24"/>
        </w:rPr>
        <w:tab/>
        <w:t>Purchased Property Services</w:t>
      </w:r>
      <w:r>
        <w:rPr>
          <w:sz w:val="24"/>
        </w:rPr>
        <w:t xml:space="preserve"> – other services, such as repairs/maintenance, rent utilities,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0500</w:t>
      </w:r>
      <w:r>
        <w:rPr>
          <w:b/>
          <w:bCs/>
          <w:sz w:val="24"/>
        </w:rPr>
        <w:tab/>
        <w:t>Other Purchased Services</w:t>
      </w:r>
      <w:r>
        <w:rPr>
          <w:sz w:val="24"/>
        </w:rPr>
        <w:t xml:space="preserve"> – expenses such as travel, telephone, postage, advertising, insurance, printing,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0600</w:t>
      </w:r>
      <w:r>
        <w:rPr>
          <w:b/>
          <w:bCs/>
          <w:sz w:val="24"/>
        </w:rPr>
        <w:tab/>
        <w:t>Supplies &amp; Materials</w:t>
      </w:r>
      <w:r>
        <w:rPr>
          <w:sz w:val="24"/>
        </w:rPr>
        <w:t xml:space="preserve"> – expenses such as general supplies, textbooks, reference materials, software, food, testing materials,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0700</w:t>
      </w:r>
      <w:r>
        <w:rPr>
          <w:b/>
          <w:bCs/>
          <w:sz w:val="24"/>
        </w:rPr>
        <w:tab/>
        <w:t>Property</w:t>
      </w:r>
      <w:r>
        <w:rPr>
          <w:sz w:val="24"/>
        </w:rPr>
        <w:t xml:space="preserve"> – furniture, fixtures, equipment, computers, buses,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0800</w:t>
      </w:r>
      <w:r>
        <w:rPr>
          <w:b/>
          <w:bCs/>
          <w:sz w:val="24"/>
        </w:rPr>
        <w:tab/>
        <w:t>Miscellaneous</w:t>
      </w:r>
      <w:r>
        <w:rPr>
          <w:sz w:val="24"/>
        </w:rPr>
        <w:t xml:space="preserve"> – fieldtrip expenses (other than the driver’s salary), registration, fees, permits, uniforms,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0840</w:t>
      </w:r>
      <w:r>
        <w:rPr>
          <w:b/>
          <w:bCs/>
          <w:sz w:val="24"/>
        </w:rPr>
        <w:tab/>
        <w:t>Contingency</w:t>
      </w:r>
      <w:r>
        <w:rPr>
          <w:sz w:val="24"/>
        </w:rPr>
        <w:t xml:space="preserve"> – used for budgeting purposes only as determined by the Board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0900</w:t>
      </w:r>
      <w:r>
        <w:rPr>
          <w:b/>
          <w:bCs/>
          <w:sz w:val="24"/>
        </w:rPr>
        <w:tab/>
        <w:t>Other Uses of Funds</w:t>
      </w:r>
      <w:r>
        <w:rPr>
          <w:sz w:val="24"/>
        </w:rPr>
        <w:t xml:space="preserve"> – fund transfers and principal and interest payments on bonds</w:t>
      </w:r>
    </w:p>
    <w:p w:rsidR="00797F70" w:rsidRDefault="00797F70"/>
    <w:p w:rsidR="00797F70" w:rsidRDefault="00797F70">
      <w:pPr>
        <w:rPr>
          <w:rFonts w:ascii="Times New Roman" w:hAnsi="Times New Roman"/>
          <w:shadow w:val="0"/>
          <w:sz w:val="24"/>
        </w:rPr>
      </w:pPr>
    </w:p>
    <w:sectPr w:rsidR="00797F70" w:rsidSect="009F6CA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BC" w:rsidRDefault="00F81CBC">
      <w:r>
        <w:separator/>
      </w:r>
    </w:p>
  </w:endnote>
  <w:endnote w:type="continuationSeparator" w:id="0">
    <w:p w:rsidR="00F81CBC" w:rsidRDefault="00F8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0" w:rsidRDefault="009802B0">
    <w:pPr>
      <w:pStyle w:val="Footer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9802B0" w:rsidRDefault="009802B0">
    <w:pPr>
      <w:pStyle w:val="Footer"/>
      <w:rPr>
        <w:shadow w:val="0"/>
      </w:rPr>
    </w:pPr>
  </w:p>
  <w:p w:rsidR="009802B0" w:rsidRDefault="009802B0">
    <w:pPr>
      <w:pStyle w:val="Footer"/>
      <w:tabs>
        <w:tab w:val="left" w:pos="7110"/>
      </w:tabs>
      <w:rPr>
        <w:shadow w:val="0"/>
        <w:sz w:val="24"/>
      </w:rPr>
    </w:pPr>
    <w:r>
      <w:rPr>
        <w:shadow w:val="0"/>
      </w:rPr>
      <w:tab/>
    </w:r>
    <w:r>
      <w:rPr>
        <w:shadow w:val="0"/>
      </w:rPr>
      <w:tab/>
      <w:t xml:space="preserve">                Final - </w:t>
    </w:r>
    <w:r>
      <w:rPr>
        <w:shadow w:val="0"/>
        <w:sz w:val="24"/>
      </w:rPr>
      <w:t xml:space="preserve">Page </w:t>
    </w:r>
    <w:r w:rsidR="00B218E6">
      <w:rPr>
        <w:rStyle w:val="PageNumber"/>
        <w:shadow w:val="0"/>
      </w:rPr>
      <w:fldChar w:fldCharType="begin"/>
    </w:r>
    <w:r>
      <w:rPr>
        <w:rStyle w:val="PageNumber"/>
        <w:shadow w:val="0"/>
      </w:rPr>
      <w:instrText xml:space="preserve"> PAGE </w:instrText>
    </w:r>
    <w:r w:rsidR="00B218E6">
      <w:rPr>
        <w:rStyle w:val="PageNumber"/>
        <w:shadow w:val="0"/>
      </w:rPr>
      <w:fldChar w:fldCharType="separate"/>
    </w:r>
    <w:r w:rsidR="00F22FAB">
      <w:rPr>
        <w:rStyle w:val="PageNumber"/>
        <w:shadow w:val="0"/>
        <w:noProof/>
      </w:rPr>
      <w:t>1</w:t>
    </w:r>
    <w:r w:rsidR="00B218E6">
      <w:rPr>
        <w:rStyle w:val="PageNumber"/>
        <w:shadow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BC" w:rsidRDefault="00F81CBC">
      <w:r>
        <w:separator/>
      </w:r>
    </w:p>
  </w:footnote>
  <w:footnote w:type="continuationSeparator" w:id="0">
    <w:p w:rsidR="00F81CBC" w:rsidRDefault="00F8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0" w:rsidRDefault="009802B0">
    <w:pPr>
      <w:pStyle w:val="Header"/>
      <w:tabs>
        <w:tab w:val="left" w:pos="6480"/>
      </w:tabs>
      <w:rPr>
        <w:shadow w:val="0"/>
      </w:rPr>
    </w:pPr>
    <w:r>
      <w:rPr>
        <w:shadow w:val="0"/>
      </w:rPr>
      <w:t>Elizabethtown Board of Education</w:t>
    </w:r>
    <w:r>
      <w:rPr>
        <w:shadow w:val="0"/>
      </w:rPr>
      <w:tab/>
    </w:r>
    <w:r>
      <w:rPr>
        <w:shadow w:val="0"/>
      </w:rPr>
      <w:tab/>
      <w:t xml:space="preserve">                                      Enclosure</w:t>
    </w:r>
  </w:p>
  <w:p w:rsidR="009802B0" w:rsidRDefault="009802B0">
    <w:pPr>
      <w:pStyle w:val="Header"/>
      <w:tabs>
        <w:tab w:val="left" w:pos="6480"/>
      </w:tabs>
      <w:rPr>
        <w:shadow w:val="0"/>
      </w:rPr>
    </w:pPr>
    <w:r>
      <w:rPr>
        <w:shadow w:val="0"/>
      </w:rPr>
      <w:tab/>
    </w:r>
    <w:r>
      <w:rPr>
        <w:shadow w:val="0"/>
      </w:rPr>
      <w:tab/>
      <w:t xml:space="preserve">                      September 17, 2012</w:t>
    </w:r>
  </w:p>
  <w:p w:rsidR="009802B0" w:rsidRDefault="009802B0">
    <w:pPr>
      <w:pStyle w:val="Header"/>
      <w:pBdr>
        <w:bottom w:val="single" w:sz="4" w:space="1" w:color="auto"/>
      </w:pBdr>
      <w:tabs>
        <w:tab w:val="left" w:pos="6480"/>
      </w:tabs>
    </w:pPr>
  </w:p>
  <w:p w:rsidR="009802B0" w:rsidRDefault="009802B0">
    <w:pPr>
      <w:pStyle w:val="Header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3356"/>
    <w:multiLevelType w:val="hybridMultilevel"/>
    <w:tmpl w:val="70A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B9F"/>
    <w:multiLevelType w:val="singleLevel"/>
    <w:tmpl w:val="4DB21DB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7F117A"/>
    <w:multiLevelType w:val="singleLevel"/>
    <w:tmpl w:val="40D22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5A5FFB"/>
    <w:multiLevelType w:val="singleLevel"/>
    <w:tmpl w:val="04090001"/>
    <w:lvl w:ilvl="0">
      <w:start w:val="5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F83435"/>
    <w:multiLevelType w:val="hybridMultilevel"/>
    <w:tmpl w:val="15C8F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PSpeechSessionSaved$" w:val="@௄ௐ'G㱸ꖖ"/>
  </w:docVars>
  <w:rsids>
    <w:rsidRoot w:val="00CE3905"/>
    <w:rsid w:val="000022C2"/>
    <w:rsid w:val="00016DCB"/>
    <w:rsid w:val="0002123F"/>
    <w:rsid w:val="00057A6D"/>
    <w:rsid w:val="00060562"/>
    <w:rsid w:val="00085003"/>
    <w:rsid w:val="000850E9"/>
    <w:rsid w:val="000958D2"/>
    <w:rsid w:val="000A1504"/>
    <w:rsid w:val="000B5611"/>
    <w:rsid w:val="000E5122"/>
    <w:rsid w:val="000F0FFB"/>
    <w:rsid w:val="000F3459"/>
    <w:rsid w:val="000F3507"/>
    <w:rsid w:val="001028A5"/>
    <w:rsid w:val="00102A3E"/>
    <w:rsid w:val="00111BF8"/>
    <w:rsid w:val="00111CB6"/>
    <w:rsid w:val="00114312"/>
    <w:rsid w:val="001152C6"/>
    <w:rsid w:val="001237EE"/>
    <w:rsid w:val="00126AEB"/>
    <w:rsid w:val="00131CFA"/>
    <w:rsid w:val="00132C5A"/>
    <w:rsid w:val="001407D0"/>
    <w:rsid w:val="00164058"/>
    <w:rsid w:val="001742AF"/>
    <w:rsid w:val="00184811"/>
    <w:rsid w:val="001A0BE7"/>
    <w:rsid w:val="001B4809"/>
    <w:rsid w:val="001C6F56"/>
    <w:rsid w:val="001E03C9"/>
    <w:rsid w:val="001F10C9"/>
    <w:rsid w:val="00203E56"/>
    <w:rsid w:val="002349A2"/>
    <w:rsid w:val="00247143"/>
    <w:rsid w:val="00254E09"/>
    <w:rsid w:val="002555BD"/>
    <w:rsid w:val="002561DC"/>
    <w:rsid w:val="00257E0C"/>
    <w:rsid w:val="0029475D"/>
    <w:rsid w:val="00296488"/>
    <w:rsid w:val="002A2DF0"/>
    <w:rsid w:val="002C5E73"/>
    <w:rsid w:val="002F0FF3"/>
    <w:rsid w:val="002F522B"/>
    <w:rsid w:val="00313CCF"/>
    <w:rsid w:val="003308A7"/>
    <w:rsid w:val="00346AD8"/>
    <w:rsid w:val="00390F1B"/>
    <w:rsid w:val="003918A1"/>
    <w:rsid w:val="003A4411"/>
    <w:rsid w:val="003B523E"/>
    <w:rsid w:val="003C3297"/>
    <w:rsid w:val="003C3E4C"/>
    <w:rsid w:val="00403E7D"/>
    <w:rsid w:val="00410575"/>
    <w:rsid w:val="00413E5C"/>
    <w:rsid w:val="0041774A"/>
    <w:rsid w:val="00421485"/>
    <w:rsid w:val="0042609C"/>
    <w:rsid w:val="00432E44"/>
    <w:rsid w:val="004705A4"/>
    <w:rsid w:val="004962B4"/>
    <w:rsid w:val="004B159F"/>
    <w:rsid w:val="004C45AC"/>
    <w:rsid w:val="004E4011"/>
    <w:rsid w:val="004E4B87"/>
    <w:rsid w:val="004F2E0B"/>
    <w:rsid w:val="00510A28"/>
    <w:rsid w:val="00516F16"/>
    <w:rsid w:val="00527F85"/>
    <w:rsid w:val="00532734"/>
    <w:rsid w:val="00532843"/>
    <w:rsid w:val="00532D6E"/>
    <w:rsid w:val="00534665"/>
    <w:rsid w:val="0053677E"/>
    <w:rsid w:val="0056733F"/>
    <w:rsid w:val="00586317"/>
    <w:rsid w:val="005A3AB4"/>
    <w:rsid w:val="005C0BC7"/>
    <w:rsid w:val="005D514D"/>
    <w:rsid w:val="005D684C"/>
    <w:rsid w:val="005E6541"/>
    <w:rsid w:val="005F0534"/>
    <w:rsid w:val="005F1175"/>
    <w:rsid w:val="005F30B9"/>
    <w:rsid w:val="00646DDF"/>
    <w:rsid w:val="0065662D"/>
    <w:rsid w:val="00666E2A"/>
    <w:rsid w:val="006737D5"/>
    <w:rsid w:val="006767CE"/>
    <w:rsid w:val="0069163E"/>
    <w:rsid w:val="006A184E"/>
    <w:rsid w:val="006A78C0"/>
    <w:rsid w:val="006B5845"/>
    <w:rsid w:val="006B76A5"/>
    <w:rsid w:val="006D4A85"/>
    <w:rsid w:val="006F5576"/>
    <w:rsid w:val="006F7EEC"/>
    <w:rsid w:val="0070102E"/>
    <w:rsid w:val="00707F7B"/>
    <w:rsid w:val="00727829"/>
    <w:rsid w:val="0073695E"/>
    <w:rsid w:val="0074300B"/>
    <w:rsid w:val="007576BF"/>
    <w:rsid w:val="0076479D"/>
    <w:rsid w:val="00780069"/>
    <w:rsid w:val="007804BA"/>
    <w:rsid w:val="0078218A"/>
    <w:rsid w:val="007826CB"/>
    <w:rsid w:val="00784809"/>
    <w:rsid w:val="00797F70"/>
    <w:rsid w:val="007A546F"/>
    <w:rsid w:val="007B6BF0"/>
    <w:rsid w:val="007C4283"/>
    <w:rsid w:val="007C6AFD"/>
    <w:rsid w:val="007E113F"/>
    <w:rsid w:val="007E6C85"/>
    <w:rsid w:val="007F21CA"/>
    <w:rsid w:val="007F4D48"/>
    <w:rsid w:val="007F595D"/>
    <w:rsid w:val="00800AAA"/>
    <w:rsid w:val="00801716"/>
    <w:rsid w:val="00802B67"/>
    <w:rsid w:val="008049B6"/>
    <w:rsid w:val="00814AEF"/>
    <w:rsid w:val="00821C14"/>
    <w:rsid w:val="00840F85"/>
    <w:rsid w:val="008545A6"/>
    <w:rsid w:val="008571C4"/>
    <w:rsid w:val="00862697"/>
    <w:rsid w:val="00867AEB"/>
    <w:rsid w:val="00871574"/>
    <w:rsid w:val="00890F27"/>
    <w:rsid w:val="0089143B"/>
    <w:rsid w:val="008A3DAE"/>
    <w:rsid w:val="008A5191"/>
    <w:rsid w:val="008B2EC9"/>
    <w:rsid w:val="008B317B"/>
    <w:rsid w:val="008B4FEA"/>
    <w:rsid w:val="008B5E38"/>
    <w:rsid w:val="008D32EE"/>
    <w:rsid w:val="008D5A3F"/>
    <w:rsid w:val="008E2BDE"/>
    <w:rsid w:val="008E7277"/>
    <w:rsid w:val="008E72E4"/>
    <w:rsid w:val="008F2E7F"/>
    <w:rsid w:val="008F74DB"/>
    <w:rsid w:val="0092300C"/>
    <w:rsid w:val="009435CF"/>
    <w:rsid w:val="00964CB5"/>
    <w:rsid w:val="00973A9A"/>
    <w:rsid w:val="009802B0"/>
    <w:rsid w:val="009827B8"/>
    <w:rsid w:val="009864B9"/>
    <w:rsid w:val="009A50DF"/>
    <w:rsid w:val="009D1156"/>
    <w:rsid w:val="009D2312"/>
    <w:rsid w:val="009F6CAE"/>
    <w:rsid w:val="00A21518"/>
    <w:rsid w:val="00A22A5D"/>
    <w:rsid w:val="00A52FC9"/>
    <w:rsid w:val="00A579C1"/>
    <w:rsid w:val="00A63339"/>
    <w:rsid w:val="00A72BB9"/>
    <w:rsid w:val="00A877B2"/>
    <w:rsid w:val="00A92717"/>
    <w:rsid w:val="00A92D0A"/>
    <w:rsid w:val="00A94B4C"/>
    <w:rsid w:val="00AA28A0"/>
    <w:rsid w:val="00AA3DF1"/>
    <w:rsid w:val="00AB6330"/>
    <w:rsid w:val="00AC789A"/>
    <w:rsid w:val="00AD1B98"/>
    <w:rsid w:val="00AD2E42"/>
    <w:rsid w:val="00AE02AF"/>
    <w:rsid w:val="00B040E5"/>
    <w:rsid w:val="00B218E6"/>
    <w:rsid w:val="00B21F05"/>
    <w:rsid w:val="00B230D7"/>
    <w:rsid w:val="00B34E9F"/>
    <w:rsid w:val="00B415B5"/>
    <w:rsid w:val="00B47A4A"/>
    <w:rsid w:val="00B5091C"/>
    <w:rsid w:val="00B62258"/>
    <w:rsid w:val="00B64ED1"/>
    <w:rsid w:val="00B77627"/>
    <w:rsid w:val="00B879C9"/>
    <w:rsid w:val="00B94EDB"/>
    <w:rsid w:val="00B96627"/>
    <w:rsid w:val="00BD025C"/>
    <w:rsid w:val="00BE1CD8"/>
    <w:rsid w:val="00BE3944"/>
    <w:rsid w:val="00C210B9"/>
    <w:rsid w:val="00C22982"/>
    <w:rsid w:val="00C3445D"/>
    <w:rsid w:val="00C37BD7"/>
    <w:rsid w:val="00C45FB5"/>
    <w:rsid w:val="00C5161C"/>
    <w:rsid w:val="00C55195"/>
    <w:rsid w:val="00C70DC5"/>
    <w:rsid w:val="00C728F8"/>
    <w:rsid w:val="00C81C71"/>
    <w:rsid w:val="00C9470F"/>
    <w:rsid w:val="00CA1B6C"/>
    <w:rsid w:val="00CA416C"/>
    <w:rsid w:val="00CA6172"/>
    <w:rsid w:val="00CC3E61"/>
    <w:rsid w:val="00CE336F"/>
    <w:rsid w:val="00CE3905"/>
    <w:rsid w:val="00CF68CB"/>
    <w:rsid w:val="00CF79C6"/>
    <w:rsid w:val="00D01921"/>
    <w:rsid w:val="00D06734"/>
    <w:rsid w:val="00D073EA"/>
    <w:rsid w:val="00D153BF"/>
    <w:rsid w:val="00D214B9"/>
    <w:rsid w:val="00D337FC"/>
    <w:rsid w:val="00D5271D"/>
    <w:rsid w:val="00D82B14"/>
    <w:rsid w:val="00D91D0E"/>
    <w:rsid w:val="00E1229F"/>
    <w:rsid w:val="00E15C7D"/>
    <w:rsid w:val="00E2512B"/>
    <w:rsid w:val="00E26A66"/>
    <w:rsid w:val="00E33C3F"/>
    <w:rsid w:val="00E4583F"/>
    <w:rsid w:val="00E52A86"/>
    <w:rsid w:val="00E53785"/>
    <w:rsid w:val="00E6064A"/>
    <w:rsid w:val="00E77C05"/>
    <w:rsid w:val="00E9079E"/>
    <w:rsid w:val="00EA1B4E"/>
    <w:rsid w:val="00EA402A"/>
    <w:rsid w:val="00EA67DE"/>
    <w:rsid w:val="00ED6F49"/>
    <w:rsid w:val="00EF039B"/>
    <w:rsid w:val="00EF0E76"/>
    <w:rsid w:val="00EF2848"/>
    <w:rsid w:val="00EF4FDC"/>
    <w:rsid w:val="00F03A96"/>
    <w:rsid w:val="00F05CB4"/>
    <w:rsid w:val="00F16269"/>
    <w:rsid w:val="00F20D45"/>
    <w:rsid w:val="00F22FAB"/>
    <w:rsid w:val="00F26490"/>
    <w:rsid w:val="00F516A9"/>
    <w:rsid w:val="00F74FB2"/>
    <w:rsid w:val="00F81CBC"/>
    <w:rsid w:val="00F82EB0"/>
    <w:rsid w:val="00F87FEE"/>
    <w:rsid w:val="00F97CD9"/>
    <w:rsid w:val="00FA67D2"/>
    <w:rsid w:val="00FB0F8F"/>
    <w:rsid w:val="00FB2A93"/>
    <w:rsid w:val="00FC11DD"/>
    <w:rsid w:val="00FE0204"/>
    <w:rsid w:val="00FE713D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0"/>
    <w:rPr>
      <w:rFonts w:ascii="Tms Rmn" w:hAnsi="Tms Rmn"/>
      <w:shadow/>
    </w:rPr>
  </w:style>
  <w:style w:type="paragraph" w:styleId="Heading1">
    <w:name w:val="heading 1"/>
    <w:basedOn w:val="Normal"/>
    <w:next w:val="Normal"/>
    <w:qFormat/>
    <w:rsid w:val="00797F70"/>
    <w:pPr>
      <w:keepNext/>
      <w:outlineLvl w:val="0"/>
    </w:pPr>
    <w:rPr>
      <w:shadow w:val="0"/>
      <w:sz w:val="24"/>
    </w:rPr>
  </w:style>
  <w:style w:type="paragraph" w:styleId="Heading2">
    <w:name w:val="heading 2"/>
    <w:basedOn w:val="Normal"/>
    <w:next w:val="Normal"/>
    <w:qFormat/>
    <w:rsid w:val="00797F70"/>
    <w:pPr>
      <w:keepNext/>
      <w:jc w:val="center"/>
      <w:outlineLvl w:val="1"/>
    </w:pPr>
    <w:rPr>
      <w:shadow w:val="0"/>
      <w:sz w:val="24"/>
    </w:rPr>
  </w:style>
  <w:style w:type="paragraph" w:styleId="Heading3">
    <w:name w:val="heading 3"/>
    <w:basedOn w:val="Normal"/>
    <w:next w:val="Normal"/>
    <w:qFormat/>
    <w:rsid w:val="00797F70"/>
    <w:pPr>
      <w:keepNext/>
      <w:outlineLvl w:val="2"/>
    </w:pPr>
    <w:rPr>
      <w:shadow w:val="0"/>
      <w:sz w:val="24"/>
      <w:u w:val="single"/>
    </w:rPr>
  </w:style>
  <w:style w:type="paragraph" w:styleId="Heading4">
    <w:name w:val="heading 4"/>
    <w:basedOn w:val="Normal"/>
    <w:next w:val="Normal"/>
    <w:qFormat/>
    <w:rsid w:val="00797F7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97F70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7F70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97F7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97F7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97F7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97F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97F7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97F70"/>
    <w:rPr>
      <w:position w:val="6"/>
      <w:sz w:val="16"/>
    </w:rPr>
  </w:style>
  <w:style w:type="paragraph" w:styleId="FootnoteText">
    <w:name w:val="footnote text"/>
    <w:basedOn w:val="Normal"/>
    <w:semiHidden/>
    <w:rsid w:val="00797F70"/>
  </w:style>
  <w:style w:type="character" w:styleId="PageNumber">
    <w:name w:val="page number"/>
    <w:basedOn w:val="DefaultParagraphFont"/>
    <w:semiHidden/>
    <w:rsid w:val="00797F70"/>
  </w:style>
  <w:style w:type="paragraph" w:styleId="BodyText">
    <w:name w:val="Body Text"/>
    <w:basedOn w:val="Normal"/>
    <w:semiHidden/>
    <w:rsid w:val="00797F70"/>
    <w:rPr>
      <w:shadow w:val="0"/>
      <w:sz w:val="24"/>
    </w:rPr>
  </w:style>
  <w:style w:type="paragraph" w:styleId="Title">
    <w:name w:val="Title"/>
    <w:basedOn w:val="Normal"/>
    <w:qFormat/>
    <w:rsid w:val="00797F70"/>
    <w:pPr>
      <w:tabs>
        <w:tab w:val="right" w:pos="111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40"/>
      </w:tabs>
      <w:suppressAutoHyphens/>
      <w:jc w:val="center"/>
    </w:pPr>
    <w:rPr>
      <w:rFonts w:ascii="Times New Roman" w:hAnsi="Times New Roman"/>
      <w:b/>
      <w:shadow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D1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92D7-E30B-4684-9B7C-248CE5E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C:\ETOWN\TAXLEVY.DOC________ENCLOSURE</vt:lpstr>
    </vt:vector>
  </TitlesOfParts>
  <Company>Arvin School Management Assoc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C:\ETOWN\TAXLEVY.DOC________ENCLOSURE</dc:title>
  <dc:creator>Robert L. Arvin</dc:creator>
  <cp:lastModifiedBy>mmaples</cp:lastModifiedBy>
  <cp:revision>2</cp:revision>
  <cp:lastPrinted>2012-09-12T19:55:00Z</cp:lastPrinted>
  <dcterms:created xsi:type="dcterms:W3CDTF">2012-09-12T19:55:00Z</dcterms:created>
  <dcterms:modified xsi:type="dcterms:W3CDTF">2012-09-12T19:55:00Z</dcterms:modified>
</cp:coreProperties>
</file>