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08" w:rsidRPr="00ED772F" w:rsidRDefault="00A12C90" w:rsidP="00ED772F">
      <w:pPr>
        <w:spacing w:line="240" w:lineRule="auto"/>
        <w:jc w:val="center"/>
        <w:rPr>
          <w:b/>
          <w:sz w:val="32"/>
        </w:rPr>
      </w:pPr>
      <w:r>
        <w:rPr>
          <w:b/>
          <w:sz w:val="32"/>
        </w:rPr>
        <w:t>Southgate School</w:t>
      </w:r>
      <w:r w:rsidR="00ED772F" w:rsidRPr="00ED772F">
        <w:rPr>
          <w:b/>
          <w:sz w:val="32"/>
        </w:rPr>
        <w:t xml:space="preserve"> Energy </w:t>
      </w:r>
      <w:r w:rsidR="00254BDC">
        <w:rPr>
          <w:b/>
          <w:sz w:val="32"/>
        </w:rPr>
        <w:t>Manager Report</w:t>
      </w:r>
    </w:p>
    <w:p w:rsidR="00ED772F" w:rsidRDefault="00D4513E" w:rsidP="00ED772F">
      <w:pPr>
        <w:spacing w:line="240" w:lineRule="auto"/>
        <w:jc w:val="center"/>
        <w:rPr>
          <w:b/>
          <w:sz w:val="32"/>
        </w:rPr>
      </w:pPr>
      <w:r>
        <w:rPr>
          <w:b/>
          <w:sz w:val="32"/>
        </w:rPr>
        <w:t>September</w:t>
      </w:r>
      <w:r w:rsidR="00ED772F" w:rsidRPr="00ED772F">
        <w:rPr>
          <w:b/>
          <w:sz w:val="32"/>
        </w:rPr>
        <w:t xml:space="preserve"> </w:t>
      </w:r>
      <w:r w:rsidR="00AD5091">
        <w:rPr>
          <w:b/>
          <w:sz w:val="32"/>
        </w:rPr>
        <w:t>4</w:t>
      </w:r>
      <w:r w:rsidR="00ED772F" w:rsidRPr="00ED772F">
        <w:rPr>
          <w:b/>
          <w:sz w:val="32"/>
        </w:rPr>
        <w:t>, 2012</w:t>
      </w:r>
    </w:p>
    <w:p w:rsidR="0056156A" w:rsidRDefault="008C5EB5" w:rsidP="0056156A">
      <w:pPr>
        <w:spacing w:line="240" w:lineRule="auto"/>
        <w:jc w:val="center"/>
        <w:rPr>
          <w:b/>
          <w:sz w:val="24"/>
        </w:rPr>
      </w:pPr>
      <w:r>
        <w:rPr>
          <w:b/>
          <w:sz w:val="24"/>
        </w:rPr>
        <w:t xml:space="preserve">Note: Data is current through </w:t>
      </w:r>
      <w:r w:rsidR="009B1683">
        <w:rPr>
          <w:b/>
          <w:sz w:val="24"/>
        </w:rPr>
        <w:t>August</w:t>
      </w:r>
      <w:r>
        <w:rPr>
          <w:b/>
          <w:sz w:val="24"/>
        </w:rPr>
        <w:t xml:space="preserve"> </w:t>
      </w:r>
      <w:r w:rsidR="0056156A">
        <w:rPr>
          <w:b/>
          <w:sz w:val="24"/>
        </w:rPr>
        <w:t>3</w:t>
      </w:r>
      <w:r w:rsidR="009B1683">
        <w:rPr>
          <w:b/>
          <w:sz w:val="24"/>
        </w:rPr>
        <w:t>0th</w:t>
      </w:r>
      <w:r w:rsidR="0077649D">
        <w:rPr>
          <w:b/>
          <w:sz w:val="24"/>
        </w:rPr>
        <w:t xml:space="preserve"> </w:t>
      </w:r>
    </w:p>
    <w:p w:rsidR="00C01C20" w:rsidRPr="00C01C20" w:rsidRDefault="00C01C20" w:rsidP="0056156A">
      <w:pPr>
        <w:spacing w:line="240" w:lineRule="auto"/>
        <w:rPr>
          <w:b/>
          <w:sz w:val="24"/>
          <w:u w:val="single"/>
        </w:rPr>
      </w:pPr>
      <w:r w:rsidRPr="00C01C20">
        <w:rPr>
          <w:b/>
          <w:sz w:val="24"/>
          <w:u w:val="single"/>
        </w:rPr>
        <w:t>Degree Day Info:</w:t>
      </w:r>
    </w:p>
    <w:p w:rsidR="00C01C20" w:rsidRDefault="009B1683" w:rsidP="00C01C20">
      <w:pPr>
        <w:spacing w:line="240" w:lineRule="auto"/>
        <w:jc w:val="center"/>
        <w:rPr>
          <w:b/>
          <w:sz w:val="24"/>
        </w:rPr>
      </w:pPr>
      <w:r w:rsidRPr="009B1683">
        <w:rPr>
          <w:b/>
          <w:noProof/>
          <w:sz w:val="24"/>
        </w:rPr>
        <w:drawing>
          <wp:inline distT="0" distB="0" distL="0" distR="0">
            <wp:extent cx="5534025" cy="30670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156A" w:rsidRDefault="009B1683" w:rsidP="00C01C20">
      <w:pPr>
        <w:spacing w:line="240" w:lineRule="auto"/>
        <w:jc w:val="center"/>
        <w:rPr>
          <w:b/>
          <w:sz w:val="24"/>
        </w:rPr>
      </w:pPr>
      <w:r w:rsidRPr="009B1683">
        <w:rPr>
          <w:b/>
          <w:noProof/>
          <w:sz w:val="24"/>
        </w:rPr>
        <w:drawing>
          <wp:inline distT="0" distB="0" distL="0" distR="0">
            <wp:extent cx="5476875" cy="36099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4043" w:rsidRDefault="000C4043" w:rsidP="000C4043">
      <w:pPr>
        <w:pStyle w:val="NormalWeb"/>
        <w:rPr>
          <w:b/>
          <w:color w:val="000000"/>
          <w:u w:val="single"/>
        </w:rPr>
      </w:pPr>
      <w:r w:rsidRPr="0058737E">
        <w:rPr>
          <w:b/>
          <w:color w:val="000000"/>
          <w:u w:val="single"/>
        </w:rPr>
        <w:lastRenderedPageBreak/>
        <w:t>Degree Day Background Information</w:t>
      </w:r>
    </w:p>
    <w:p w:rsidR="000C4043" w:rsidRDefault="000C4043" w:rsidP="003B3923">
      <w:pPr>
        <w:pStyle w:val="NormalWeb"/>
        <w:spacing w:line="240" w:lineRule="auto"/>
        <w:rPr>
          <w:color w:val="000000"/>
        </w:rPr>
      </w:pPr>
      <w:r>
        <w:rPr>
          <w:color w:val="000000"/>
        </w:rPr>
        <w:t>Degree days are essentially a simplified representation of outside air-temperature data. They are widely used in the energy industry for calculations relating to the effect of outside air temperature on building energy consumption.</w:t>
      </w:r>
    </w:p>
    <w:p w:rsidR="000C4043" w:rsidRDefault="000C4043" w:rsidP="003B3923">
      <w:pPr>
        <w:pStyle w:val="NormalWeb"/>
        <w:spacing w:line="240" w:lineRule="auto"/>
        <w:rPr>
          <w:color w:val="000000"/>
        </w:rPr>
      </w:pPr>
      <w:r>
        <w:rPr>
          <w:color w:val="000000"/>
        </w:rPr>
        <w:t>"</w:t>
      </w:r>
      <w:r>
        <w:rPr>
          <w:i/>
          <w:iCs/>
          <w:color w:val="000000"/>
        </w:rPr>
        <w:t>Heating degree days</w:t>
      </w:r>
      <w:r>
        <w:rPr>
          <w:color w:val="000000"/>
        </w:rPr>
        <w:t>", or "</w:t>
      </w:r>
      <w:r>
        <w:rPr>
          <w:i/>
          <w:iCs/>
          <w:color w:val="000000"/>
        </w:rPr>
        <w:t>HDD</w:t>
      </w:r>
      <w:r>
        <w:rPr>
          <w:color w:val="000000"/>
        </w:rPr>
        <w:t xml:space="preserve">", are a measure of how much (in degrees), and for how long (in days), outside air temperature was </w:t>
      </w:r>
      <w:r>
        <w:rPr>
          <w:i/>
          <w:iCs/>
          <w:color w:val="000000"/>
        </w:rPr>
        <w:t>lower</w:t>
      </w:r>
      <w:r>
        <w:rPr>
          <w:color w:val="000000"/>
        </w:rPr>
        <w:t xml:space="preserve"> than a specific "</w:t>
      </w:r>
      <w:r>
        <w:rPr>
          <w:i/>
          <w:iCs/>
          <w:color w:val="000000"/>
        </w:rPr>
        <w:t>base temperature</w:t>
      </w:r>
      <w:r>
        <w:rPr>
          <w:color w:val="000000"/>
        </w:rPr>
        <w:t>" (or "</w:t>
      </w:r>
      <w:r>
        <w:rPr>
          <w:i/>
          <w:iCs/>
          <w:color w:val="000000"/>
        </w:rPr>
        <w:t>balance point</w:t>
      </w:r>
      <w:r>
        <w:rPr>
          <w:color w:val="000000"/>
        </w:rPr>
        <w:t>"</w:t>
      </w:r>
      <w:r w:rsidR="00A12C90">
        <w:rPr>
          <w:color w:val="000000"/>
        </w:rPr>
        <w:t xml:space="preserve"> of 65F</w:t>
      </w:r>
      <w:r>
        <w:rPr>
          <w:color w:val="000000"/>
        </w:rPr>
        <w:t xml:space="preserve">). They are used for calculations relating to the energy consumption required to </w:t>
      </w:r>
      <w:r>
        <w:rPr>
          <w:i/>
          <w:iCs/>
          <w:color w:val="000000"/>
        </w:rPr>
        <w:t>heat</w:t>
      </w:r>
      <w:r>
        <w:rPr>
          <w:color w:val="000000"/>
        </w:rPr>
        <w:t xml:space="preserve"> buildings.</w:t>
      </w:r>
    </w:p>
    <w:p w:rsidR="000C4043" w:rsidRDefault="000C4043" w:rsidP="003B3923">
      <w:pPr>
        <w:pStyle w:val="NormalWeb"/>
        <w:spacing w:line="240" w:lineRule="auto"/>
        <w:rPr>
          <w:color w:val="000000"/>
        </w:rPr>
      </w:pPr>
      <w:r>
        <w:rPr>
          <w:color w:val="000000"/>
        </w:rPr>
        <w:t>"</w:t>
      </w:r>
      <w:r>
        <w:rPr>
          <w:i/>
          <w:iCs/>
          <w:color w:val="000000"/>
        </w:rPr>
        <w:t>Cooling degree days</w:t>
      </w:r>
      <w:r>
        <w:rPr>
          <w:color w:val="000000"/>
        </w:rPr>
        <w:t>", or "</w:t>
      </w:r>
      <w:r>
        <w:rPr>
          <w:i/>
          <w:iCs/>
          <w:color w:val="000000"/>
        </w:rPr>
        <w:t>CDD</w:t>
      </w:r>
      <w:r>
        <w:rPr>
          <w:color w:val="000000"/>
        </w:rPr>
        <w:t xml:space="preserve">", are a measure of how much (in degrees), and for how long (in days), outside air temperature was </w:t>
      </w:r>
      <w:r>
        <w:rPr>
          <w:i/>
          <w:iCs/>
          <w:color w:val="000000"/>
        </w:rPr>
        <w:t>higher</w:t>
      </w:r>
      <w:r>
        <w:rPr>
          <w:color w:val="000000"/>
        </w:rPr>
        <w:t xml:space="preserve"> than a specific base temperature. They are used for calculations relating to the energy consumption required to </w:t>
      </w:r>
      <w:r>
        <w:rPr>
          <w:i/>
          <w:iCs/>
          <w:color w:val="000000"/>
        </w:rPr>
        <w:t>cool</w:t>
      </w:r>
      <w:r>
        <w:rPr>
          <w:color w:val="000000"/>
        </w:rPr>
        <w:t xml:space="preserve"> buildings.</w:t>
      </w:r>
    </w:p>
    <w:p w:rsidR="00C75C47" w:rsidRDefault="00C75C47" w:rsidP="00ED772F">
      <w:pPr>
        <w:spacing w:line="240" w:lineRule="auto"/>
        <w:rPr>
          <w:rFonts w:ascii="Times New Roman" w:hAnsi="Times New Roman" w:cs="Times New Roman"/>
          <w:b/>
          <w:color w:val="000000"/>
          <w:u w:val="single"/>
        </w:rPr>
      </w:pPr>
    </w:p>
    <w:p w:rsidR="00C75C47" w:rsidRDefault="00C75C47" w:rsidP="00ED772F">
      <w:pPr>
        <w:spacing w:line="240" w:lineRule="auto"/>
        <w:rPr>
          <w:rFonts w:ascii="Times New Roman" w:hAnsi="Times New Roman" w:cs="Times New Roman"/>
          <w:b/>
          <w:color w:val="000000"/>
          <w:u w:val="single"/>
        </w:rPr>
      </w:pPr>
    </w:p>
    <w:p w:rsidR="00C75C47" w:rsidRDefault="00C75C47" w:rsidP="00ED772F">
      <w:pPr>
        <w:spacing w:line="240" w:lineRule="auto"/>
        <w:rPr>
          <w:rFonts w:ascii="Times New Roman" w:hAnsi="Times New Roman" w:cs="Times New Roman"/>
          <w:b/>
          <w:color w:val="000000"/>
          <w:u w:val="single"/>
        </w:rPr>
      </w:pPr>
    </w:p>
    <w:p w:rsidR="000C4043" w:rsidRPr="00D90B47" w:rsidRDefault="0056156A" w:rsidP="00ED772F">
      <w:pPr>
        <w:spacing w:line="240" w:lineRule="auto"/>
        <w:rPr>
          <w:b/>
          <w:sz w:val="20"/>
          <w:u w:val="single"/>
        </w:rPr>
      </w:pPr>
      <w:r>
        <w:rPr>
          <w:rFonts w:ascii="Times New Roman" w:hAnsi="Times New Roman" w:cs="Times New Roman"/>
          <w:b/>
          <w:color w:val="000000"/>
          <w:u w:val="single"/>
        </w:rPr>
        <w:t>Fiscal Year 2012</w:t>
      </w:r>
      <w:r w:rsidR="000C4043" w:rsidRPr="0077649D">
        <w:rPr>
          <w:rFonts w:ascii="Times New Roman" w:hAnsi="Times New Roman" w:cs="Times New Roman"/>
          <w:b/>
          <w:color w:val="000000"/>
          <w:u w:val="single"/>
        </w:rPr>
        <w:t>:</w:t>
      </w:r>
      <w:r>
        <w:rPr>
          <w:color w:val="000000"/>
        </w:rPr>
        <w:tab/>
      </w:r>
      <w:r w:rsidR="000C4043" w:rsidRPr="0077649D">
        <w:rPr>
          <w:rFonts w:ascii="Times New Roman" w:hAnsi="Times New Roman" w:cs="Times New Roman"/>
          <w:color w:val="000000"/>
        </w:rPr>
        <w:t xml:space="preserve">Fiscal year </w:t>
      </w:r>
      <w:r>
        <w:rPr>
          <w:rFonts w:ascii="Times New Roman" w:hAnsi="Times New Roman" w:cs="Times New Roman"/>
          <w:color w:val="000000"/>
        </w:rPr>
        <w:t>2012</w:t>
      </w:r>
      <w:r w:rsidR="000C4043" w:rsidRPr="0077649D">
        <w:rPr>
          <w:rFonts w:ascii="Times New Roman" w:hAnsi="Times New Roman" w:cs="Times New Roman"/>
          <w:color w:val="000000"/>
        </w:rPr>
        <w:t xml:space="preserve"> </w:t>
      </w:r>
      <w:r>
        <w:rPr>
          <w:rFonts w:ascii="Times New Roman" w:hAnsi="Times New Roman" w:cs="Times New Roman"/>
          <w:color w:val="000000"/>
        </w:rPr>
        <w:t>was</w:t>
      </w:r>
      <w:r w:rsidR="000C4043" w:rsidRPr="0077649D">
        <w:rPr>
          <w:rFonts w:ascii="Times New Roman" w:hAnsi="Times New Roman" w:cs="Times New Roman"/>
          <w:color w:val="000000"/>
        </w:rPr>
        <w:t xml:space="preserve"> incredibly mild as far as degree days go. This means that </w:t>
      </w:r>
      <w:r w:rsidR="009C65CC" w:rsidRPr="0077649D">
        <w:rPr>
          <w:rFonts w:ascii="Times New Roman" w:hAnsi="Times New Roman" w:cs="Times New Roman"/>
          <w:color w:val="000000"/>
        </w:rPr>
        <w:t>energy</w:t>
      </w:r>
      <w:r w:rsidR="00123201" w:rsidRPr="0077649D">
        <w:rPr>
          <w:rFonts w:ascii="Times New Roman" w:hAnsi="Times New Roman" w:cs="Times New Roman"/>
          <w:color w:val="000000"/>
        </w:rPr>
        <w:t xml:space="preserve"> </w:t>
      </w:r>
      <w:r w:rsidR="000C4043" w:rsidRPr="0077649D">
        <w:rPr>
          <w:rFonts w:ascii="Times New Roman" w:hAnsi="Times New Roman" w:cs="Times New Roman"/>
          <w:color w:val="000000"/>
        </w:rPr>
        <w:t>consumption should be down this year</w:t>
      </w:r>
      <w:r w:rsidR="009C65CC" w:rsidRPr="0077649D">
        <w:rPr>
          <w:rFonts w:ascii="Times New Roman" w:hAnsi="Times New Roman" w:cs="Times New Roman"/>
          <w:color w:val="000000"/>
        </w:rPr>
        <w:t xml:space="preserve"> for heating and cooling,</w:t>
      </w:r>
      <w:r w:rsidR="000C4043" w:rsidRPr="0077649D">
        <w:rPr>
          <w:rFonts w:ascii="Times New Roman" w:hAnsi="Times New Roman" w:cs="Times New Roman"/>
          <w:color w:val="000000"/>
        </w:rPr>
        <w:t xml:space="preserve"> and </w:t>
      </w:r>
      <w:r w:rsidR="009C65CC" w:rsidRPr="0077649D">
        <w:rPr>
          <w:rFonts w:ascii="Times New Roman" w:hAnsi="Times New Roman" w:cs="Times New Roman"/>
          <w:color w:val="000000"/>
        </w:rPr>
        <w:t xml:space="preserve">is </w:t>
      </w:r>
      <w:r w:rsidR="000C4043" w:rsidRPr="0077649D">
        <w:rPr>
          <w:rFonts w:ascii="Times New Roman" w:hAnsi="Times New Roman" w:cs="Times New Roman"/>
          <w:color w:val="000000"/>
        </w:rPr>
        <w:t>as you can see from the charts below.</w:t>
      </w:r>
      <w:r>
        <w:rPr>
          <w:rFonts w:ascii="Times New Roman" w:hAnsi="Times New Roman" w:cs="Times New Roman"/>
          <w:color w:val="000000"/>
        </w:rPr>
        <w:t xml:space="preserve"> </w:t>
      </w:r>
    </w:p>
    <w:p w:rsidR="00D90B47" w:rsidRDefault="00D90B47" w:rsidP="00ED772F">
      <w:pPr>
        <w:spacing w:line="240" w:lineRule="auto"/>
        <w:rPr>
          <w:rFonts w:ascii="Times New Roman" w:hAnsi="Times New Roman" w:cs="Times New Roman"/>
          <w:sz w:val="24"/>
        </w:rPr>
      </w:pPr>
      <w:r w:rsidRPr="00A12C90">
        <w:rPr>
          <w:rFonts w:ascii="Times New Roman" w:hAnsi="Times New Roman" w:cs="Times New Roman"/>
          <w:sz w:val="24"/>
        </w:rPr>
        <w:t xml:space="preserve">The red values in the change column within the tables below represent energy </w:t>
      </w:r>
      <w:r w:rsidR="00B16780">
        <w:rPr>
          <w:rFonts w:ascii="Times New Roman" w:hAnsi="Times New Roman" w:cs="Times New Roman"/>
          <w:sz w:val="24"/>
        </w:rPr>
        <w:t xml:space="preserve">consumption and cost over the </w:t>
      </w:r>
      <w:r w:rsidR="001C6772">
        <w:rPr>
          <w:rFonts w:ascii="Times New Roman" w:hAnsi="Times New Roman" w:cs="Times New Roman"/>
          <w:sz w:val="24"/>
        </w:rPr>
        <w:t xml:space="preserve">SEMP </w:t>
      </w:r>
      <w:r w:rsidR="00B16780">
        <w:rPr>
          <w:rFonts w:ascii="Times New Roman" w:hAnsi="Times New Roman" w:cs="Times New Roman"/>
          <w:sz w:val="24"/>
        </w:rPr>
        <w:t>baseline year of FY2010</w:t>
      </w:r>
      <w:r w:rsidR="001C6772">
        <w:rPr>
          <w:rFonts w:ascii="Times New Roman" w:hAnsi="Times New Roman" w:cs="Times New Roman"/>
          <w:sz w:val="24"/>
        </w:rPr>
        <w:t xml:space="preserve"> or the ENERGY STAR Portfolio Manager Baseline year of FY2009</w:t>
      </w:r>
      <w:r w:rsidRPr="00A12C90">
        <w:rPr>
          <w:rFonts w:ascii="Times New Roman" w:hAnsi="Times New Roman" w:cs="Times New Roman"/>
          <w:sz w:val="24"/>
        </w:rPr>
        <w:t>.</w:t>
      </w:r>
      <w:r w:rsidR="00B16780">
        <w:rPr>
          <w:rFonts w:ascii="Times New Roman" w:hAnsi="Times New Roman" w:cs="Times New Roman"/>
          <w:sz w:val="24"/>
        </w:rPr>
        <w:t xml:space="preserve"> </w:t>
      </w:r>
      <w:r w:rsidRPr="00A12C90">
        <w:rPr>
          <w:rFonts w:ascii="Times New Roman" w:hAnsi="Times New Roman" w:cs="Times New Roman"/>
          <w:sz w:val="24"/>
        </w:rPr>
        <w:t>Since the weather this fiscal year has been so mild, this year should not be used to compare with other years</w:t>
      </w:r>
      <w:r w:rsidR="00B16780">
        <w:rPr>
          <w:rFonts w:ascii="Times New Roman" w:hAnsi="Times New Roman" w:cs="Times New Roman"/>
          <w:sz w:val="24"/>
        </w:rPr>
        <w:t xml:space="preserve"> for budgetary purposes</w:t>
      </w:r>
      <w:r w:rsidR="001C6772">
        <w:rPr>
          <w:rFonts w:ascii="Times New Roman" w:hAnsi="Times New Roman" w:cs="Times New Roman"/>
          <w:sz w:val="24"/>
        </w:rPr>
        <w:t>.</w:t>
      </w:r>
    </w:p>
    <w:p w:rsidR="001C6772" w:rsidRPr="00192EE8" w:rsidRDefault="001C6772" w:rsidP="00ED772F">
      <w:pPr>
        <w:spacing w:line="240" w:lineRule="auto"/>
        <w:rPr>
          <w:rFonts w:ascii="Times New Roman" w:hAnsi="Times New Roman" w:cs="Times New Roman"/>
          <w:sz w:val="24"/>
        </w:rPr>
      </w:pPr>
      <w:r w:rsidRPr="00192EE8">
        <w:rPr>
          <w:rFonts w:ascii="Times New Roman" w:hAnsi="Times New Roman" w:cs="Times New Roman"/>
          <w:sz w:val="28"/>
        </w:rPr>
        <w:t xml:space="preserve">The district saw a savings of </w:t>
      </w:r>
      <w:r w:rsidRPr="00192EE8">
        <w:rPr>
          <w:rFonts w:ascii="Times New Roman" w:hAnsi="Times New Roman" w:cs="Times New Roman"/>
          <w:b/>
          <w:sz w:val="28"/>
          <w:u w:val="single"/>
        </w:rPr>
        <w:t>$5,172.22</w:t>
      </w:r>
      <w:r w:rsidRPr="00192EE8">
        <w:rPr>
          <w:rFonts w:ascii="Times New Roman" w:hAnsi="Times New Roman" w:cs="Times New Roman"/>
          <w:sz w:val="28"/>
        </w:rPr>
        <w:t xml:space="preserve"> when comparing FY2012 utilities to the SEMP baseline year of FY2012 and </w:t>
      </w:r>
      <w:r w:rsidRPr="00192EE8">
        <w:rPr>
          <w:rFonts w:ascii="Times New Roman" w:hAnsi="Times New Roman" w:cs="Times New Roman"/>
          <w:b/>
          <w:sz w:val="28"/>
          <w:u w:val="single"/>
        </w:rPr>
        <w:t>$5,031</w:t>
      </w:r>
      <w:r w:rsidRPr="00192EE8">
        <w:rPr>
          <w:rFonts w:ascii="Times New Roman" w:hAnsi="Times New Roman" w:cs="Times New Roman"/>
          <w:sz w:val="28"/>
        </w:rPr>
        <w:t xml:space="preserve"> when comparing FY2012 utilities to the ENERGY STAR Portfolio Manager Baseline year of FY2009. The majority of this savings was seen in natural gas consumption, and can be attributed to the mild winter.</w:t>
      </w:r>
    </w:p>
    <w:p w:rsidR="00CF06ED" w:rsidRDefault="00CF06ED" w:rsidP="00ED772F">
      <w:pPr>
        <w:spacing w:line="240" w:lineRule="auto"/>
        <w:rPr>
          <w:rFonts w:ascii="Times New Roman" w:hAnsi="Times New Roman" w:cs="Times New Roman"/>
          <w:sz w:val="24"/>
        </w:rPr>
      </w:pPr>
    </w:p>
    <w:p w:rsidR="00CF06ED" w:rsidRDefault="00CF06ED" w:rsidP="00ED772F">
      <w:pPr>
        <w:spacing w:line="240" w:lineRule="auto"/>
        <w:rPr>
          <w:rFonts w:ascii="Times New Roman" w:hAnsi="Times New Roman" w:cs="Times New Roman"/>
          <w:sz w:val="24"/>
        </w:rPr>
      </w:pPr>
    </w:p>
    <w:p w:rsidR="00CF06ED" w:rsidRDefault="00CF06ED" w:rsidP="00ED772F">
      <w:pPr>
        <w:spacing w:line="240" w:lineRule="auto"/>
        <w:rPr>
          <w:rFonts w:ascii="Times New Roman" w:hAnsi="Times New Roman" w:cs="Times New Roman"/>
          <w:sz w:val="24"/>
        </w:rPr>
      </w:pPr>
    </w:p>
    <w:p w:rsidR="00CF06ED" w:rsidRDefault="00CF06ED" w:rsidP="00ED772F">
      <w:pPr>
        <w:spacing w:line="240" w:lineRule="auto"/>
        <w:rPr>
          <w:rFonts w:ascii="Times New Roman" w:hAnsi="Times New Roman" w:cs="Times New Roman"/>
          <w:sz w:val="24"/>
        </w:rPr>
      </w:pPr>
    </w:p>
    <w:p w:rsidR="00867010" w:rsidRDefault="00867010" w:rsidP="00ED772F">
      <w:pPr>
        <w:spacing w:line="240" w:lineRule="auto"/>
        <w:rPr>
          <w:rFonts w:ascii="Times New Roman" w:hAnsi="Times New Roman" w:cs="Times New Roman"/>
          <w:sz w:val="24"/>
        </w:rPr>
      </w:pPr>
    </w:p>
    <w:p w:rsidR="00CF06ED" w:rsidRDefault="00CF06ED" w:rsidP="00ED772F">
      <w:pPr>
        <w:spacing w:line="240" w:lineRule="auto"/>
        <w:rPr>
          <w:rFonts w:ascii="Times New Roman" w:hAnsi="Times New Roman" w:cs="Times New Roman"/>
          <w:sz w:val="24"/>
        </w:rPr>
      </w:pPr>
    </w:p>
    <w:p w:rsidR="00CF06ED" w:rsidRDefault="00CF06ED" w:rsidP="00ED772F">
      <w:pPr>
        <w:spacing w:line="240" w:lineRule="auto"/>
        <w:rPr>
          <w:rFonts w:ascii="Times New Roman" w:hAnsi="Times New Roman" w:cs="Times New Roman"/>
          <w:sz w:val="24"/>
        </w:rPr>
      </w:pPr>
    </w:p>
    <w:p w:rsidR="0032388B" w:rsidRPr="00A12C90" w:rsidRDefault="0032388B" w:rsidP="00ED772F">
      <w:pPr>
        <w:spacing w:line="240" w:lineRule="auto"/>
        <w:rPr>
          <w:rFonts w:ascii="Times New Roman" w:hAnsi="Times New Roman" w:cs="Times New Roman"/>
          <w:sz w:val="24"/>
        </w:rPr>
      </w:pPr>
    </w:p>
    <w:p w:rsidR="00ED772F" w:rsidRDefault="00ED772F" w:rsidP="00ED772F">
      <w:pPr>
        <w:spacing w:line="240" w:lineRule="auto"/>
        <w:rPr>
          <w:b/>
          <w:sz w:val="24"/>
          <w:u w:val="single"/>
        </w:rPr>
      </w:pPr>
      <w:r w:rsidRPr="00ED772F">
        <w:rPr>
          <w:b/>
          <w:sz w:val="24"/>
          <w:u w:val="single"/>
        </w:rPr>
        <w:lastRenderedPageBreak/>
        <w:t>District Wide:</w:t>
      </w:r>
    </w:p>
    <w:p w:rsidR="00C01C20" w:rsidRDefault="009B1683" w:rsidP="000C4043">
      <w:pPr>
        <w:spacing w:line="240" w:lineRule="auto"/>
        <w:jc w:val="center"/>
        <w:rPr>
          <w:b/>
          <w:sz w:val="24"/>
          <w:u w:val="single"/>
        </w:rPr>
      </w:pPr>
      <w:r w:rsidRPr="009B1683">
        <w:rPr>
          <w:b/>
          <w:noProof/>
          <w:sz w:val="24"/>
          <w:u w:val="single"/>
        </w:rPr>
        <w:drawing>
          <wp:inline distT="0" distB="0" distL="0" distR="0">
            <wp:extent cx="53340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10200" w:type="dxa"/>
        <w:jc w:val="center"/>
        <w:tblInd w:w="103" w:type="dxa"/>
        <w:tblLook w:val="04A0"/>
      </w:tblPr>
      <w:tblGrid>
        <w:gridCol w:w="5300"/>
        <w:gridCol w:w="1740"/>
        <w:gridCol w:w="1580"/>
        <w:gridCol w:w="1580"/>
      </w:tblGrid>
      <w:tr w:rsidR="00867010" w:rsidRPr="00867010" w:rsidTr="007A1636">
        <w:trPr>
          <w:trHeight w:val="255"/>
          <w:jc w:val="center"/>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SEMP Baseline Comparison</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FY2010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FY2012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Savings</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Electric Use (kWh)</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298,094</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278,326</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19,768</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Electric Use (kBTU)</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1,017,097</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949,648</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67,448</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Electric cost</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$28,706.08</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$27,525.63</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$1,180.45</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Gas Use (ccf)</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18,714</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18,550</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164</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Gas Use (kBTU)</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1,925,671</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1,908,795</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16,876</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Gas Cost</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$17,440.41</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$13,448.64</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$3,991.77</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Total Energy Use (kBTU)</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2,942,767</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2,858,443</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84,324</w:t>
            </w:r>
          </w:p>
        </w:tc>
      </w:tr>
      <w:tr w:rsidR="00867010" w:rsidRPr="00867010" w:rsidTr="007A1636">
        <w:trPr>
          <w:trHeight w:val="255"/>
          <w:jc w:val="center"/>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Total Energy Cost</w:t>
            </w:r>
          </w:p>
        </w:tc>
        <w:tc>
          <w:tcPr>
            <w:tcW w:w="174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$46,146.49</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$40,974.27</w:t>
            </w:r>
          </w:p>
        </w:tc>
        <w:tc>
          <w:tcPr>
            <w:tcW w:w="1580"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$5,172.22</w:t>
            </w:r>
          </w:p>
        </w:tc>
      </w:tr>
    </w:tbl>
    <w:p w:rsidR="00867010" w:rsidRDefault="00867010" w:rsidP="00F45113">
      <w:pPr>
        <w:spacing w:line="240" w:lineRule="auto"/>
        <w:rPr>
          <w:sz w:val="24"/>
        </w:rPr>
      </w:pPr>
    </w:p>
    <w:tbl>
      <w:tblPr>
        <w:tblW w:w="10784" w:type="dxa"/>
        <w:jc w:val="center"/>
        <w:tblInd w:w="103" w:type="dxa"/>
        <w:tblLook w:val="04A0"/>
      </w:tblPr>
      <w:tblGrid>
        <w:gridCol w:w="5574"/>
        <w:gridCol w:w="1882"/>
        <w:gridCol w:w="1716"/>
        <w:gridCol w:w="1612"/>
      </w:tblGrid>
      <w:tr w:rsidR="007A1636" w:rsidRPr="00867010" w:rsidTr="007A1636">
        <w:trPr>
          <w:trHeight w:val="255"/>
          <w:jc w:val="center"/>
        </w:trPr>
        <w:tc>
          <w:tcPr>
            <w:tcW w:w="5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ENERGY STAR Portfolio Manager Baseline Comparison</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FY2009</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FY2012</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b/>
                <w:bCs/>
                <w:sz w:val="20"/>
                <w:szCs w:val="20"/>
              </w:rPr>
            </w:pPr>
            <w:r w:rsidRPr="00867010">
              <w:rPr>
                <w:rFonts w:ascii="Arial" w:eastAsia="Times New Roman" w:hAnsi="Arial" w:cs="Arial"/>
                <w:b/>
                <w:bCs/>
                <w:sz w:val="20"/>
                <w:szCs w:val="20"/>
              </w:rPr>
              <w:t>Savings</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Electric Use (kWh)</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258,200</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278,326</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color w:val="FF0000"/>
                <w:sz w:val="20"/>
                <w:szCs w:val="20"/>
              </w:rPr>
            </w:pPr>
            <w:r w:rsidRPr="00867010">
              <w:rPr>
                <w:rFonts w:ascii="Arial" w:eastAsia="Times New Roman" w:hAnsi="Arial" w:cs="Arial"/>
                <w:color w:val="FF0000"/>
                <w:sz w:val="20"/>
                <w:szCs w:val="20"/>
              </w:rPr>
              <w:t xml:space="preserve">        (20,126.00)</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Electric Use (kBTU)</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880,978</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949,648</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color w:val="FF0000"/>
                <w:sz w:val="20"/>
                <w:szCs w:val="20"/>
              </w:rPr>
            </w:pPr>
            <w:r w:rsidRPr="00867010">
              <w:rPr>
                <w:rFonts w:ascii="Arial" w:eastAsia="Times New Roman" w:hAnsi="Arial" w:cs="Arial"/>
                <w:color w:val="FF0000"/>
                <w:sz w:val="20"/>
                <w:szCs w:val="20"/>
              </w:rPr>
              <w:t xml:space="preserve">        (68,669.91)</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Electric cost</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 xml:space="preserve"> $         27,546.65 </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 xml:space="preserve"> $       27,525.63 </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$21.02</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Gas Use (ccf)</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17,984</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18,550</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color w:val="FF0000"/>
                <w:sz w:val="20"/>
                <w:szCs w:val="20"/>
              </w:rPr>
            </w:pPr>
            <w:r w:rsidRPr="00867010">
              <w:rPr>
                <w:rFonts w:ascii="Arial" w:eastAsia="Times New Roman" w:hAnsi="Arial" w:cs="Arial"/>
                <w:color w:val="FF0000"/>
                <w:sz w:val="20"/>
                <w:szCs w:val="20"/>
              </w:rPr>
              <w:t xml:space="preserve">             (566.00)</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Gas Use (kBTU)</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1,850,554</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1,908,795</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color w:val="FF0000"/>
                <w:sz w:val="20"/>
                <w:szCs w:val="20"/>
              </w:rPr>
            </w:pPr>
            <w:r w:rsidRPr="00867010">
              <w:rPr>
                <w:rFonts w:ascii="Arial" w:eastAsia="Times New Roman" w:hAnsi="Arial" w:cs="Arial"/>
                <w:color w:val="FF0000"/>
                <w:sz w:val="20"/>
                <w:szCs w:val="20"/>
              </w:rPr>
              <w:t xml:space="preserve">        (58,241.40)</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Gas Cost</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 xml:space="preserve"> $         18,458.62 </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 xml:space="preserve"> $       13,448.64 </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$5,009.98</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Total Energy Use (kBTU)</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2,731,532</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2,858,443</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color w:val="FF0000"/>
                <w:sz w:val="20"/>
                <w:szCs w:val="20"/>
              </w:rPr>
            </w:pPr>
            <w:r w:rsidRPr="00867010">
              <w:rPr>
                <w:rFonts w:ascii="Arial" w:eastAsia="Times New Roman" w:hAnsi="Arial" w:cs="Arial"/>
                <w:color w:val="FF0000"/>
                <w:sz w:val="20"/>
                <w:szCs w:val="20"/>
              </w:rPr>
              <w:t xml:space="preserve">       (126,911.31)</w:t>
            </w:r>
          </w:p>
        </w:tc>
      </w:tr>
      <w:tr w:rsidR="007A1636" w:rsidRPr="00867010" w:rsidTr="007A1636">
        <w:trPr>
          <w:trHeight w:val="255"/>
          <w:jc w:val="center"/>
        </w:trPr>
        <w:tc>
          <w:tcPr>
            <w:tcW w:w="5574" w:type="dxa"/>
            <w:tcBorders>
              <w:top w:val="nil"/>
              <w:left w:val="single" w:sz="4" w:space="0" w:color="auto"/>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Total Energy Cost</w:t>
            </w:r>
          </w:p>
        </w:tc>
        <w:tc>
          <w:tcPr>
            <w:tcW w:w="188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 xml:space="preserve"> $         46,005.27 </w:t>
            </w:r>
          </w:p>
        </w:tc>
        <w:tc>
          <w:tcPr>
            <w:tcW w:w="1716"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rPr>
                <w:rFonts w:ascii="Arial" w:eastAsia="Times New Roman" w:hAnsi="Arial" w:cs="Arial"/>
                <w:sz w:val="20"/>
                <w:szCs w:val="20"/>
              </w:rPr>
            </w:pPr>
            <w:r w:rsidRPr="00867010">
              <w:rPr>
                <w:rFonts w:ascii="Arial" w:eastAsia="Times New Roman" w:hAnsi="Arial" w:cs="Arial"/>
                <w:sz w:val="20"/>
                <w:szCs w:val="20"/>
              </w:rPr>
              <w:t xml:space="preserve"> $       40,974.27 </w:t>
            </w:r>
          </w:p>
        </w:tc>
        <w:tc>
          <w:tcPr>
            <w:tcW w:w="1612" w:type="dxa"/>
            <w:tcBorders>
              <w:top w:val="nil"/>
              <w:left w:val="nil"/>
              <w:bottom w:val="single" w:sz="4" w:space="0" w:color="auto"/>
              <w:right w:val="single" w:sz="4" w:space="0" w:color="auto"/>
            </w:tcBorders>
            <w:shd w:val="clear" w:color="auto" w:fill="auto"/>
            <w:noWrap/>
            <w:vAlign w:val="bottom"/>
            <w:hideMark/>
          </w:tcPr>
          <w:p w:rsidR="00867010" w:rsidRPr="00867010" w:rsidRDefault="00867010" w:rsidP="00867010">
            <w:pPr>
              <w:spacing w:after="0" w:line="240" w:lineRule="auto"/>
              <w:jc w:val="right"/>
              <w:rPr>
                <w:rFonts w:ascii="Arial" w:eastAsia="Times New Roman" w:hAnsi="Arial" w:cs="Arial"/>
                <w:sz w:val="20"/>
                <w:szCs w:val="20"/>
              </w:rPr>
            </w:pPr>
            <w:r w:rsidRPr="00867010">
              <w:rPr>
                <w:rFonts w:ascii="Arial" w:eastAsia="Times New Roman" w:hAnsi="Arial" w:cs="Arial"/>
                <w:sz w:val="20"/>
                <w:szCs w:val="20"/>
              </w:rPr>
              <w:t>$5,031.00</w:t>
            </w:r>
          </w:p>
        </w:tc>
      </w:tr>
    </w:tbl>
    <w:p w:rsidR="00260C53" w:rsidRDefault="00260C53" w:rsidP="00F45113">
      <w:pPr>
        <w:spacing w:line="240" w:lineRule="auto"/>
        <w:rPr>
          <w:sz w:val="24"/>
        </w:rPr>
      </w:pPr>
    </w:p>
    <w:p w:rsidR="007A1636" w:rsidRDefault="007A1636" w:rsidP="00F45113">
      <w:pPr>
        <w:spacing w:line="240" w:lineRule="auto"/>
        <w:rPr>
          <w:b/>
          <w:sz w:val="24"/>
          <w:u w:val="single"/>
        </w:rPr>
      </w:pPr>
    </w:p>
    <w:p w:rsidR="0032388B" w:rsidRDefault="005B394A" w:rsidP="005B394A">
      <w:pPr>
        <w:tabs>
          <w:tab w:val="center" w:pos="4680"/>
        </w:tabs>
        <w:spacing w:line="240" w:lineRule="auto"/>
        <w:rPr>
          <w:b/>
          <w:sz w:val="24"/>
          <w:u w:val="single"/>
        </w:rPr>
      </w:pPr>
      <w:r>
        <w:rPr>
          <w:b/>
          <w:sz w:val="24"/>
          <w:u w:val="single"/>
        </w:rPr>
        <w:lastRenderedPageBreak/>
        <w:t>District Wide Total</w:t>
      </w:r>
    </w:p>
    <w:tbl>
      <w:tblPr>
        <w:tblW w:w="9730" w:type="dxa"/>
        <w:jc w:val="center"/>
        <w:tblInd w:w="98" w:type="dxa"/>
        <w:tblLook w:val="04A0"/>
      </w:tblPr>
      <w:tblGrid>
        <w:gridCol w:w="896"/>
        <w:gridCol w:w="1032"/>
        <w:gridCol w:w="1018"/>
        <w:gridCol w:w="1217"/>
        <w:gridCol w:w="1217"/>
        <w:gridCol w:w="1161"/>
        <w:gridCol w:w="1106"/>
        <w:gridCol w:w="1106"/>
        <w:gridCol w:w="1352"/>
      </w:tblGrid>
      <w:tr w:rsidR="0032388B" w:rsidRPr="0032388B" w:rsidTr="0032388B">
        <w:trPr>
          <w:trHeight w:val="780"/>
          <w:jc w:val="center"/>
        </w:trPr>
        <w:tc>
          <w:tcPr>
            <w:tcW w:w="896" w:type="dxa"/>
            <w:tcBorders>
              <w:top w:val="single" w:sz="8" w:space="0" w:color="auto"/>
              <w:left w:val="single" w:sz="8" w:space="0" w:color="auto"/>
              <w:bottom w:val="single" w:sz="4" w:space="0" w:color="auto"/>
              <w:right w:val="nil"/>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Year</w:t>
            </w:r>
          </w:p>
        </w:tc>
        <w:tc>
          <w:tcPr>
            <w:tcW w:w="1032" w:type="dxa"/>
            <w:tcBorders>
              <w:top w:val="single" w:sz="8" w:space="0" w:color="auto"/>
              <w:left w:val="single" w:sz="8" w:space="0" w:color="auto"/>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Gas Use (ccf)</w:t>
            </w:r>
          </w:p>
        </w:tc>
        <w:tc>
          <w:tcPr>
            <w:tcW w:w="1018"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Electric Use (kWh)</w:t>
            </w:r>
          </w:p>
        </w:tc>
        <w:tc>
          <w:tcPr>
            <w:tcW w:w="1100"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Gas Cost ($)</w:t>
            </w:r>
          </w:p>
        </w:tc>
        <w:tc>
          <w:tcPr>
            <w:tcW w:w="1167"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Electric Cost ($)</w:t>
            </w:r>
          </w:p>
        </w:tc>
        <w:tc>
          <w:tcPr>
            <w:tcW w:w="1161"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Gas Use (kBTU)</w:t>
            </w:r>
          </w:p>
        </w:tc>
        <w:tc>
          <w:tcPr>
            <w:tcW w:w="1002"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Electric Use (kBTU)</w:t>
            </w:r>
          </w:p>
        </w:tc>
        <w:tc>
          <w:tcPr>
            <w:tcW w:w="1002"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Total Energy (kBTU)</w:t>
            </w:r>
          </w:p>
        </w:tc>
        <w:tc>
          <w:tcPr>
            <w:tcW w:w="1352" w:type="dxa"/>
            <w:tcBorders>
              <w:top w:val="single" w:sz="8" w:space="0" w:color="auto"/>
              <w:left w:val="nil"/>
              <w:bottom w:val="nil"/>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Total Cost ($)</w:t>
            </w:r>
          </w:p>
        </w:tc>
      </w:tr>
      <w:tr w:rsidR="0032388B" w:rsidRPr="0032388B" w:rsidTr="0032388B">
        <w:trPr>
          <w:trHeight w:val="255"/>
          <w:jc w:val="center"/>
        </w:trPr>
        <w:tc>
          <w:tcPr>
            <w:tcW w:w="896" w:type="dxa"/>
            <w:tcBorders>
              <w:top w:val="nil"/>
              <w:left w:val="single" w:sz="8" w:space="0" w:color="auto"/>
              <w:bottom w:val="single" w:sz="4" w:space="0" w:color="auto"/>
              <w:right w:val="nil"/>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2008-2009</w:t>
            </w:r>
          </w:p>
        </w:tc>
        <w:tc>
          <w:tcPr>
            <w:tcW w:w="10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17,984</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258,200</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$18,458.62</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$27,546.65</w:t>
            </w:r>
          </w:p>
        </w:tc>
        <w:tc>
          <w:tcPr>
            <w:tcW w:w="1161" w:type="dxa"/>
            <w:tcBorders>
              <w:top w:val="single" w:sz="8" w:space="0" w:color="auto"/>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1,850,554</w:t>
            </w:r>
          </w:p>
        </w:tc>
        <w:tc>
          <w:tcPr>
            <w:tcW w:w="1002" w:type="dxa"/>
            <w:tcBorders>
              <w:top w:val="single" w:sz="8" w:space="0" w:color="auto"/>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880,978</w:t>
            </w:r>
          </w:p>
        </w:tc>
        <w:tc>
          <w:tcPr>
            <w:tcW w:w="1002" w:type="dxa"/>
            <w:tcBorders>
              <w:top w:val="single" w:sz="8" w:space="0" w:color="auto"/>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2,731,532</w:t>
            </w:r>
          </w:p>
        </w:tc>
        <w:tc>
          <w:tcPr>
            <w:tcW w:w="1352" w:type="dxa"/>
            <w:tcBorders>
              <w:top w:val="single" w:sz="8" w:space="0" w:color="auto"/>
              <w:left w:val="nil"/>
              <w:bottom w:val="single" w:sz="4"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$46,005.27</w:t>
            </w:r>
          </w:p>
        </w:tc>
      </w:tr>
      <w:tr w:rsidR="0032388B" w:rsidRPr="0032388B" w:rsidTr="0032388B">
        <w:trPr>
          <w:trHeight w:val="255"/>
          <w:jc w:val="center"/>
        </w:trPr>
        <w:tc>
          <w:tcPr>
            <w:tcW w:w="896" w:type="dxa"/>
            <w:tcBorders>
              <w:top w:val="nil"/>
              <w:left w:val="single" w:sz="8" w:space="0" w:color="auto"/>
              <w:bottom w:val="single" w:sz="4" w:space="0" w:color="auto"/>
              <w:right w:val="nil"/>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2009-2010</w:t>
            </w:r>
          </w:p>
        </w:tc>
        <w:tc>
          <w:tcPr>
            <w:tcW w:w="1032" w:type="dxa"/>
            <w:tcBorders>
              <w:top w:val="nil"/>
              <w:left w:val="single" w:sz="8" w:space="0" w:color="auto"/>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18,714</w:t>
            </w:r>
          </w:p>
        </w:tc>
        <w:tc>
          <w:tcPr>
            <w:tcW w:w="1018"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298,094</w:t>
            </w:r>
          </w:p>
        </w:tc>
        <w:tc>
          <w:tcPr>
            <w:tcW w:w="1100"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$17,440.41</w:t>
            </w:r>
          </w:p>
        </w:tc>
        <w:tc>
          <w:tcPr>
            <w:tcW w:w="1167"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$28,706.08</w:t>
            </w:r>
          </w:p>
        </w:tc>
        <w:tc>
          <w:tcPr>
            <w:tcW w:w="1161"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1,925,671</w:t>
            </w:r>
          </w:p>
        </w:tc>
        <w:tc>
          <w:tcPr>
            <w:tcW w:w="1002"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1,017,097</w:t>
            </w:r>
          </w:p>
        </w:tc>
        <w:tc>
          <w:tcPr>
            <w:tcW w:w="1002"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2,942,767</w:t>
            </w:r>
          </w:p>
        </w:tc>
        <w:tc>
          <w:tcPr>
            <w:tcW w:w="1352" w:type="dxa"/>
            <w:tcBorders>
              <w:top w:val="nil"/>
              <w:left w:val="nil"/>
              <w:bottom w:val="single" w:sz="4"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$46,146.49</w:t>
            </w:r>
          </w:p>
        </w:tc>
      </w:tr>
      <w:tr w:rsidR="0032388B" w:rsidRPr="0032388B" w:rsidTr="0032388B">
        <w:trPr>
          <w:trHeight w:val="255"/>
          <w:jc w:val="center"/>
        </w:trPr>
        <w:tc>
          <w:tcPr>
            <w:tcW w:w="896" w:type="dxa"/>
            <w:tcBorders>
              <w:top w:val="nil"/>
              <w:left w:val="single" w:sz="8" w:space="0" w:color="auto"/>
              <w:bottom w:val="nil"/>
              <w:right w:val="nil"/>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2010-2011</w:t>
            </w:r>
          </w:p>
        </w:tc>
        <w:tc>
          <w:tcPr>
            <w:tcW w:w="1032" w:type="dxa"/>
            <w:tcBorders>
              <w:top w:val="nil"/>
              <w:left w:val="single" w:sz="8" w:space="0" w:color="auto"/>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23,664</w:t>
            </w:r>
          </w:p>
        </w:tc>
        <w:tc>
          <w:tcPr>
            <w:tcW w:w="1018"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281,469</w:t>
            </w:r>
          </w:p>
        </w:tc>
        <w:tc>
          <w:tcPr>
            <w:tcW w:w="1100"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$19,204.28</w:t>
            </w:r>
          </w:p>
        </w:tc>
        <w:tc>
          <w:tcPr>
            <w:tcW w:w="1167"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$27,423.29</w:t>
            </w:r>
          </w:p>
        </w:tc>
        <w:tc>
          <w:tcPr>
            <w:tcW w:w="1161"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2,435,026</w:t>
            </w:r>
          </w:p>
        </w:tc>
        <w:tc>
          <w:tcPr>
            <w:tcW w:w="1002"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960,372</w:t>
            </w:r>
          </w:p>
        </w:tc>
        <w:tc>
          <w:tcPr>
            <w:tcW w:w="1002"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3,395,398</w:t>
            </w:r>
          </w:p>
        </w:tc>
        <w:tc>
          <w:tcPr>
            <w:tcW w:w="1352" w:type="dxa"/>
            <w:tcBorders>
              <w:top w:val="nil"/>
              <w:left w:val="nil"/>
              <w:bottom w:val="nil"/>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$46,627.57</w:t>
            </w:r>
          </w:p>
        </w:tc>
      </w:tr>
      <w:tr w:rsidR="0032388B" w:rsidRPr="0032388B" w:rsidTr="0032388B">
        <w:trPr>
          <w:trHeight w:val="270"/>
          <w:jc w:val="center"/>
        </w:trPr>
        <w:tc>
          <w:tcPr>
            <w:tcW w:w="89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2011-2012</w:t>
            </w:r>
          </w:p>
        </w:tc>
        <w:tc>
          <w:tcPr>
            <w:tcW w:w="103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18,550</w:t>
            </w:r>
          </w:p>
        </w:tc>
        <w:tc>
          <w:tcPr>
            <w:tcW w:w="1018"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278,326</w:t>
            </w:r>
          </w:p>
        </w:tc>
        <w:tc>
          <w:tcPr>
            <w:tcW w:w="1100"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$13,448.64</w:t>
            </w:r>
          </w:p>
        </w:tc>
        <w:tc>
          <w:tcPr>
            <w:tcW w:w="1167"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$27,525.63</w:t>
            </w:r>
          </w:p>
        </w:tc>
        <w:tc>
          <w:tcPr>
            <w:tcW w:w="1161"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1,908,795</w:t>
            </w:r>
          </w:p>
        </w:tc>
        <w:tc>
          <w:tcPr>
            <w:tcW w:w="100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949,648</w:t>
            </w:r>
          </w:p>
        </w:tc>
        <w:tc>
          <w:tcPr>
            <w:tcW w:w="100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2,858,443</w:t>
            </w:r>
          </w:p>
        </w:tc>
        <w:tc>
          <w:tcPr>
            <w:tcW w:w="1352" w:type="dxa"/>
            <w:tcBorders>
              <w:top w:val="single" w:sz="4" w:space="0" w:color="auto"/>
              <w:left w:val="nil"/>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$40,974.27</w:t>
            </w:r>
          </w:p>
        </w:tc>
      </w:tr>
      <w:tr w:rsidR="0032388B" w:rsidRPr="0032388B" w:rsidTr="0032388B">
        <w:trPr>
          <w:trHeight w:val="270"/>
          <w:jc w:val="center"/>
        </w:trPr>
        <w:tc>
          <w:tcPr>
            <w:tcW w:w="89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2012-2013</w:t>
            </w:r>
          </w:p>
        </w:tc>
        <w:tc>
          <w:tcPr>
            <w:tcW w:w="103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21</w:t>
            </w:r>
          </w:p>
        </w:tc>
        <w:tc>
          <w:tcPr>
            <w:tcW w:w="1018"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54,321</w:t>
            </w:r>
          </w:p>
        </w:tc>
        <w:tc>
          <w:tcPr>
            <w:tcW w:w="1100"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$109.86</w:t>
            </w:r>
          </w:p>
        </w:tc>
        <w:tc>
          <w:tcPr>
            <w:tcW w:w="1167"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$5,064.39</w:t>
            </w:r>
          </w:p>
        </w:tc>
        <w:tc>
          <w:tcPr>
            <w:tcW w:w="1161"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2,161</w:t>
            </w:r>
          </w:p>
        </w:tc>
        <w:tc>
          <w:tcPr>
            <w:tcW w:w="100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185,343</w:t>
            </w:r>
          </w:p>
        </w:tc>
        <w:tc>
          <w:tcPr>
            <w:tcW w:w="100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187,504</w:t>
            </w:r>
          </w:p>
        </w:tc>
        <w:tc>
          <w:tcPr>
            <w:tcW w:w="1352" w:type="dxa"/>
            <w:tcBorders>
              <w:top w:val="single" w:sz="4" w:space="0" w:color="auto"/>
              <w:left w:val="nil"/>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$5,174.25</w:t>
            </w:r>
          </w:p>
        </w:tc>
      </w:tr>
    </w:tbl>
    <w:p w:rsidR="0032388B" w:rsidRDefault="0032388B" w:rsidP="00F45113">
      <w:pPr>
        <w:spacing w:line="240" w:lineRule="auto"/>
        <w:rPr>
          <w:b/>
          <w:sz w:val="24"/>
          <w:u w:val="single"/>
        </w:rPr>
      </w:pPr>
    </w:p>
    <w:p w:rsidR="00F45113" w:rsidRDefault="00A42C42" w:rsidP="00F45113">
      <w:pPr>
        <w:spacing w:line="240" w:lineRule="auto"/>
        <w:rPr>
          <w:b/>
          <w:sz w:val="24"/>
          <w:u w:val="single"/>
        </w:rPr>
      </w:pPr>
      <w:r>
        <w:rPr>
          <w:b/>
          <w:sz w:val="24"/>
          <w:u w:val="single"/>
        </w:rPr>
        <w:t>Southgate School</w:t>
      </w:r>
      <w:r w:rsidR="00F45113">
        <w:rPr>
          <w:b/>
          <w:sz w:val="24"/>
          <w:u w:val="single"/>
        </w:rPr>
        <w:t>:</w:t>
      </w:r>
    </w:p>
    <w:p w:rsidR="00F45113" w:rsidRDefault="007A1636" w:rsidP="00F45113">
      <w:pPr>
        <w:spacing w:line="240" w:lineRule="auto"/>
        <w:jc w:val="center"/>
        <w:rPr>
          <w:b/>
          <w:sz w:val="24"/>
          <w:u w:val="single"/>
        </w:rPr>
      </w:pPr>
      <w:r w:rsidRPr="007A1636">
        <w:rPr>
          <w:b/>
          <w:noProof/>
          <w:sz w:val="24"/>
          <w:u w:val="single"/>
        </w:rPr>
        <w:drawing>
          <wp:inline distT="0" distB="0" distL="0" distR="0">
            <wp:extent cx="5943600" cy="294195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5113" w:rsidRDefault="007A1636" w:rsidP="00F45113">
      <w:pPr>
        <w:spacing w:line="240" w:lineRule="auto"/>
        <w:jc w:val="center"/>
        <w:rPr>
          <w:b/>
          <w:sz w:val="24"/>
          <w:u w:val="single"/>
        </w:rPr>
      </w:pPr>
      <w:r w:rsidRPr="007A1636">
        <w:rPr>
          <w:b/>
          <w:noProof/>
          <w:sz w:val="24"/>
          <w:u w:val="single"/>
        </w:rPr>
        <w:lastRenderedPageBreak/>
        <w:drawing>
          <wp:inline distT="0" distB="0" distL="0" distR="0">
            <wp:extent cx="5943600" cy="3386455"/>
            <wp:effectExtent l="19050" t="0" r="1905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388B" w:rsidRDefault="0032388B" w:rsidP="0032388B">
      <w:pPr>
        <w:spacing w:line="240" w:lineRule="auto"/>
        <w:rPr>
          <w:b/>
          <w:sz w:val="24"/>
        </w:rPr>
      </w:pPr>
    </w:p>
    <w:p w:rsidR="00114C40" w:rsidRPr="0032388B" w:rsidRDefault="0032388B" w:rsidP="0032388B">
      <w:pPr>
        <w:spacing w:line="240" w:lineRule="auto"/>
        <w:rPr>
          <w:b/>
          <w:sz w:val="24"/>
        </w:rPr>
      </w:pPr>
      <w:r>
        <w:rPr>
          <w:b/>
          <w:sz w:val="24"/>
        </w:rPr>
        <w:t>Southgate School</w:t>
      </w:r>
    </w:p>
    <w:tbl>
      <w:tblPr>
        <w:tblW w:w="11307" w:type="dxa"/>
        <w:jc w:val="center"/>
        <w:tblInd w:w="108" w:type="dxa"/>
        <w:tblLook w:val="04A0"/>
      </w:tblPr>
      <w:tblGrid>
        <w:gridCol w:w="1292"/>
        <w:gridCol w:w="767"/>
        <w:gridCol w:w="867"/>
        <w:gridCol w:w="1117"/>
        <w:gridCol w:w="1117"/>
        <w:gridCol w:w="1017"/>
        <w:gridCol w:w="867"/>
        <w:gridCol w:w="1017"/>
        <w:gridCol w:w="1117"/>
        <w:gridCol w:w="1182"/>
        <w:gridCol w:w="947"/>
      </w:tblGrid>
      <w:tr w:rsidR="007A1636" w:rsidRPr="007A1636" w:rsidTr="0032388B">
        <w:trPr>
          <w:trHeight w:val="1035"/>
          <w:jc w:val="center"/>
        </w:trPr>
        <w:tc>
          <w:tcPr>
            <w:tcW w:w="1292" w:type="dxa"/>
            <w:tcBorders>
              <w:top w:val="single" w:sz="8" w:space="0" w:color="auto"/>
              <w:left w:val="single" w:sz="8" w:space="0" w:color="auto"/>
              <w:bottom w:val="single" w:sz="4" w:space="0" w:color="auto"/>
              <w:right w:val="nil"/>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Year</w:t>
            </w:r>
          </w:p>
        </w:tc>
        <w:tc>
          <w:tcPr>
            <w:tcW w:w="767" w:type="dxa"/>
            <w:tcBorders>
              <w:top w:val="single" w:sz="8" w:space="0" w:color="auto"/>
              <w:left w:val="single" w:sz="8" w:space="0" w:color="auto"/>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Gas Use (ccf)</w:t>
            </w:r>
          </w:p>
        </w:tc>
        <w:tc>
          <w:tcPr>
            <w:tcW w:w="86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Electric Use (kWh)</w:t>
            </w:r>
          </w:p>
        </w:tc>
        <w:tc>
          <w:tcPr>
            <w:tcW w:w="111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Gas Cost ($)</w:t>
            </w:r>
          </w:p>
        </w:tc>
        <w:tc>
          <w:tcPr>
            <w:tcW w:w="111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Electric Cost ($)</w:t>
            </w:r>
          </w:p>
        </w:tc>
        <w:tc>
          <w:tcPr>
            <w:tcW w:w="101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Gas Use (kBTU)</w:t>
            </w:r>
          </w:p>
        </w:tc>
        <w:tc>
          <w:tcPr>
            <w:tcW w:w="86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Electric Use (kBTU)</w:t>
            </w:r>
          </w:p>
        </w:tc>
        <w:tc>
          <w:tcPr>
            <w:tcW w:w="101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Total Energy (kBTU)</w:t>
            </w:r>
          </w:p>
        </w:tc>
        <w:tc>
          <w:tcPr>
            <w:tcW w:w="1117"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Total Cost ($)</w:t>
            </w:r>
          </w:p>
        </w:tc>
        <w:tc>
          <w:tcPr>
            <w:tcW w:w="1182" w:type="dxa"/>
            <w:tcBorders>
              <w:top w:val="single" w:sz="8" w:space="0" w:color="auto"/>
              <w:left w:val="nil"/>
              <w:bottom w:val="nil"/>
              <w:right w:val="single" w:sz="4"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Energy Intensity (kBTU/ft^2)</w:t>
            </w:r>
          </w:p>
        </w:tc>
        <w:tc>
          <w:tcPr>
            <w:tcW w:w="947" w:type="dxa"/>
            <w:tcBorders>
              <w:top w:val="single" w:sz="8" w:space="0" w:color="auto"/>
              <w:left w:val="nil"/>
              <w:bottom w:val="nil"/>
              <w:right w:val="single" w:sz="8" w:space="0" w:color="auto"/>
            </w:tcBorders>
            <w:shd w:val="clear" w:color="auto" w:fill="auto"/>
            <w:vAlign w:val="center"/>
            <w:hideMark/>
          </w:tcPr>
          <w:p w:rsidR="007A1636" w:rsidRPr="007A1636" w:rsidRDefault="007A1636" w:rsidP="007A1636">
            <w:pPr>
              <w:spacing w:after="0" w:line="240" w:lineRule="auto"/>
              <w:jc w:val="center"/>
              <w:rPr>
                <w:rFonts w:ascii="Arial" w:eastAsia="Times New Roman" w:hAnsi="Arial" w:cs="Arial"/>
                <w:b/>
                <w:bCs/>
                <w:sz w:val="18"/>
                <w:szCs w:val="20"/>
              </w:rPr>
            </w:pPr>
            <w:r w:rsidRPr="007A1636">
              <w:rPr>
                <w:rFonts w:ascii="Arial" w:eastAsia="Times New Roman" w:hAnsi="Arial" w:cs="Arial"/>
                <w:b/>
                <w:bCs/>
                <w:sz w:val="18"/>
                <w:szCs w:val="20"/>
              </w:rPr>
              <w:t>Total Cost ($/ft^2)</w:t>
            </w:r>
          </w:p>
        </w:tc>
      </w:tr>
      <w:tr w:rsidR="007A1636" w:rsidRPr="007A1636" w:rsidTr="0032388B">
        <w:trPr>
          <w:trHeight w:val="255"/>
          <w:jc w:val="center"/>
        </w:trPr>
        <w:tc>
          <w:tcPr>
            <w:tcW w:w="1292" w:type="dxa"/>
            <w:tcBorders>
              <w:top w:val="nil"/>
              <w:left w:val="single" w:sz="8" w:space="0" w:color="auto"/>
              <w:bottom w:val="single" w:sz="4" w:space="0" w:color="auto"/>
              <w:right w:val="nil"/>
            </w:tcBorders>
            <w:shd w:val="clear" w:color="auto" w:fill="auto"/>
            <w:noWrap/>
            <w:vAlign w:val="bottom"/>
            <w:hideMark/>
          </w:tcPr>
          <w:p w:rsidR="007A1636" w:rsidRPr="007A1636" w:rsidRDefault="007A1636" w:rsidP="007A1636">
            <w:pPr>
              <w:spacing w:after="0" w:line="240" w:lineRule="auto"/>
              <w:rPr>
                <w:rFonts w:ascii="Arial" w:eastAsia="Times New Roman" w:hAnsi="Arial" w:cs="Arial"/>
                <w:sz w:val="18"/>
                <w:szCs w:val="20"/>
              </w:rPr>
            </w:pPr>
            <w:r w:rsidRPr="007A1636">
              <w:rPr>
                <w:rFonts w:ascii="Arial" w:eastAsia="Times New Roman" w:hAnsi="Arial" w:cs="Arial"/>
                <w:sz w:val="18"/>
                <w:szCs w:val="20"/>
              </w:rPr>
              <w:t>2008-2009</w:t>
            </w:r>
          </w:p>
        </w:tc>
        <w:tc>
          <w:tcPr>
            <w:tcW w:w="7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17,984</w:t>
            </w:r>
          </w:p>
        </w:tc>
        <w:tc>
          <w:tcPr>
            <w:tcW w:w="86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258,200</w:t>
            </w:r>
          </w:p>
        </w:tc>
        <w:tc>
          <w:tcPr>
            <w:tcW w:w="111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$18,458.62</w:t>
            </w:r>
          </w:p>
        </w:tc>
        <w:tc>
          <w:tcPr>
            <w:tcW w:w="111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$27,546.65</w:t>
            </w:r>
          </w:p>
        </w:tc>
        <w:tc>
          <w:tcPr>
            <w:tcW w:w="101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1,850,554</w:t>
            </w:r>
          </w:p>
        </w:tc>
        <w:tc>
          <w:tcPr>
            <w:tcW w:w="86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880,978</w:t>
            </w:r>
          </w:p>
        </w:tc>
        <w:tc>
          <w:tcPr>
            <w:tcW w:w="101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2,731,532</w:t>
            </w:r>
          </w:p>
        </w:tc>
        <w:tc>
          <w:tcPr>
            <w:tcW w:w="1117"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$46,005.27</w:t>
            </w:r>
          </w:p>
        </w:tc>
        <w:tc>
          <w:tcPr>
            <w:tcW w:w="1182" w:type="dxa"/>
            <w:tcBorders>
              <w:top w:val="single" w:sz="8" w:space="0" w:color="auto"/>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45.63</w:t>
            </w:r>
          </w:p>
        </w:tc>
        <w:tc>
          <w:tcPr>
            <w:tcW w:w="947" w:type="dxa"/>
            <w:tcBorders>
              <w:top w:val="single" w:sz="8" w:space="0" w:color="auto"/>
              <w:left w:val="nil"/>
              <w:bottom w:val="single" w:sz="4" w:space="0" w:color="auto"/>
              <w:right w:val="single" w:sz="8"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$0.77</w:t>
            </w:r>
          </w:p>
        </w:tc>
      </w:tr>
      <w:tr w:rsidR="007A1636" w:rsidRPr="007A1636" w:rsidTr="0032388B">
        <w:trPr>
          <w:trHeight w:val="255"/>
          <w:jc w:val="center"/>
        </w:trPr>
        <w:tc>
          <w:tcPr>
            <w:tcW w:w="1292" w:type="dxa"/>
            <w:tcBorders>
              <w:top w:val="nil"/>
              <w:left w:val="single" w:sz="8" w:space="0" w:color="auto"/>
              <w:bottom w:val="single" w:sz="4" w:space="0" w:color="auto"/>
              <w:right w:val="nil"/>
            </w:tcBorders>
            <w:shd w:val="clear" w:color="auto" w:fill="auto"/>
            <w:noWrap/>
            <w:vAlign w:val="bottom"/>
            <w:hideMark/>
          </w:tcPr>
          <w:p w:rsidR="007A1636" w:rsidRPr="007A1636" w:rsidRDefault="007A1636" w:rsidP="007A1636">
            <w:pPr>
              <w:spacing w:after="0" w:line="240" w:lineRule="auto"/>
              <w:rPr>
                <w:rFonts w:ascii="Arial" w:eastAsia="Times New Roman" w:hAnsi="Arial" w:cs="Arial"/>
                <w:sz w:val="18"/>
                <w:szCs w:val="20"/>
              </w:rPr>
            </w:pPr>
            <w:r w:rsidRPr="007A1636">
              <w:rPr>
                <w:rFonts w:ascii="Arial" w:eastAsia="Times New Roman" w:hAnsi="Arial" w:cs="Arial"/>
                <w:sz w:val="18"/>
                <w:szCs w:val="20"/>
              </w:rPr>
              <w:t>2009-2010</w:t>
            </w:r>
          </w:p>
        </w:tc>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18,714</w:t>
            </w:r>
          </w:p>
        </w:tc>
        <w:tc>
          <w:tcPr>
            <w:tcW w:w="86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283,920</w:t>
            </w:r>
          </w:p>
        </w:tc>
        <w:tc>
          <w:tcPr>
            <w:tcW w:w="111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$17,440.41</w:t>
            </w:r>
          </w:p>
        </w:tc>
        <w:tc>
          <w:tcPr>
            <w:tcW w:w="111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$27,064.44</w:t>
            </w:r>
          </w:p>
        </w:tc>
        <w:tc>
          <w:tcPr>
            <w:tcW w:w="101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1,925,671</w:t>
            </w:r>
          </w:p>
        </w:tc>
        <w:tc>
          <w:tcPr>
            <w:tcW w:w="86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968,735</w:t>
            </w:r>
          </w:p>
        </w:tc>
        <w:tc>
          <w:tcPr>
            <w:tcW w:w="101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2,894,406</w:t>
            </w:r>
          </w:p>
        </w:tc>
        <w:tc>
          <w:tcPr>
            <w:tcW w:w="1117"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$44,504.85</w:t>
            </w:r>
          </w:p>
        </w:tc>
        <w:tc>
          <w:tcPr>
            <w:tcW w:w="1182" w:type="dxa"/>
            <w:tcBorders>
              <w:top w:val="nil"/>
              <w:left w:val="nil"/>
              <w:bottom w:val="single" w:sz="4"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48.35</w:t>
            </w:r>
          </w:p>
        </w:tc>
        <w:tc>
          <w:tcPr>
            <w:tcW w:w="947" w:type="dxa"/>
            <w:tcBorders>
              <w:top w:val="nil"/>
              <w:left w:val="nil"/>
              <w:bottom w:val="single" w:sz="4" w:space="0" w:color="auto"/>
              <w:right w:val="single" w:sz="8"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$0.74</w:t>
            </w:r>
          </w:p>
        </w:tc>
      </w:tr>
      <w:tr w:rsidR="007A1636" w:rsidRPr="007A1636" w:rsidTr="0032388B">
        <w:trPr>
          <w:trHeight w:val="255"/>
          <w:jc w:val="center"/>
        </w:trPr>
        <w:tc>
          <w:tcPr>
            <w:tcW w:w="1292" w:type="dxa"/>
            <w:tcBorders>
              <w:top w:val="nil"/>
              <w:left w:val="single" w:sz="8" w:space="0" w:color="auto"/>
              <w:bottom w:val="nil"/>
              <w:right w:val="nil"/>
            </w:tcBorders>
            <w:shd w:val="clear" w:color="auto" w:fill="auto"/>
            <w:noWrap/>
            <w:vAlign w:val="bottom"/>
            <w:hideMark/>
          </w:tcPr>
          <w:p w:rsidR="007A1636" w:rsidRPr="007A1636" w:rsidRDefault="007A1636" w:rsidP="007A1636">
            <w:pPr>
              <w:spacing w:after="0" w:line="240" w:lineRule="auto"/>
              <w:rPr>
                <w:rFonts w:ascii="Arial" w:eastAsia="Times New Roman" w:hAnsi="Arial" w:cs="Arial"/>
                <w:sz w:val="18"/>
                <w:szCs w:val="20"/>
              </w:rPr>
            </w:pPr>
            <w:r w:rsidRPr="007A1636">
              <w:rPr>
                <w:rFonts w:ascii="Arial" w:eastAsia="Times New Roman" w:hAnsi="Arial" w:cs="Arial"/>
                <w:sz w:val="18"/>
                <w:szCs w:val="20"/>
              </w:rPr>
              <w:t>2010-2011</w:t>
            </w:r>
          </w:p>
        </w:tc>
        <w:tc>
          <w:tcPr>
            <w:tcW w:w="767" w:type="dxa"/>
            <w:tcBorders>
              <w:top w:val="nil"/>
              <w:left w:val="single" w:sz="8" w:space="0" w:color="auto"/>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23,664</w:t>
            </w:r>
          </w:p>
        </w:tc>
        <w:tc>
          <w:tcPr>
            <w:tcW w:w="86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261,800</w:t>
            </w:r>
          </w:p>
        </w:tc>
        <w:tc>
          <w:tcPr>
            <w:tcW w:w="111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$19,204.28</w:t>
            </w:r>
          </w:p>
        </w:tc>
        <w:tc>
          <w:tcPr>
            <w:tcW w:w="111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$25,421.05</w:t>
            </w:r>
          </w:p>
        </w:tc>
        <w:tc>
          <w:tcPr>
            <w:tcW w:w="101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2,435,026</w:t>
            </w:r>
          </w:p>
        </w:tc>
        <w:tc>
          <w:tcPr>
            <w:tcW w:w="86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893,262</w:t>
            </w:r>
          </w:p>
        </w:tc>
        <w:tc>
          <w:tcPr>
            <w:tcW w:w="101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3,328,287</w:t>
            </w:r>
          </w:p>
        </w:tc>
        <w:tc>
          <w:tcPr>
            <w:tcW w:w="1117"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$44,625.33</w:t>
            </w:r>
          </w:p>
        </w:tc>
        <w:tc>
          <w:tcPr>
            <w:tcW w:w="1182" w:type="dxa"/>
            <w:tcBorders>
              <w:top w:val="nil"/>
              <w:left w:val="nil"/>
              <w:bottom w:val="nil"/>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55.60</w:t>
            </w:r>
          </w:p>
        </w:tc>
        <w:tc>
          <w:tcPr>
            <w:tcW w:w="947" w:type="dxa"/>
            <w:tcBorders>
              <w:top w:val="nil"/>
              <w:left w:val="nil"/>
              <w:bottom w:val="nil"/>
              <w:right w:val="single" w:sz="8"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$0.75</w:t>
            </w:r>
          </w:p>
        </w:tc>
      </w:tr>
      <w:tr w:rsidR="007A1636" w:rsidRPr="007A1636" w:rsidTr="0032388B">
        <w:trPr>
          <w:trHeight w:val="270"/>
          <w:jc w:val="center"/>
        </w:trPr>
        <w:tc>
          <w:tcPr>
            <w:tcW w:w="129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A1636" w:rsidRPr="007A1636" w:rsidRDefault="007A1636" w:rsidP="007A1636">
            <w:pPr>
              <w:spacing w:after="0" w:line="240" w:lineRule="auto"/>
              <w:rPr>
                <w:rFonts w:ascii="Arial" w:eastAsia="Times New Roman" w:hAnsi="Arial" w:cs="Arial"/>
                <w:sz w:val="18"/>
                <w:szCs w:val="20"/>
              </w:rPr>
            </w:pPr>
            <w:r w:rsidRPr="007A1636">
              <w:rPr>
                <w:rFonts w:ascii="Arial" w:eastAsia="Times New Roman" w:hAnsi="Arial" w:cs="Arial"/>
                <w:sz w:val="18"/>
                <w:szCs w:val="20"/>
              </w:rPr>
              <w:t>2011-2012</w:t>
            </w:r>
          </w:p>
        </w:tc>
        <w:tc>
          <w:tcPr>
            <w:tcW w:w="76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18,550</w:t>
            </w:r>
          </w:p>
        </w:tc>
        <w:tc>
          <w:tcPr>
            <w:tcW w:w="86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258,440</w:t>
            </w: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$13,448.64</w:t>
            </w: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$25,977.27</w:t>
            </w:r>
          </w:p>
        </w:tc>
        <w:tc>
          <w:tcPr>
            <w:tcW w:w="10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1,908,795</w:t>
            </w:r>
          </w:p>
        </w:tc>
        <w:tc>
          <w:tcPr>
            <w:tcW w:w="86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881,797</w:t>
            </w:r>
          </w:p>
        </w:tc>
        <w:tc>
          <w:tcPr>
            <w:tcW w:w="10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2,790,592</w:t>
            </w: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$39,425.91</w:t>
            </w:r>
          </w:p>
        </w:tc>
        <w:tc>
          <w:tcPr>
            <w:tcW w:w="1182"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47</w:t>
            </w:r>
          </w:p>
        </w:tc>
        <w:tc>
          <w:tcPr>
            <w:tcW w:w="94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$0.66</w:t>
            </w:r>
          </w:p>
        </w:tc>
      </w:tr>
      <w:tr w:rsidR="007A1636" w:rsidRPr="007A1636" w:rsidTr="0032388B">
        <w:trPr>
          <w:trHeight w:val="270"/>
          <w:jc w:val="center"/>
        </w:trPr>
        <w:tc>
          <w:tcPr>
            <w:tcW w:w="129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A1636" w:rsidRPr="007A1636" w:rsidRDefault="007A1636" w:rsidP="007A1636">
            <w:pPr>
              <w:spacing w:after="0" w:line="240" w:lineRule="auto"/>
              <w:rPr>
                <w:rFonts w:ascii="Arial" w:eastAsia="Times New Roman" w:hAnsi="Arial" w:cs="Arial"/>
                <w:sz w:val="18"/>
                <w:szCs w:val="20"/>
              </w:rPr>
            </w:pPr>
            <w:r w:rsidRPr="007A1636">
              <w:rPr>
                <w:rFonts w:ascii="Arial" w:eastAsia="Times New Roman" w:hAnsi="Arial" w:cs="Arial"/>
                <w:sz w:val="18"/>
                <w:szCs w:val="20"/>
              </w:rPr>
              <w:t>2012-2013</w:t>
            </w:r>
          </w:p>
        </w:tc>
        <w:tc>
          <w:tcPr>
            <w:tcW w:w="76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21</w:t>
            </w:r>
          </w:p>
        </w:tc>
        <w:tc>
          <w:tcPr>
            <w:tcW w:w="86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52,240</w:t>
            </w: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$109.86</w:t>
            </w: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$4,866.99</w:t>
            </w:r>
          </w:p>
        </w:tc>
        <w:tc>
          <w:tcPr>
            <w:tcW w:w="10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2,161</w:t>
            </w:r>
          </w:p>
        </w:tc>
        <w:tc>
          <w:tcPr>
            <w:tcW w:w="86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178,243</w:t>
            </w:r>
          </w:p>
        </w:tc>
        <w:tc>
          <w:tcPr>
            <w:tcW w:w="10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180,404</w:t>
            </w: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$4,976.85</w:t>
            </w:r>
          </w:p>
        </w:tc>
        <w:tc>
          <w:tcPr>
            <w:tcW w:w="1182"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3</w:t>
            </w:r>
          </w:p>
        </w:tc>
        <w:tc>
          <w:tcPr>
            <w:tcW w:w="947" w:type="dxa"/>
            <w:tcBorders>
              <w:top w:val="single" w:sz="4" w:space="0" w:color="auto"/>
              <w:left w:val="nil"/>
              <w:bottom w:val="single" w:sz="8" w:space="0" w:color="auto"/>
              <w:right w:val="single" w:sz="4" w:space="0" w:color="auto"/>
            </w:tcBorders>
            <w:shd w:val="clear" w:color="auto" w:fill="auto"/>
            <w:noWrap/>
            <w:vAlign w:val="bottom"/>
            <w:hideMark/>
          </w:tcPr>
          <w:p w:rsidR="007A1636" w:rsidRPr="007A1636" w:rsidRDefault="007A1636" w:rsidP="007A1636">
            <w:pPr>
              <w:spacing w:after="0" w:line="240" w:lineRule="auto"/>
              <w:jc w:val="right"/>
              <w:rPr>
                <w:rFonts w:ascii="Arial" w:eastAsia="Times New Roman" w:hAnsi="Arial" w:cs="Arial"/>
                <w:sz w:val="18"/>
                <w:szCs w:val="20"/>
              </w:rPr>
            </w:pPr>
            <w:r w:rsidRPr="007A1636">
              <w:rPr>
                <w:rFonts w:ascii="Arial" w:eastAsia="Times New Roman" w:hAnsi="Arial" w:cs="Arial"/>
                <w:sz w:val="18"/>
                <w:szCs w:val="20"/>
              </w:rPr>
              <w:t>$0.08</w:t>
            </w:r>
          </w:p>
        </w:tc>
      </w:tr>
    </w:tbl>
    <w:p w:rsidR="00862B57" w:rsidRDefault="007A1636" w:rsidP="007A1636">
      <w:pPr>
        <w:tabs>
          <w:tab w:val="left" w:pos="1185"/>
          <w:tab w:val="center" w:pos="4680"/>
        </w:tabs>
        <w:spacing w:line="240" w:lineRule="auto"/>
        <w:rPr>
          <w:sz w:val="24"/>
        </w:rPr>
      </w:pPr>
      <w:r>
        <w:rPr>
          <w:sz w:val="24"/>
        </w:rPr>
        <w:tab/>
      </w:r>
      <w:r>
        <w:rPr>
          <w:sz w:val="24"/>
        </w:rPr>
        <w:tab/>
      </w:r>
    </w:p>
    <w:p w:rsidR="009779F5" w:rsidRDefault="0006258C" w:rsidP="00F930AC">
      <w:pPr>
        <w:spacing w:line="240" w:lineRule="auto"/>
        <w:rPr>
          <w:b/>
          <w:sz w:val="24"/>
          <w:u w:val="single"/>
        </w:rPr>
      </w:pPr>
      <w:r>
        <w:rPr>
          <w:b/>
          <w:sz w:val="24"/>
          <w:u w:val="single"/>
        </w:rPr>
        <w:lastRenderedPageBreak/>
        <w:t>Southgate Modular</w:t>
      </w:r>
      <w:r w:rsidR="009779F5">
        <w:rPr>
          <w:b/>
          <w:sz w:val="24"/>
          <w:u w:val="single"/>
        </w:rPr>
        <w:t>:</w:t>
      </w:r>
      <w:r w:rsidR="007A1636" w:rsidRPr="007A1636">
        <w:rPr>
          <w:noProof/>
        </w:rPr>
        <w:t xml:space="preserve"> </w:t>
      </w:r>
      <w:r w:rsidR="007A1636" w:rsidRPr="007A1636">
        <w:rPr>
          <w:b/>
          <w:noProof/>
          <w:sz w:val="24"/>
          <w:u w:val="single"/>
        </w:rPr>
        <w:drawing>
          <wp:inline distT="0" distB="0" distL="0" distR="0">
            <wp:extent cx="5943600" cy="223393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A1636" w:rsidRPr="007A1636">
        <w:rPr>
          <w:noProof/>
        </w:rPr>
        <w:drawing>
          <wp:inline distT="0" distB="0" distL="0" distR="0">
            <wp:extent cx="5788025" cy="3108325"/>
            <wp:effectExtent l="19050" t="0" r="222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96D" w:rsidRDefault="0032388B" w:rsidP="0032388B">
      <w:pPr>
        <w:spacing w:line="240" w:lineRule="auto"/>
        <w:rPr>
          <w:b/>
          <w:sz w:val="24"/>
          <w:u w:val="single"/>
        </w:rPr>
      </w:pPr>
      <w:r>
        <w:rPr>
          <w:b/>
          <w:sz w:val="24"/>
          <w:u w:val="single"/>
        </w:rPr>
        <w:t>Southgate Modular</w:t>
      </w:r>
    </w:p>
    <w:tbl>
      <w:tblPr>
        <w:tblW w:w="9550" w:type="dxa"/>
        <w:tblInd w:w="98" w:type="dxa"/>
        <w:tblLook w:val="04A0"/>
      </w:tblPr>
      <w:tblGrid>
        <w:gridCol w:w="965"/>
        <w:gridCol w:w="1062"/>
        <w:gridCol w:w="1048"/>
        <w:gridCol w:w="1003"/>
        <w:gridCol w:w="1201"/>
        <w:gridCol w:w="1194"/>
        <w:gridCol w:w="1003"/>
        <w:gridCol w:w="897"/>
        <w:gridCol w:w="1177"/>
      </w:tblGrid>
      <w:tr w:rsidR="0032388B" w:rsidRPr="0032388B" w:rsidTr="00192EE8">
        <w:trPr>
          <w:trHeight w:val="780"/>
        </w:trPr>
        <w:tc>
          <w:tcPr>
            <w:tcW w:w="965" w:type="dxa"/>
            <w:tcBorders>
              <w:top w:val="single" w:sz="8" w:space="0" w:color="auto"/>
              <w:left w:val="single" w:sz="8" w:space="0" w:color="auto"/>
              <w:bottom w:val="single" w:sz="4" w:space="0" w:color="auto"/>
              <w:right w:val="nil"/>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Year</w:t>
            </w:r>
          </w:p>
        </w:tc>
        <w:tc>
          <w:tcPr>
            <w:tcW w:w="10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Gas Use (ccf)</w:t>
            </w:r>
          </w:p>
        </w:tc>
        <w:tc>
          <w:tcPr>
            <w:tcW w:w="1048" w:type="dxa"/>
            <w:tcBorders>
              <w:top w:val="single" w:sz="8" w:space="0" w:color="auto"/>
              <w:left w:val="nil"/>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Electric Use (kWh)</w:t>
            </w:r>
          </w:p>
        </w:tc>
        <w:tc>
          <w:tcPr>
            <w:tcW w:w="1003" w:type="dxa"/>
            <w:tcBorders>
              <w:top w:val="single" w:sz="8" w:space="0" w:color="auto"/>
              <w:left w:val="nil"/>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Gas Cost ($)</w:t>
            </w:r>
          </w:p>
        </w:tc>
        <w:tc>
          <w:tcPr>
            <w:tcW w:w="1201" w:type="dxa"/>
            <w:tcBorders>
              <w:top w:val="single" w:sz="8" w:space="0" w:color="auto"/>
              <w:left w:val="nil"/>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Electric Cost ($)</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Gas Use (kBTU)</w:t>
            </w:r>
          </w:p>
        </w:tc>
        <w:tc>
          <w:tcPr>
            <w:tcW w:w="1003" w:type="dxa"/>
            <w:tcBorders>
              <w:top w:val="single" w:sz="8" w:space="0" w:color="auto"/>
              <w:left w:val="nil"/>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Electric Use (kBTU)</w:t>
            </w:r>
          </w:p>
        </w:tc>
        <w:tc>
          <w:tcPr>
            <w:tcW w:w="897" w:type="dxa"/>
            <w:tcBorders>
              <w:top w:val="single" w:sz="8" w:space="0" w:color="auto"/>
              <w:left w:val="nil"/>
              <w:bottom w:val="single" w:sz="8" w:space="0" w:color="auto"/>
              <w:right w:val="single" w:sz="4"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Total Energy (kBTU)</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rsidR="0032388B" w:rsidRPr="0032388B" w:rsidRDefault="0032388B" w:rsidP="0032388B">
            <w:pPr>
              <w:spacing w:after="0" w:line="240" w:lineRule="auto"/>
              <w:jc w:val="center"/>
              <w:rPr>
                <w:rFonts w:ascii="Arial" w:eastAsia="Times New Roman" w:hAnsi="Arial" w:cs="Arial"/>
                <w:b/>
                <w:bCs/>
                <w:sz w:val="20"/>
                <w:szCs w:val="20"/>
              </w:rPr>
            </w:pPr>
            <w:r w:rsidRPr="0032388B">
              <w:rPr>
                <w:rFonts w:ascii="Arial" w:eastAsia="Times New Roman" w:hAnsi="Arial" w:cs="Arial"/>
                <w:b/>
                <w:bCs/>
                <w:sz w:val="20"/>
                <w:szCs w:val="20"/>
              </w:rPr>
              <w:t>Total Cost ($)</w:t>
            </w:r>
          </w:p>
        </w:tc>
      </w:tr>
      <w:tr w:rsidR="0032388B" w:rsidRPr="0032388B" w:rsidTr="00192EE8">
        <w:trPr>
          <w:trHeight w:val="255"/>
        </w:trPr>
        <w:tc>
          <w:tcPr>
            <w:tcW w:w="965" w:type="dxa"/>
            <w:tcBorders>
              <w:top w:val="nil"/>
              <w:left w:val="single" w:sz="8" w:space="0" w:color="auto"/>
              <w:bottom w:val="single" w:sz="4" w:space="0" w:color="auto"/>
              <w:right w:val="nil"/>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2008-2009</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48"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03"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03"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897"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177" w:type="dxa"/>
            <w:tcBorders>
              <w:top w:val="nil"/>
              <w:left w:val="nil"/>
              <w:bottom w:val="single" w:sz="4"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r>
      <w:tr w:rsidR="0032388B" w:rsidRPr="0032388B" w:rsidTr="00192EE8">
        <w:trPr>
          <w:trHeight w:val="255"/>
        </w:trPr>
        <w:tc>
          <w:tcPr>
            <w:tcW w:w="965" w:type="dxa"/>
            <w:tcBorders>
              <w:top w:val="nil"/>
              <w:left w:val="single" w:sz="8" w:space="0" w:color="auto"/>
              <w:bottom w:val="single" w:sz="4" w:space="0" w:color="auto"/>
              <w:right w:val="nil"/>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2009-2010**</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48"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14,174</w:t>
            </w:r>
          </w:p>
        </w:tc>
        <w:tc>
          <w:tcPr>
            <w:tcW w:w="1003"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$1,641.64</w:t>
            </w:r>
          </w:p>
        </w:tc>
        <w:tc>
          <w:tcPr>
            <w:tcW w:w="1194"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03"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48,362</w:t>
            </w:r>
          </w:p>
        </w:tc>
        <w:tc>
          <w:tcPr>
            <w:tcW w:w="897" w:type="dxa"/>
            <w:tcBorders>
              <w:top w:val="nil"/>
              <w:left w:val="nil"/>
              <w:bottom w:val="single" w:sz="4"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48,362</w:t>
            </w:r>
          </w:p>
        </w:tc>
        <w:tc>
          <w:tcPr>
            <w:tcW w:w="1177" w:type="dxa"/>
            <w:tcBorders>
              <w:top w:val="nil"/>
              <w:left w:val="nil"/>
              <w:bottom w:val="single" w:sz="4"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$1,641.64</w:t>
            </w:r>
          </w:p>
        </w:tc>
      </w:tr>
      <w:tr w:rsidR="0032388B" w:rsidRPr="0032388B" w:rsidTr="00192EE8">
        <w:trPr>
          <w:trHeight w:val="255"/>
        </w:trPr>
        <w:tc>
          <w:tcPr>
            <w:tcW w:w="965" w:type="dxa"/>
            <w:tcBorders>
              <w:top w:val="nil"/>
              <w:left w:val="single" w:sz="8" w:space="0" w:color="auto"/>
              <w:bottom w:val="nil"/>
              <w:right w:val="nil"/>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2010-2011*</w:t>
            </w:r>
          </w:p>
        </w:tc>
        <w:tc>
          <w:tcPr>
            <w:tcW w:w="1062" w:type="dxa"/>
            <w:tcBorders>
              <w:top w:val="nil"/>
              <w:left w:val="single" w:sz="8" w:space="0" w:color="auto"/>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48"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19,669</w:t>
            </w:r>
          </w:p>
        </w:tc>
        <w:tc>
          <w:tcPr>
            <w:tcW w:w="1003"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c>
          <w:tcPr>
            <w:tcW w:w="1201"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$2,002.24</w:t>
            </w:r>
          </w:p>
        </w:tc>
        <w:tc>
          <w:tcPr>
            <w:tcW w:w="1194"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03"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67,111</w:t>
            </w:r>
          </w:p>
        </w:tc>
        <w:tc>
          <w:tcPr>
            <w:tcW w:w="897" w:type="dxa"/>
            <w:tcBorders>
              <w:top w:val="nil"/>
              <w:left w:val="nil"/>
              <w:bottom w:val="nil"/>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67,111</w:t>
            </w:r>
          </w:p>
        </w:tc>
        <w:tc>
          <w:tcPr>
            <w:tcW w:w="1177" w:type="dxa"/>
            <w:tcBorders>
              <w:top w:val="nil"/>
              <w:left w:val="nil"/>
              <w:bottom w:val="nil"/>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$2,002.24</w:t>
            </w:r>
          </w:p>
        </w:tc>
      </w:tr>
      <w:tr w:rsidR="0032388B" w:rsidRPr="0032388B" w:rsidTr="00192EE8">
        <w:trPr>
          <w:trHeight w:val="270"/>
        </w:trPr>
        <w:tc>
          <w:tcPr>
            <w:tcW w:w="96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2011-2012</w:t>
            </w:r>
          </w:p>
        </w:tc>
        <w:tc>
          <w:tcPr>
            <w:tcW w:w="106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48"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19,886</w:t>
            </w:r>
          </w:p>
        </w:tc>
        <w:tc>
          <w:tcPr>
            <w:tcW w:w="1003"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c>
          <w:tcPr>
            <w:tcW w:w="1201"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$1,548.36</w:t>
            </w:r>
          </w:p>
        </w:tc>
        <w:tc>
          <w:tcPr>
            <w:tcW w:w="1194"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03"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67,851</w:t>
            </w:r>
          </w:p>
        </w:tc>
        <w:tc>
          <w:tcPr>
            <w:tcW w:w="897"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67,851</w:t>
            </w:r>
          </w:p>
        </w:tc>
        <w:tc>
          <w:tcPr>
            <w:tcW w:w="1177" w:type="dxa"/>
            <w:tcBorders>
              <w:top w:val="single" w:sz="4" w:space="0" w:color="auto"/>
              <w:left w:val="nil"/>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$1,548.36</w:t>
            </w:r>
          </w:p>
        </w:tc>
      </w:tr>
      <w:tr w:rsidR="0032388B" w:rsidRPr="0032388B" w:rsidTr="00192EE8">
        <w:trPr>
          <w:trHeight w:val="270"/>
        </w:trPr>
        <w:tc>
          <w:tcPr>
            <w:tcW w:w="96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2388B" w:rsidRPr="0032388B" w:rsidRDefault="0032388B" w:rsidP="0032388B">
            <w:pPr>
              <w:spacing w:after="0" w:line="240" w:lineRule="auto"/>
              <w:rPr>
                <w:rFonts w:ascii="Arial" w:eastAsia="Times New Roman" w:hAnsi="Arial" w:cs="Arial"/>
                <w:sz w:val="20"/>
                <w:szCs w:val="20"/>
              </w:rPr>
            </w:pPr>
            <w:r w:rsidRPr="0032388B">
              <w:rPr>
                <w:rFonts w:ascii="Arial" w:eastAsia="Times New Roman" w:hAnsi="Arial" w:cs="Arial"/>
                <w:sz w:val="20"/>
                <w:szCs w:val="20"/>
              </w:rPr>
              <w:t>2012-2013</w:t>
            </w:r>
          </w:p>
        </w:tc>
        <w:tc>
          <w:tcPr>
            <w:tcW w:w="1062"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48"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2,081</w:t>
            </w:r>
          </w:p>
        </w:tc>
        <w:tc>
          <w:tcPr>
            <w:tcW w:w="1003"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$0.00</w:t>
            </w:r>
          </w:p>
        </w:tc>
        <w:tc>
          <w:tcPr>
            <w:tcW w:w="1201"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$197.40</w:t>
            </w:r>
          </w:p>
        </w:tc>
        <w:tc>
          <w:tcPr>
            <w:tcW w:w="1194"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0</w:t>
            </w:r>
          </w:p>
        </w:tc>
        <w:tc>
          <w:tcPr>
            <w:tcW w:w="1003"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7,100</w:t>
            </w:r>
          </w:p>
        </w:tc>
        <w:tc>
          <w:tcPr>
            <w:tcW w:w="897"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7,100</w:t>
            </w:r>
          </w:p>
        </w:tc>
        <w:tc>
          <w:tcPr>
            <w:tcW w:w="1177" w:type="dxa"/>
            <w:tcBorders>
              <w:top w:val="single" w:sz="4" w:space="0" w:color="auto"/>
              <w:left w:val="nil"/>
              <w:bottom w:val="single" w:sz="8" w:space="0" w:color="auto"/>
              <w:right w:val="single" w:sz="4" w:space="0" w:color="auto"/>
            </w:tcBorders>
            <w:shd w:val="clear" w:color="auto" w:fill="auto"/>
            <w:noWrap/>
            <w:vAlign w:val="bottom"/>
            <w:hideMark/>
          </w:tcPr>
          <w:p w:rsidR="0032388B" w:rsidRPr="0032388B" w:rsidRDefault="0032388B" w:rsidP="0032388B">
            <w:pPr>
              <w:spacing w:after="0" w:line="240" w:lineRule="auto"/>
              <w:jc w:val="right"/>
              <w:rPr>
                <w:rFonts w:ascii="Arial" w:eastAsia="Times New Roman" w:hAnsi="Arial" w:cs="Arial"/>
                <w:sz w:val="20"/>
                <w:szCs w:val="20"/>
              </w:rPr>
            </w:pPr>
            <w:r w:rsidRPr="0032388B">
              <w:rPr>
                <w:rFonts w:ascii="Arial" w:eastAsia="Times New Roman" w:hAnsi="Arial" w:cs="Arial"/>
                <w:sz w:val="20"/>
                <w:szCs w:val="20"/>
              </w:rPr>
              <w:t>$197.40</w:t>
            </w:r>
          </w:p>
        </w:tc>
      </w:tr>
    </w:tbl>
    <w:p w:rsidR="00692CEE" w:rsidRDefault="00692CEE" w:rsidP="005B394A">
      <w:pPr>
        <w:spacing w:line="240" w:lineRule="auto"/>
        <w:rPr>
          <w:b/>
          <w:sz w:val="24"/>
          <w:u w:val="single"/>
        </w:rPr>
      </w:pPr>
    </w:p>
    <w:sectPr w:rsidR="00692CEE" w:rsidSect="000C40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20" w:rsidRDefault="002B4D20" w:rsidP="00C01C20">
      <w:pPr>
        <w:spacing w:after="0" w:line="240" w:lineRule="auto"/>
      </w:pPr>
      <w:r>
        <w:separator/>
      </w:r>
    </w:p>
  </w:endnote>
  <w:endnote w:type="continuationSeparator" w:id="0">
    <w:p w:rsidR="002B4D20" w:rsidRDefault="002B4D20" w:rsidP="00C01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20" w:rsidRDefault="002B4D20" w:rsidP="00C01C20">
      <w:pPr>
        <w:spacing w:after="0" w:line="240" w:lineRule="auto"/>
      </w:pPr>
      <w:r>
        <w:separator/>
      </w:r>
    </w:p>
  </w:footnote>
  <w:footnote w:type="continuationSeparator" w:id="0">
    <w:p w:rsidR="002B4D20" w:rsidRDefault="002B4D20" w:rsidP="00C01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EA4"/>
    <w:multiLevelType w:val="hybridMultilevel"/>
    <w:tmpl w:val="A6C4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772F"/>
    <w:rsid w:val="000018DB"/>
    <w:rsid w:val="00030795"/>
    <w:rsid w:val="000512A8"/>
    <w:rsid w:val="0006258C"/>
    <w:rsid w:val="0008216D"/>
    <w:rsid w:val="00087E99"/>
    <w:rsid w:val="000C4043"/>
    <w:rsid w:val="001029DC"/>
    <w:rsid w:val="00112CF1"/>
    <w:rsid w:val="00114C40"/>
    <w:rsid w:val="00123201"/>
    <w:rsid w:val="00192EE8"/>
    <w:rsid w:val="001941B6"/>
    <w:rsid w:val="001C6772"/>
    <w:rsid w:val="001D25FD"/>
    <w:rsid w:val="00246E0C"/>
    <w:rsid w:val="00254BDC"/>
    <w:rsid w:val="00260C53"/>
    <w:rsid w:val="0027312E"/>
    <w:rsid w:val="002B4D20"/>
    <w:rsid w:val="002C26D1"/>
    <w:rsid w:val="0032388B"/>
    <w:rsid w:val="0034044A"/>
    <w:rsid w:val="00361680"/>
    <w:rsid w:val="00390208"/>
    <w:rsid w:val="003B3923"/>
    <w:rsid w:val="0043373E"/>
    <w:rsid w:val="0044334B"/>
    <w:rsid w:val="00472FAC"/>
    <w:rsid w:val="004751C5"/>
    <w:rsid w:val="0049245E"/>
    <w:rsid w:val="004D7F68"/>
    <w:rsid w:val="004F3F6C"/>
    <w:rsid w:val="0056156A"/>
    <w:rsid w:val="00573F7B"/>
    <w:rsid w:val="00576836"/>
    <w:rsid w:val="00594C30"/>
    <w:rsid w:val="005A5AE2"/>
    <w:rsid w:val="005B3015"/>
    <w:rsid w:val="005B394A"/>
    <w:rsid w:val="00685F94"/>
    <w:rsid w:val="00692CEE"/>
    <w:rsid w:val="0071768C"/>
    <w:rsid w:val="0077649D"/>
    <w:rsid w:val="00776AD7"/>
    <w:rsid w:val="007A1636"/>
    <w:rsid w:val="007B2CCB"/>
    <w:rsid w:val="007E5C4A"/>
    <w:rsid w:val="007E6007"/>
    <w:rsid w:val="00803F6A"/>
    <w:rsid w:val="00814923"/>
    <w:rsid w:val="0084240A"/>
    <w:rsid w:val="00862B57"/>
    <w:rsid w:val="00867010"/>
    <w:rsid w:val="00874955"/>
    <w:rsid w:val="00875F96"/>
    <w:rsid w:val="008C5EB5"/>
    <w:rsid w:val="008C72B7"/>
    <w:rsid w:val="008F2F2A"/>
    <w:rsid w:val="009029F4"/>
    <w:rsid w:val="00903920"/>
    <w:rsid w:val="00910539"/>
    <w:rsid w:val="00920BB8"/>
    <w:rsid w:val="00933EFE"/>
    <w:rsid w:val="00965F7B"/>
    <w:rsid w:val="009779F5"/>
    <w:rsid w:val="00981471"/>
    <w:rsid w:val="009B1683"/>
    <w:rsid w:val="009C2091"/>
    <w:rsid w:val="009C65CC"/>
    <w:rsid w:val="00A05916"/>
    <w:rsid w:val="00A12C90"/>
    <w:rsid w:val="00A42C42"/>
    <w:rsid w:val="00A465CD"/>
    <w:rsid w:val="00A566A1"/>
    <w:rsid w:val="00A62631"/>
    <w:rsid w:val="00A64009"/>
    <w:rsid w:val="00AB246D"/>
    <w:rsid w:val="00AB39A8"/>
    <w:rsid w:val="00AC24B7"/>
    <w:rsid w:val="00AD02CD"/>
    <w:rsid w:val="00AD5091"/>
    <w:rsid w:val="00B07451"/>
    <w:rsid w:val="00B07AF7"/>
    <w:rsid w:val="00B16780"/>
    <w:rsid w:val="00B42E4D"/>
    <w:rsid w:val="00B623EF"/>
    <w:rsid w:val="00C01C20"/>
    <w:rsid w:val="00C75C47"/>
    <w:rsid w:val="00CB07FD"/>
    <w:rsid w:val="00CF06ED"/>
    <w:rsid w:val="00D34EE7"/>
    <w:rsid w:val="00D4513E"/>
    <w:rsid w:val="00D6196D"/>
    <w:rsid w:val="00D90B47"/>
    <w:rsid w:val="00DD2BA8"/>
    <w:rsid w:val="00EA4971"/>
    <w:rsid w:val="00ED6D4B"/>
    <w:rsid w:val="00ED772F"/>
    <w:rsid w:val="00EE4BC2"/>
    <w:rsid w:val="00EF5061"/>
    <w:rsid w:val="00F400F3"/>
    <w:rsid w:val="00F45113"/>
    <w:rsid w:val="00F57281"/>
    <w:rsid w:val="00F9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2F"/>
    <w:rPr>
      <w:rFonts w:ascii="Tahoma" w:hAnsi="Tahoma" w:cs="Tahoma"/>
      <w:sz w:val="16"/>
      <w:szCs w:val="16"/>
    </w:rPr>
  </w:style>
  <w:style w:type="paragraph" w:styleId="Header">
    <w:name w:val="header"/>
    <w:basedOn w:val="Normal"/>
    <w:link w:val="HeaderChar"/>
    <w:uiPriority w:val="99"/>
    <w:semiHidden/>
    <w:unhideWhenUsed/>
    <w:rsid w:val="00C01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C20"/>
  </w:style>
  <w:style w:type="paragraph" w:styleId="Footer">
    <w:name w:val="footer"/>
    <w:basedOn w:val="Normal"/>
    <w:link w:val="FooterChar"/>
    <w:uiPriority w:val="99"/>
    <w:semiHidden/>
    <w:unhideWhenUsed/>
    <w:rsid w:val="00C01C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C20"/>
  </w:style>
  <w:style w:type="paragraph" w:styleId="NormalWeb">
    <w:name w:val="Normal (Web)"/>
    <w:basedOn w:val="Normal"/>
    <w:uiPriority w:val="99"/>
    <w:unhideWhenUsed/>
    <w:rsid w:val="000C4043"/>
    <w:pPr>
      <w:spacing w:before="144" w:after="144" w:line="36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2091"/>
    <w:pPr>
      <w:ind w:left="720"/>
      <w:contextualSpacing/>
    </w:pPr>
  </w:style>
</w:styles>
</file>

<file path=word/webSettings.xml><?xml version="1.0" encoding="utf-8"?>
<w:webSettings xmlns:r="http://schemas.openxmlformats.org/officeDocument/2006/relationships" xmlns:w="http://schemas.openxmlformats.org/wordprocessingml/2006/main">
  <w:divs>
    <w:div w:id="16539882">
      <w:bodyDiv w:val="1"/>
      <w:marLeft w:val="0"/>
      <w:marRight w:val="0"/>
      <w:marTop w:val="0"/>
      <w:marBottom w:val="0"/>
      <w:divBdr>
        <w:top w:val="none" w:sz="0" w:space="0" w:color="auto"/>
        <w:left w:val="none" w:sz="0" w:space="0" w:color="auto"/>
        <w:bottom w:val="none" w:sz="0" w:space="0" w:color="auto"/>
        <w:right w:val="none" w:sz="0" w:space="0" w:color="auto"/>
      </w:divBdr>
    </w:div>
    <w:div w:id="18972490">
      <w:bodyDiv w:val="1"/>
      <w:marLeft w:val="0"/>
      <w:marRight w:val="0"/>
      <w:marTop w:val="0"/>
      <w:marBottom w:val="0"/>
      <w:divBdr>
        <w:top w:val="none" w:sz="0" w:space="0" w:color="auto"/>
        <w:left w:val="none" w:sz="0" w:space="0" w:color="auto"/>
        <w:bottom w:val="none" w:sz="0" w:space="0" w:color="auto"/>
        <w:right w:val="none" w:sz="0" w:space="0" w:color="auto"/>
      </w:divBdr>
    </w:div>
    <w:div w:id="28846339">
      <w:bodyDiv w:val="1"/>
      <w:marLeft w:val="0"/>
      <w:marRight w:val="0"/>
      <w:marTop w:val="0"/>
      <w:marBottom w:val="0"/>
      <w:divBdr>
        <w:top w:val="none" w:sz="0" w:space="0" w:color="auto"/>
        <w:left w:val="none" w:sz="0" w:space="0" w:color="auto"/>
        <w:bottom w:val="none" w:sz="0" w:space="0" w:color="auto"/>
        <w:right w:val="none" w:sz="0" w:space="0" w:color="auto"/>
      </w:divBdr>
    </w:div>
    <w:div w:id="42024142">
      <w:bodyDiv w:val="1"/>
      <w:marLeft w:val="0"/>
      <w:marRight w:val="0"/>
      <w:marTop w:val="0"/>
      <w:marBottom w:val="0"/>
      <w:divBdr>
        <w:top w:val="none" w:sz="0" w:space="0" w:color="auto"/>
        <w:left w:val="none" w:sz="0" w:space="0" w:color="auto"/>
        <w:bottom w:val="none" w:sz="0" w:space="0" w:color="auto"/>
        <w:right w:val="none" w:sz="0" w:space="0" w:color="auto"/>
      </w:divBdr>
    </w:div>
    <w:div w:id="110319163">
      <w:bodyDiv w:val="1"/>
      <w:marLeft w:val="0"/>
      <w:marRight w:val="0"/>
      <w:marTop w:val="0"/>
      <w:marBottom w:val="0"/>
      <w:divBdr>
        <w:top w:val="none" w:sz="0" w:space="0" w:color="auto"/>
        <w:left w:val="none" w:sz="0" w:space="0" w:color="auto"/>
        <w:bottom w:val="none" w:sz="0" w:space="0" w:color="auto"/>
        <w:right w:val="none" w:sz="0" w:space="0" w:color="auto"/>
      </w:divBdr>
    </w:div>
    <w:div w:id="116266475">
      <w:bodyDiv w:val="1"/>
      <w:marLeft w:val="0"/>
      <w:marRight w:val="0"/>
      <w:marTop w:val="0"/>
      <w:marBottom w:val="0"/>
      <w:divBdr>
        <w:top w:val="none" w:sz="0" w:space="0" w:color="auto"/>
        <w:left w:val="none" w:sz="0" w:space="0" w:color="auto"/>
        <w:bottom w:val="none" w:sz="0" w:space="0" w:color="auto"/>
        <w:right w:val="none" w:sz="0" w:space="0" w:color="auto"/>
      </w:divBdr>
    </w:div>
    <w:div w:id="124540964">
      <w:bodyDiv w:val="1"/>
      <w:marLeft w:val="0"/>
      <w:marRight w:val="0"/>
      <w:marTop w:val="0"/>
      <w:marBottom w:val="0"/>
      <w:divBdr>
        <w:top w:val="none" w:sz="0" w:space="0" w:color="auto"/>
        <w:left w:val="none" w:sz="0" w:space="0" w:color="auto"/>
        <w:bottom w:val="none" w:sz="0" w:space="0" w:color="auto"/>
        <w:right w:val="none" w:sz="0" w:space="0" w:color="auto"/>
      </w:divBdr>
    </w:div>
    <w:div w:id="130175482">
      <w:bodyDiv w:val="1"/>
      <w:marLeft w:val="0"/>
      <w:marRight w:val="0"/>
      <w:marTop w:val="0"/>
      <w:marBottom w:val="0"/>
      <w:divBdr>
        <w:top w:val="none" w:sz="0" w:space="0" w:color="auto"/>
        <w:left w:val="none" w:sz="0" w:space="0" w:color="auto"/>
        <w:bottom w:val="none" w:sz="0" w:space="0" w:color="auto"/>
        <w:right w:val="none" w:sz="0" w:space="0" w:color="auto"/>
      </w:divBdr>
    </w:div>
    <w:div w:id="130832244">
      <w:bodyDiv w:val="1"/>
      <w:marLeft w:val="0"/>
      <w:marRight w:val="0"/>
      <w:marTop w:val="0"/>
      <w:marBottom w:val="0"/>
      <w:divBdr>
        <w:top w:val="none" w:sz="0" w:space="0" w:color="auto"/>
        <w:left w:val="none" w:sz="0" w:space="0" w:color="auto"/>
        <w:bottom w:val="none" w:sz="0" w:space="0" w:color="auto"/>
        <w:right w:val="none" w:sz="0" w:space="0" w:color="auto"/>
      </w:divBdr>
    </w:div>
    <w:div w:id="145364838">
      <w:bodyDiv w:val="1"/>
      <w:marLeft w:val="0"/>
      <w:marRight w:val="0"/>
      <w:marTop w:val="0"/>
      <w:marBottom w:val="0"/>
      <w:divBdr>
        <w:top w:val="none" w:sz="0" w:space="0" w:color="auto"/>
        <w:left w:val="none" w:sz="0" w:space="0" w:color="auto"/>
        <w:bottom w:val="none" w:sz="0" w:space="0" w:color="auto"/>
        <w:right w:val="none" w:sz="0" w:space="0" w:color="auto"/>
      </w:divBdr>
    </w:div>
    <w:div w:id="171342282">
      <w:bodyDiv w:val="1"/>
      <w:marLeft w:val="0"/>
      <w:marRight w:val="0"/>
      <w:marTop w:val="0"/>
      <w:marBottom w:val="0"/>
      <w:divBdr>
        <w:top w:val="none" w:sz="0" w:space="0" w:color="auto"/>
        <w:left w:val="none" w:sz="0" w:space="0" w:color="auto"/>
        <w:bottom w:val="none" w:sz="0" w:space="0" w:color="auto"/>
        <w:right w:val="none" w:sz="0" w:space="0" w:color="auto"/>
      </w:divBdr>
    </w:div>
    <w:div w:id="177551425">
      <w:bodyDiv w:val="1"/>
      <w:marLeft w:val="0"/>
      <w:marRight w:val="0"/>
      <w:marTop w:val="0"/>
      <w:marBottom w:val="0"/>
      <w:divBdr>
        <w:top w:val="none" w:sz="0" w:space="0" w:color="auto"/>
        <w:left w:val="none" w:sz="0" w:space="0" w:color="auto"/>
        <w:bottom w:val="none" w:sz="0" w:space="0" w:color="auto"/>
        <w:right w:val="none" w:sz="0" w:space="0" w:color="auto"/>
      </w:divBdr>
    </w:div>
    <w:div w:id="304089661">
      <w:bodyDiv w:val="1"/>
      <w:marLeft w:val="0"/>
      <w:marRight w:val="0"/>
      <w:marTop w:val="0"/>
      <w:marBottom w:val="0"/>
      <w:divBdr>
        <w:top w:val="none" w:sz="0" w:space="0" w:color="auto"/>
        <w:left w:val="none" w:sz="0" w:space="0" w:color="auto"/>
        <w:bottom w:val="none" w:sz="0" w:space="0" w:color="auto"/>
        <w:right w:val="none" w:sz="0" w:space="0" w:color="auto"/>
      </w:divBdr>
    </w:div>
    <w:div w:id="365328256">
      <w:bodyDiv w:val="1"/>
      <w:marLeft w:val="0"/>
      <w:marRight w:val="0"/>
      <w:marTop w:val="0"/>
      <w:marBottom w:val="0"/>
      <w:divBdr>
        <w:top w:val="none" w:sz="0" w:space="0" w:color="auto"/>
        <w:left w:val="none" w:sz="0" w:space="0" w:color="auto"/>
        <w:bottom w:val="none" w:sz="0" w:space="0" w:color="auto"/>
        <w:right w:val="none" w:sz="0" w:space="0" w:color="auto"/>
      </w:divBdr>
    </w:div>
    <w:div w:id="393554534">
      <w:bodyDiv w:val="1"/>
      <w:marLeft w:val="0"/>
      <w:marRight w:val="0"/>
      <w:marTop w:val="0"/>
      <w:marBottom w:val="0"/>
      <w:divBdr>
        <w:top w:val="none" w:sz="0" w:space="0" w:color="auto"/>
        <w:left w:val="none" w:sz="0" w:space="0" w:color="auto"/>
        <w:bottom w:val="none" w:sz="0" w:space="0" w:color="auto"/>
        <w:right w:val="none" w:sz="0" w:space="0" w:color="auto"/>
      </w:divBdr>
    </w:div>
    <w:div w:id="402995229">
      <w:bodyDiv w:val="1"/>
      <w:marLeft w:val="0"/>
      <w:marRight w:val="0"/>
      <w:marTop w:val="0"/>
      <w:marBottom w:val="0"/>
      <w:divBdr>
        <w:top w:val="none" w:sz="0" w:space="0" w:color="auto"/>
        <w:left w:val="none" w:sz="0" w:space="0" w:color="auto"/>
        <w:bottom w:val="none" w:sz="0" w:space="0" w:color="auto"/>
        <w:right w:val="none" w:sz="0" w:space="0" w:color="auto"/>
      </w:divBdr>
    </w:div>
    <w:div w:id="409233388">
      <w:bodyDiv w:val="1"/>
      <w:marLeft w:val="0"/>
      <w:marRight w:val="0"/>
      <w:marTop w:val="0"/>
      <w:marBottom w:val="0"/>
      <w:divBdr>
        <w:top w:val="none" w:sz="0" w:space="0" w:color="auto"/>
        <w:left w:val="none" w:sz="0" w:space="0" w:color="auto"/>
        <w:bottom w:val="none" w:sz="0" w:space="0" w:color="auto"/>
        <w:right w:val="none" w:sz="0" w:space="0" w:color="auto"/>
      </w:divBdr>
    </w:div>
    <w:div w:id="425926250">
      <w:bodyDiv w:val="1"/>
      <w:marLeft w:val="0"/>
      <w:marRight w:val="0"/>
      <w:marTop w:val="0"/>
      <w:marBottom w:val="0"/>
      <w:divBdr>
        <w:top w:val="none" w:sz="0" w:space="0" w:color="auto"/>
        <w:left w:val="none" w:sz="0" w:space="0" w:color="auto"/>
        <w:bottom w:val="none" w:sz="0" w:space="0" w:color="auto"/>
        <w:right w:val="none" w:sz="0" w:space="0" w:color="auto"/>
      </w:divBdr>
    </w:div>
    <w:div w:id="428357198">
      <w:bodyDiv w:val="1"/>
      <w:marLeft w:val="0"/>
      <w:marRight w:val="0"/>
      <w:marTop w:val="0"/>
      <w:marBottom w:val="0"/>
      <w:divBdr>
        <w:top w:val="none" w:sz="0" w:space="0" w:color="auto"/>
        <w:left w:val="none" w:sz="0" w:space="0" w:color="auto"/>
        <w:bottom w:val="none" w:sz="0" w:space="0" w:color="auto"/>
        <w:right w:val="none" w:sz="0" w:space="0" w:color="auto"/>
      </w:divBdr>
    </w:div>
    <w:div w:id="454103142">
      <w:bodyDiv w:val="1"/>
      <w:marLeft w:val="0"/>
      <w:marRight w:val="0"/>
      <w:marTop w:val="0"/>
      <w:marBottom w:val="0"/>
      <w:divBdr>
        <w:top w:val="none" w:sz="0" w:space="0" w:color="auto"/>
        <w:left w:val="none" w:sz="0" w:space="0" w:color="auto"/>
        <w:bottom w:val="none" w:sz="0" w:space="0" w:color="auto"/>
        <w:right w:val="none" w:sz="0" w:space="0" w:color="auto"/>
      </w:divBdr>
    </w:div>
    <w:div w:id="489055114">
      <w:bodyDiv w:val="1"/>
      <w:marLeft w:val="0"/>
      <w:marRight w:val="0"/>
      <w:marTop w:val="0"/>
      <w:marBottom w:val="0"/>
      <w:divBdr>
        <w:top w:val="none" w:sz="0" w:space="0" w:color="auto"/>
        <w:left w:val="none" w:sz="0" w:space="0" w:color="auto"/>
        <w:bottom w:val="none" w:sz="0" w:space="0" w:color="auto"/>
        <w:right w:val="none" w:sz="0" w:space="0" w:color="auto"/>
      </w:divBdr>
    </w:div>
    <w:div w:id="489105445">
      <w:bodyDiv w:val="1"/>
      <w:marLeft w:val="0"/>
      <w:marRight w:val="0"/>
      <w:marTop w:val="0"/>
      <w:marBottom w:val="0"/>
      <w:divBdr>
        <w:top w:val="none" w:sz="0" w:space="0" w:color="auto"/>
        <w:left w:val="none" w:sz="0" w:space="0" w:color="auto"/>
        <w:bottom w:val="none" w:sz="0" w:space="0" w:color="auto"/>
        <w:right w:val="none" w:sz="0" w:space="0" w:color="auto"/>
      </w:divBdr>
    </w:div>
    <w:div w:id="533079816">
      <w:bodyDiv w:val="1"/>
      <w:marLeft w:val="0"/>
      <w:marRight w:val="0"/>
      <w:marTop w:val="0"/>
      <w:marBottom w:val="0"/>
      <w:divBdr>
        <w:top w:val="none" w:sz="0" w:space="0" w:color="auto"/>
        <w:left w:val="none" w:sz="0" w:space="0" w:color="auto"/>
        <w:bottom w:val="none" w:sz="0" w:space="0" w:color="auto"/>
        <w:right w:val="none" w:sz="0" w:space="0" w:color="auto"/>
      </w:divBdr>
    </w:div>
    <w:div w:id="551965838">
      <w:bodyDiv w:val="1"/>
      <w:marLeft w:val="0"/>
      <w:marRight w:val="0"/>
      <w:marTop w:val="0"/>
      <w:marBottom w:val="0"/>
      <w:divBdr>
        <w:top w:val="none" w:sz="0" w:space="0" w:color="auto"/>
        <w:left w:val="none" w:sz="0" w:space="0" w:color="auto"/>
        <w:bottom w:val="none" w:sz="0" w:space="0" w:color="auto"/>
        <w:right w:val="none" w:sz="0" w:space="0" w:color="auto"/>
      </w:divBdr>
    </w:div>
    <w:div w:id="563294751">
      <w:bodyDiv w:val="1"/>
      <w:marLeft w:val="0"/>
      <w:marRight w:val="0"/>
      <w:marTop w:val="0"/>
      <w:marBottom w:val="0"/>
      <w:divBdr>
        <w:top w:val="none" w:sz="0" w:space="0" w:color="auto"/>
        <w:left w:val="none" w:sz="0" w:space="0" w:color="auto"/>
        <w:bottom w:val="none" w:sz="0" w:space="0" w:color="auto"/>
        <w:right w:val="none" w:sz="0" w:space="0" w:color="auto"/>
      </w:divBdr>
    </w:div>
    <w:div w:id="585115011">
      <w:bodyDiv w:val="1"/>
      <w:marLeft w:val="0"/>
      <w:marRight w:val="0"/>
      <w:marTop w:val="0"/>
      <w:marBottom w:val="0"/>
      <w:divBdr>
        <w:top w:val="none" w:sz="0" w:space="0" w:color="auto"/>
        <w:left w:val="none" w:sz="0" w:space="0" w:color="auto"/>
        <w:bottom w:val="none" w:sz="0" w:space="0" w:color="auto"/>
        <w:right w:val="none" w:sz="0" w:space="0" w:color="auto"/>
      </w:divBdr>
    </w:div>
    <w:div w:id="599921035">
      <w:bodyDiv w:val="1"/>
      <w:marLeft w:val="0"/>
      <w:marRight w:val="0"/>
      <w:marTop w:val="0"/>
      <w:marBottom w:val="0"/>
      <w:divBdr>
        <w:top w:val="none" w:sz="0" w:space="0" w:color="auto"/>
        <w:left w:val="none" w:sz="0" w:space="0" w:color="auto"/>
        <w:bottom w:val="none" w:sz="0" w:space="0" w:color="auto"/>
        <w:right w:val="none" w:sz="0" w:space="0" w:color="auto"/>
      </w:divBdr>
    </w:div>
    <w:div w:id="622230066">
      <w:bodyDiv w:val="1"/>
      <w:marLeft w:val="0"/>
      <w:marRight w:val="0"/>
      <w:marTop w:val="0"/>
      <w:marBottom w:val="0"/>
      <w:divBdr>
        <w:top w:val="none" w:sz="0" w:space="0" w:color="auto"/>
        <w:left w:val="none" w:sz="0" w:space="0" w:color="auto"/>
        <w:bottom w:val="none" w:sz="0" w:space="0" w:color="auto"/>
        <w:right w:val="none" w:sz="0" w:space="0" w:color="auto"/>
      </w:divBdr>
    </w:div>
    <w:div w:id="653411175">
      <w:bodyDiv w:val="1"/>
      <w:marLeft w:val="0"/>
      <w:marRight w:val="0"/>
      <w:marTop w:val="0"/>
      <w:marBottom w:val="0"/>
      <w:divBdr>
        <w:top w:val="none" w:sz="0" w:space="0" w:color="auto"/>
        <w:left w:val="none" w:sz="0" w:space="0" w:color="auto"/>
        <w:bottom w:val="none" w:sz="0" w:space="0" w:color="auto"/>
        <w:right w:val="none" w:sz="0" w:space="0" w:color="auto"/>
      </w:divBdr>
    </w:div>
    <w:div w:id="666246725">
      <w:bodyDiv w:val="1"/>
      <w:marLeft w:val="0"/>
      <w:marRight w:val="0"/>
      <w:marTop w:val="0"/>
      <w:marBottom w:val="0"/>
      <w:divBdr>
        <w:top w:val="none" w:sz="0" w:space="0" w:color="auto"/>
        <w:left w:val="none" w:sz="0" w:space="0" w:color="auto"/>
        <w:bottom w:val="none" w:sz="0" w:space="0" w:color="auto"/>
        <w:right w:val="none" w:sz="0" w:space="0" w:color="auto"/>
      </w:divBdr>
    </w:div>
    <w:div w:id="670838548">
      <w:bodyDiv w:val="1"/>
      <w:marLeft w:val="0"/>
      <w:marRight w:val="0"/>
      <w:marTop w:val="0"/>
      <w:marBottom w:val="0"/>
      <w:divBdr>
        <w:top w:val="none" w:sz="0" w:space="0" w:color="auto"/>
        <w:left w:val="none" w:sz="0" w:space="0" w:color="auto"/>
        <w:bottom w:val="none" w:sz="0" w:space="0" w:color="auto"/>
        <w:right w:val="none" w:sz="0" w:space="0" w:color="auto"/>
      </w:divBdr>
    </w:div>
    <w:div w:id="694576225">
      <w:bodyDiv w:val="1"/>
      <w:marLeft w:val="0"/>
      <w:marRight w:val="0"/>
      <w:marTop w:val="0"/>
      <w:marBottom w:val="0"/>
      <w:divBdr>
        <w:top w:val="none" w:sz="0" w:space="0" w:color="auto"/>
        <w:left w:val="none" w:sz="0" w:space="0" w:color="auto"/>
        <w:bottom w:val="none" w:sz="0" w:space="0" w:color="auto"/>
        <w:right w:val="none" w:sz="0" w:space="0" w:color="auto"/>
      </w:divBdr>
    </w:div>
    <w:div w:id="696274871">
      <w:bodyDiv w:val="1"/>
      <w:marLeft w:val="0"/>
      <w:marRight w:val="0"/>
      <w:marTop w:val="0"/>
      <w:marBottom w:val="0"/>
      <w:divBdr>
        <w:top w:val="none" w:sz="0" w:space="0" w:color="auto"/>
        <w:left w:val="none" w:sz="0" w:space="0" w:color="auto"/>
        <w:bottom w:val="none" w:sz="0" w:space="0" w:color="auto"/>
        <w:right w:val="none" w:sz="0" w:space="0" w:color="auto"/>
      </w:divBdr>
    </w:div>
    <w:div w:id="699352663">
      <w:bodyDiv w:val="1"/>
      <w:marLeft w:val="0"/>
      <w:marRight w:val="0"/>
      <w:marTop w:val="0"/>
      <w:marBottom w:val="0"/>
      <w:divBdr>
        <w:top w:val="none" w:sz="0" w:space="0" w:color="auto"/>
        <w:left w:val="none" w:sz="0" w:space="0" w:color="auto"/>
        <w:bottom w:val="none" w:sz="0" w:space="0" w:color="auto"/>
        <w:right w:val="none" w:sz="0" w:space="0" w:color="auto"/>
      </w:divBdr>
    </w:div>
    <w:div w:id="726228147">
      <w:bodyDiv w:val="1"/>
      <w:marLeft w:val="0"/>
      <w:marRight w:val="0"/>
      <w:marTop w:val="0"/>
      <w:marBottom w:val="0"/>
      <w:divBdr>
        <w:top w:val="none" w:sz="0" w:space="0" w:color="auto"/>
        <w:left w:val="none" w:sz="0" w:space="0" w:color="auto"/>
        <w:bottom w:val="none" w:sz="0" w:space="0" w:color="auto"/>
        <w:right w:val="none" w:sz="0" w:space="0" w:color="auto"/>
      </w:divBdr>
    </w:div>
    <w:div w:id="789281115">
      <w:bodyDiv w:val="1"/>
      <w:marLeft w:val="0"/>
      <w:marRight w:val="0"/>
      <w:marTop w:val="0"/>
      <w:marBottom w:val="0"/>
      <w:divBdr>
        <w:top w:val="none" w:sz="0" w:space="0" w:color="auto"/>
        <w:left w:val="none" w:sz="0" w:space="0" w:color="auto"/>
        <w:bottom w:val="none" w:sz="0" w:space="0" w:color="auto"/>
        <w:right w:val="none" w:sz="0" w:space="0" w:color="auto"/>
      </w:divBdr>
    </w:div>
    <w:div w:id="793521201">
      <w:bodyDiv w:val="1"/>
      <w:marLeft w:val="0"/>
      <w:marRight w:val="0"/>
      <w:marTop w:val="0"/>
      <w:marBottom w:val="0"/>
      <w:divBdr>
        <w:top w:val="none" w:sz="0" w:space="0" w:color="auto"/>
        <w:left w:val="none" w:sz="0" w:space="0" w:color="auto"/>
        <w:bottom w:val="none" w:sz="0" w:space="0" w:color="auto"/>
        <w:right w:val="none" w:sz="0" w:space="0" w:color="auto"/>
      </w:divBdr>
    </w:div>
    <w:div w:id="842476648">
      <w:bodyDiv w:val="1"/>
      <w:marLeft w:val="0"/>
      <w:marRight w:val="0"/>
      <w:marTop w:val="0"/>
      <w:marBottom w:val="0"/>
      <w:divBdr>
        <w:top w:val="none" w:sz="0" w:space="0" w:color="auto"/>
        <w:left w:val="none" w:sz="0" w:space="0" w:color="auto"/>
        <w:bottom w:val="none" w:sz="0" w:space="0" w:color="auto"/>
        <w:right w:val="none" w:sz="0" w:space="0" w:color="auto"/>
      </w:divBdr>
    </w:div>
    <w:div w:id="893542866">
      <w:bodyDiv w:val="1"/>
      <w:marLeft w:val="0"/>
      <w:marRight w:val="0"/>
      <w:marTop w:val="0"/>
      <w:marBottom w:val="0"/>
      <w:divBdr>
        <w:top w:val="none" w:sz="0" w:space="0" w:color="auto"/>
        <w:left w:val="none" w:sz="0" w:space="0" w:color="auto"/>
        <w:bottom w:val="none" w:sz="0" w:space="0" w:color="auto"/>
        <w:right w:val="none" w:sz="0" w:space="0" w:color="auto"/>
      </w:divBdr>
    </w:div>
    <w:div w:id="899444972">
      <w:bodyDiv w:val="1"/>
      <w:marLeft w:val="0"/>
      <w:marRight w:val="0"/>
      <w:marTop w:val="0"/>
      <w:marBottom w:val="0"/>
      <w:divBdr>
        <w:top w:val="none" w:sz="0" w:space="0" w:color="auto"/>
        <w:left w:val="none" w:sz="0" w:space="0" w:color="auto"/>
        <w:bottom w:val="none" w:sz="0" w:space="0" w:color="auto"/>
        <w:right w:val="none" w:sz="0" w:space="0" w:color="auto"/>
      </w:divBdr>
    </w:div>
    <w:div w:id="908884533">
      <w:bodyDiv w:val="1"/>
      <w:marLeft w:val="0"/>
      <w:marRight w:val="0"/>
      <w:marTop w:val="0"/>
      <w:marBottom w:val="0"/>
      <w:divBdr>
        <w:top w:val="none" w:sz="0" w:space="0" w:color="auto"/>
        <w:left w:val="none" w:sz="0" w:space="0" w:color="auto"/>
        <w:bottom w:val="none" w:sz="0" w:space="0" w:color="auto"/>
        <w:right w:val="none" w:sz="0" w:space="0" w:color="auto"/>
      </w:divBdr>
    </w:div>
    <w:div w:id="957831253">
      <w:bodyDiv w:val="1"/>
      <w:marLeft w:val="0"/>
      <w:marRight w:val="0"/>
      <w:marTop w:val="0"/>
      <w:marBottom w:val="0"/>
      <w:divBdr>
        <w:top w:val="none" w:sz="0" w:space="0" w:color="auto"/>
        <w:left w:val="none" w:sz="0" w:space="0" w:color="auto"/>
        <w:bottom w:val="none" w:sz="0" w:space="0" w:color="auto"/>
        <w:right w:val="none" w:sz="0" w:space="0" w:color="auto"/>
      </w:divBdr>
    </w:div>
    <w:div w:id="986515236">
      <w:bodyDiv w:val="1"/>
      <w:marLeft w:val="0"/>
      <w:marRight w:val="0"/>
      <w:marTop w:val="0"/>
      <w:marBottom w:val="0"/>
      <w:divBdr>
        <w:top w:val="none" w:sz="0" w:space="0" w:color="auto"/>
        <w:left w:val="none" w:sz="0" w:space="0" w:color="auto"/>
        <w:bottom w:val="none" w:sz="0" w:space="0" w:color="auto"/>
        <w:right w:val="none" w:sz="0" w:space="0" w:color="auto"/>
      </w:divBdr>
    </w:div>
    <w:div w:id="1003439351">
      <w:bodyDiv w:val="1"/>
      <w:marLeft w:val="0"/>
      <w:marRight w:val="0"/>
      <w:marTop w:val="0"/>
      <w:marBottom w:val="0"/>
      <w:divBdr>
        <w:top w:val="none" w:sz="0" w:space="0" w:color="auto"/>
        <w:left w:val="none" w:sz="0" w:space="0" w:color="auto"/>
        <w:bottom w:val="none" w:sz="0" w:space="0" w:color="auto"/>
        <w:right w:val="none" w:sz="0" w:space="0" w:color="auto"/>
      </w:divBdr>
    </w:div>
    <w:div w:id="1014187409">
      <w:bodyDiv w:val="1"/>
      <w:marLeft w:val="0"/>
      <w:marRight w:val="0"/>
      <w:marTop w:val="0"/>
      <w:marBottom w:val="0"/>
      <w:divBdr>
        <w:top w:val="none" w:sz="0" w:space="0" w:color="auto"/>
        <w:left w:val="none" w:sz="0" w:space="0" w:color="auto"/>
        <w:bottom w:val="none" w:sz="0" w:space="0" w:color="auto"/>
        <w:right w:val="none" w:sz="0" w:space="0" w:color="auto"/>
      </w:divBdr>
    </w:div>
    <w:div w:id="1021274333">
      <w:bodyDiv w:val="1"/>
      <w:marLeft w:val="0"/>
      <w:marRight w:val="0"/>
      <w:marTop w:val="0"/>
      <w:marBottom w:val="0"/>
      <w:divBdr>
        <w:top w:val="none" w:sz="0" w:space="0" w:color="auto"/>
        <w:left w:val="none" w:sz="0" w:space="0" w:color="auto"/>
        <w:bottom w:val="none" w:sz="0" w:space="0" w:color="auto"/>
        <w:right w:val="none" w:sz="0" w:space="0" w:color="auto"/>
      </w:divBdr>
    </w:div>
    <w:div w:id="1024751148">
      <w:bodyDiv w:val="1"/>
      <w:marLeft w:val="0"/>
      <w:marRight w:val="0"/>
      <w:marTop w:val="0"/>
      <w:marBottom w:val="0"/>
      <w:divBdr>
        <w:top w:val="none" w:sz="0" w:space="0" w:color="auto"/>
        <w:left w:val="none" w:sz="0" w:space="0" w:color="auto"/>
        <w:bottom w:val="none" w:sz="0" w:space="0" w:color="auto"/>
        <w:right w:val="none" w:sz="0" w:space="0" w:color="auto"/>
      </w:divBdr>
    </w:div>
    <w:div w:id="1048526225">
      <w:bodyDiv w:val="1"/>
      <w:marLeft w:val="0"/>
      <w:marRight w:val="0"/>
      <w:marTop w:val="0"/>
      <w:marBottom w:val="0"/>
      <w:divBdr>
        <w:top w:val="none" w:sz="0" w:space="0" w:color="auto"/>
        <w:left w:val="none" w:sz="0" w:space="0" w:color="auto"/>
        <w:bottom w:val="none" w:sz="0" w:space="0" w:color="auto"/>
        <w:right w:val="none" w:sz="0" w:space="0" w:color="auto"/>
      </w:divBdr>
    </w:div>
    <w:div w:id="1118137043">
      <w:bodyDiv w:val="1"/>
      <w:marLeft w:val="0"/>
      <w:marRight w:val="0"/>
      <w:marTop w:val="0"/>
      <w:marBottom w:val="0"/>
      <w:divBdr>
        <w:top w:val="none" w:sz="0" w:space="0" w:color="auto"/>
        <w:left w:val="none" w:sz="0" w:space="0" w:color="auto"/>
        <w:bottom w:val="none" w:sz="0" w:space="0" w:color="auto"/>
        <w:right w:val="none" w:sz="0" w:space="0" w:color="auto"/>
      </w:divBdr>
    </w:div>
    <w:div w:id="1125154745">
      <w:bodyDiv w:val="1"/>
      <w:marLeft w:val="0"/>
      <w:marRight w:val="0"/>
      <w:marTop w:val="0"/>
      <w:marBottom w:val="0"/>
      <w:divBdr>
        <w:top w:val="none" w:sz="0" w:space="0" w:color="auto"/>
        <w:left w:val="none" w:sz="0" w:space="0" w:color="auto"/>
        <w:bottom w:val="none" w:sz="0" w:space="0" w:color="auto"/>
        <w:right w:val="none" w:sz="0" w:space="0" w:color="auto"/>
      </w:divBdr>
    </w:div>
    <w:div w:id="1271548422">
      <w:bodyDiv w:val="1"/>
      <w:marLeft w:val="0"/>
      <w:marRight w:val="0"/>
      <w:marTop w:val="0"/>
      <w:marBottom w:val="0"/>
      <w:divBdr>
        <w:top w:val="none" w:sz="0" w:space="0" w:color="auto"/>
        <w:left w:val="none" w:sz="0" w:space="0" w:color="auto"/>
        <w:bottom w:val="none" w:sz="0" w:space="0" w:color="auto"/>
        <w:right w:val="none" w:sz="0" w:space="0" w:color="auto"/>
      </w:divBdr>
    </w:div>
    <w:div w:id="1295023869">
      <w:bodyDiv w:val="1"/>
      <w:marLeft w:val="0"/>
      <w:marRight w:val="0"/>
      <w:marTop w:val="0"/>
      <w:marBottom w:val="0"/>
      <w:divBdr>
        <w:top w:val="none" w:sz="0" w:space="0" w:color="auto"/>
        <w:left w:val="none" w:sz="0" w:space="0" w:color="auto"/>
        <w:bottom w:val="none" w:sz="0" w:space="0" w:color="auto"/>
        <w:right w:val="none" w:sz="0" w:space="0" w:color="auto"/>
      </w:divBdr>
    </w:div>
    <w:div w:id="1302926324">
      <w:bodyDiv w:val="1"/>
      <w:marLeft w:val="0"/>
      <w:marRight w:val="0"/>
      <w:marTop w:val="0"/>
      <w:marBottom w:val="0"/>
      <w:divBdr>
        <w:top w:val="none" w:sz="0" w:space="0" w:color="auto"/>
        <w:left w:val="none" w:sz="0" w:space="0" w:color="auto"/>
        <w:bottom w:val="none" w:sz="0" w:space="0" w:color="auto"/>
        <w:right w:val="none" w:sz="0" w:space="0" w:color="auto"/>
      </w:divBdr>
    </w:div>
    <w:div w:id="1312977234">
      <w:bodyDiv w:val="1"/>
      <w:marLeft w:val="0"/>
      <w:marRight w:val="0"/>
      <w:marTop w:val="0"/>
      <w:marBottom w:val="0"/>
      <w:divBdr>
        <w:top w:val="none" w:sz="0" w:space="0" w:color="auto"/>
        <w:left w:val="none" w:sz="0" w:space="0" w:color="auto"/>
        <w:bottom w:val="none" w:sz="0" w:space="0" w:color="auto"/>
        <w:right w:val="none" w:sz="0" w:space="0" w:color="auto"/>
      </w:divBdr>
    </w:div>
    <w:div w:id="1367292206">
      <w:bodyDiv w:val="1"/>
      <w:marLeft w:val="0"/>
      <w:marRight w:val="0"/>
      <w:marTop w:val="0"/>
      <w:marBottom w:val="0"/>
      <w:divBdr>
        <w:top w:val="none" w:sz="0" w:space="0" w:color="auto"/>
        <w:left w:val="none" w:sz="0" w:space="0" w:color="auto"/>
        <w:bottom w:val="none" w:sz="0" w:space="0" w:color="auto"/>
        <w:right w:val="none" w:sz="0" w:space="0" w:color="auto"/>
      </w:divBdr>
    </w:div>
    <w:div w:id="1370061664">
      <w:bodyDiv w:val="1"/>
      <w:marLeft w:val="0"/>
      <w:marRight w:val="0"/>
      <w:marTop w:val="0"/>
      <w:marBottom w:val="0"/>
      <w:divBdr>
        <w:top w:val="none" w:sz="0" w:space="0" w:color="auto"/>
        <w:left w:val="none" w:sz="0" w:space="0" w:color="auto"/>
        <w:bottom w:val="none" w:sz="0" w:space="0" w:color="auto"/>
        <w:right w:val="none" w:sz="0" w:space="0" w:color="auto"/>
      </w:divBdr>
    </w:div>
    <w:div w:id="1372730246">
      <w:bodyDiv w:val="1"/>
      <w:marLeft w:val="0"/>
      <w:marRight w:val="0"/>
      <w:marTop w:val="0"/>
      <w:marBottom w:val="0"/>
      <w:divBdr>
        <w:top w:val="none" w:sz="0" w:space="0" w:color="auto"/>
        <w:left w:val="none" w:sz="0" w:space="0" w:color="auto"/>
        <w:bottom w:val="none" w:sz="0" w:space="0" w:color="auto"/>
        <w:right w:val="none" w:sz="0" w:space="0" w:color="auto"/>
      </w:divBdr>
    </w:div>
    <w:div w:id="1380857723">
      <w:bodyDiv w:val="1"/>
      <w:marLeft w:val="0"/>
      <w:marRight w:val="0"/>
      <w:marTop w:val="0"/>
      <w:marBottom w:val="0"/>
      <w:divBdr>
        <w:top w:val="none" w:sz="0" w:space="0" w:color="auto"/>
        <w:left w:val="none" w:sz="0" w:space="0" w:color="auto"/>
        <w:bottom w:val="none" w:sz="0" w:space="0" w:color="auto"/>
        <w:right w:val="none" w:sz="0" w:space="0" w:color="auto"/>
      </w:divBdr>
    </w:div>
    <w:div w:id="1411850466">
      <w:bodyDiv w:val="1"/>
      <w:marLeft w:val="0"/>
      <w:marRight w:val="0"/>
      <w:marTop w:val="0"/>
      <w:marBottom w:val="0"/>
      <w:divBdr>
        <w:top w:val="none" w:sz="0" w:space="0" w:color="auto"/>
        <w:left w:val="none" w:sz="0" w:space="0" w:color="auto"/>
        <w:bottom w:val="none" w:sz="0" w:space="0" w:color="auto"/>
        <w:right w:val="none" w:sz="0" w:space="0" w:color="auto"/>
      </w:divBdr>
    </w:div>
    <w:div w:id="1445005868">
      <w:bodyDiv w:val="1"/>
      <w:marLeft w:val="0"/>
      <w:marRight w:val="0"/>
      <w:marTop w:val="0"/>
      <w:marBottom w:val="0"/>
      <w:divBdr>
        <w:top w:val="none" w:sz="0" w:space="0" w:color="auto"/>
        <w:left w:val="none" w:sz="0" w:space="0" w:color="auto"/>
        <w:bottom w:val="none" w:sz="0" w:space="0" w:color="auto"/>
        <w:right w:val="none" w:sz="0" w:space="0" w:color="auto"/>
      </w:divBdr>
    </w:div>
    <w:div w:id="1457215733">
      <w:bodyDiv w:val="1"/>
      <w:marLeft w:val="0"/>
      <w:marRight w:val="0"/>
      <w:marTop w:val="0"/>
      <w:marBottom w:val="0"/>
      <w:divBdr>
        <w:top w:val="none" w:sz="0" w:space="0" w:color="auto"/>
        <w:left w:val="none" w:sz="0" w:space="0" w:color="auto"/>
        <w:bottom w:val="none" w:sz="0" w:space="0" w:color="auto"/>
        <w:right w:val="none" w:sz="0" w:space="0" w:color="auto"/>
      </w:divBdr>
    </w:div>
    <w:div w:id="1484200364">
      <w:bodyDiv w:val="1"/>
      <w:marLeft w:val="0"/>
      <w:marRight w:val="0"/>
      <w:marTop w:val="0"/>
      <w:marBottom w:val="0"/>
      <w:divBdr>
        <w:top w:val="none" w:sz="0" w:space="0" w:color="auto"/>
        <w:left w:val="none" w:sz="0" w:space="0" w:color="auto"/>
        <w:bottom w:val="none" w:sz="0" w:space="0" w:color="auto"/>
        <w:right w:val="none" w:sz="0" w:space="0" w:color="auto"/>
      </w:divBdr>
    </w:div>
    <w:div w:id="1491141501">
      <w:bodyDiv w:val="1"/>
      <w:marLeft w:val="0"/>
      <w:marRight w:val="0"/>
      <w:marTop w:val="0"/>
      <w:marBottom w:val="0"/>
      <w:divBdr>
        <w:top w:val="none" w:sz="0" w:space="0" w:color="auto"/>
        <w:left w:val="none" w:sz="0" w:space="0" w:color="auto"/>
        <w:bottom w:val="none" w:sz="0" w:space="0" w:color="auto"/>
        <w:right w:val="none" w:sz="0" w:space="0" w:color="auto"/>
      </w:divBdr>
    </w:div>
    <w:div w:id="1491369263">
      <w:bodyDiv w:val="1"/>
      <w:marLeft w:val="0"/>
      <w:marRight w:val="0"/>
      <w:marTop w:val="0"/>
      <w:marBottom w:val="0"/>
      <w:divBdr>
        <w:top w:val="none" w:sz="0" w:space="0" w:color="auto"/>
        <w:left w:val="none" w:sz="0" w:space="0" w:color="auto"/>
        <w:bottom w:val="none" w:sz="0" w:space="0" w:color="auto"/>
        <w:right w:val="none" w:sz="0" w:space="0" w:color="auto"/>
      </w:divBdr>
    </w:div>
    <w:div w:id="1498374943">
      <w:bodyDiv w:val="1"/>
      <w:marLeft w:val="0"/>
      <w:marRight w:val="0"/>
      <w:marTop w:val="0"/>
      <w:marBottom w:val="0"/>
      <w:divBdr>
        <w:top w:val="none" w:sz="0" w:space="0" w:color="auto"/>
        <w:left w:val="none" w:sz="0" w:space="0" w:color="auto"/>
        <w:bottom w:val="none" w:sz="0" w:space="0" w:color="auto"/>
        <w:right w:val="none" w:sz="0" w:space="0" w:color="auto"/>
      </w:divBdr>
    </w:div>
    <w:div w:id="1530266182">
      <w:bodyDiv w:val="1"/>
      <w:marLeft w:val="0"/>
      <w:marRight w:val="0"/>
      <w:marTop w:val="0"/>
      <w:marBottom w:val="0"/>
      <w:divBdr>
        <w:top w:val="none" w:sz="0" w:space="0" w:color="auto"/>
        <w:left w:val="none" w:sz="0" w:space="0" w:color="auto"/>
        <w:bottom w:val="none" w:sz="0" w:space="0" w:color="auto"/>
        <w:right w:val="none" w:sz="0" w:space="0" w:color="auto"/>
      </w:divBdr>
    </w:div>
    <w:div w:id="1539970415">
      <w:bodyDiv w:val="1"/>
      <w:marLeft w:val="0"/>
      <w:marRight w:val="0"/>
      <w:marTop w:val="0"/>
      <w:marBottom w:val="0"/>
      <w:divBdr>
        <w:top w:val="none" w:sz="0" w:space="0" w:color="auto"/>
        <w:left w:val="none" w:sz="0" w:space="0" w:color="auto"/>
        <w:bottom w:val="none" w:sz="0" w:space="0" w:color="auto"/>
        <w:right w:val="none" w:sz="0" w:space="0" w:color="auto"/>
      </w:divBdr>
    </w:div>
    <w:div w:id="1540580837">
      <w:bodyDiv w:val="1"/>
      <w:marLeft w:val="0"/>
      <w:marRight w:val="0"/>
      <w:marTop w:val="0"/>
      <w:marBottom w:val="0"/>
      <w:divBdr>
        <w:top w:val="none" w:sz="0" w:space="0" w:color="auto"/>
        <w:left w:val="none" w:sz="0" w:space="0" w:color="auto"/>
        <w:bottom w:val="none" w:sz="0" w:space="0" w:color="auto"/>
        <w:right w:val="none" w:sz="0" w:space="0" w:color="auto"/>
      </w:divBdr>
    </w:div>
    <w:div w:id="1599632474">
      <w:bodyDiv w:val="1"/>
      <w:marLeft w:val="0"/>
      <w:marRight w:val="0"/>
      <w:marTop w:val="0"/>
      <w:marBottom w:val="0"/>
      <w:divBdr>
        <w:top w:val="none" w:sz="0" w:space="0" w:color="auto"/>
        <w:left w:val="none" w:sz="0" w:space="0" w:color="auto"/>
        <w:bottom w:val="none" w:sz="0" w:space="0" w:color="auto"/>
        <w:right w:val="none" w:sz="0" w:space="0" w:color="auto"/>
      </w:divBdr>
    </w:div>
    <w:div w:id="1671444890">
      <w:bodyDiv w:val="1"/>
      <w:marLeft w:val="0"/>
      <w:marRight w:val="0"/>
      <w:marTop w:val="0"/>
      <w:marBottom w:val="0"/>
      <w:divBdr>
        <w:top w:val="none" w:sz="0" w:space="0" w:color="auto"/>
        <w:left w:val="none" w:sz="0" w:space="0" w:color="auto"/>
        <w:bottom w:val="none" w:sz="0" w:space="0" w:color="auto"/>
        <w:right w:val="none" w:sz="0" w:space="0" w:color="auto"/>
      </w:divBdr>
    </w:div>
    <w:div w:id="1681085625">
      <w:bodyDiv w:val="1"/>
      <w:marLeft w:val="0"/>
      <w:marRight w:val="0"/>
      <w:marTop w:val="0"/>
      <w:marBottom w:val="0"/>
      <w:divBdr>
        <w:top w:val="none" w:sz="0" w:space="0" w:color="auto"/>
        <w:left w:val="none" w:sz="0" w:space="0" w:color="auto"/>
        <w:bottom w:val="none" w:sz="0" w:space="0" w:color="auto"/>
        <w:right w:val="none" w:sz="0" w:space="0" w:color="auto"/>
      </w:divBdr>
    </w:div>
    <w:div w:id="1692996758">
      <w:bodyDiv w:val="1"/>
      <w:marLeft w:val="0"/>
      <w:marRight w:val="0"/>
      <w:marTop w:val="0"/>
      <w:marBottom w:val="0"/>
      <w:divBdr>
        <w:top w:val="none" w:sz="0" w:space="0" w:color="auto"/>
        <w:left w:val="none" w:sz="0" w:space="0" w:color="auto"/>
        <w:bottom w:val="none" w:sz="0" w:space="0" w:color="auto"/>
        <w:right w:val="none" w:sz="0" w:space="0" w:color="auto"/>
      </w:divBdr>
    </w:div>
    <w:div w:id="1721324677">
      <w:bodyDiv w:val="1"/>
      <w:marLeft w:val="0"/>
      <w:marRight w:val="0"/>
      <w:marTop w:val="0"/>
      <w:marBottom w:val="0"/>
      <w:divBdr>
        <w:top w:val="none" w:sz="0" w:space="0" w:color="auto"/>
        <w:left w:val="none" w:sz="0" w:space="0" w:color="auto"/>
        <w:bottom w:val="none" w:sz="0" w:space="0" w:color="auto"/>
        <w:right w:val="none" w:sz="0" w:space="0" w:color="auto"/>
      </w:divBdr>
    </w:div>
    <w:div w:id="1798983064">
      <w:bodyDiv w:val="1"/>
      <w:marLeft w:val="0"/>
      <w:marRight w:val="0"/>
      <w:marTop w:val="0"/>
      <w:marBottom w:val="0"/>
      <w:divBdr>
        <w:top w:val="none" w:sz="0" w:space="0" w:color="auto"/>
        <w:left w:val="none" w:sz="0" w:space="0" w:color="auto"/>
        <w:bottom w:val="none" w:sz="0" w:space="0" w:color="auto"/>
        <w:right w:val="none" w:sz="0" w:space="0" w:color="auto"/>
      </w:divBdr>
    </w:div>
    <w:div w:id="1804499307">
      <w:bodyDiv w:val="1"/>
      <w:marLeft w:val="0"/>
      <w:marRight w:val="0"/>
      <w:marTop w:val="0"/>
      <w:marBottom w:val="0"/>
      <w:divBdr>
        <w:top w:val="none" w:sz="0" w:space="0" w:color="auto"/>
        <w:left w:val="none" w:sz="0" w:space="0" w:color="auto"/>
        <w:bottom w:val="none" w:sz="0" w:space="0" w:color="auto"/>
        <w:right w:val="none" w:sz="0" w:space="0" w:color="auto"/>
      </w:divBdr>
    </w:div>
    <w:div w:id="1814711507">
      <w:bodyDiv w:val="1"/>
      <w:marLeft w:val="0"/>
      <w:marRight w:val="0"/>
      <w:marTop w:val="0"/>
      <w:marBottom w:val="0"/>
      <w:divBdr>
        <w:top w:val="none" w:sz="0" w:space="0" w:color="auto"/>
        <w:left w:val="none" w:sz="0" w:space="0" w:color="auto"/>
        <w:bottom w:val="none" w:sz="0" w:space="0" w:color="auto"/>
        <w:right w:val="none" w:sz="0" w:space="0" w:color="auto"/>
      </w:divBdr>
    </w:div>
    <w:div w:id="1830554036">
      <w:bodyDiv w:val="1"/>
      <w:marLeft w:val="0"/>
      <w:marRight w:val="0"/>
      <w:marTop w:val="0"/>
      <w:marBottom w:val="0"/>
      <w:divBdr>
        <w:top w:val="none" w:sz="0" w:space="0" w:color="auto"/>
        <w:left w:val="none" w:sz="0" w:space="0" w:color="auto"/>
        <w:bottom w:val="none" w:sz="0" w:space="0" w:color="auto"/>
        <w:right w:val="none" w:sz="0" w:space="0" w:color="auto"/>
      </w:divBdr>
    </w:div>
    <w:div w:id="1839880795">
      <w:bodyDiv w:val="1"/>
      <w:marLeft w:val="0"/>
      <w:marRight w:val="0"/>
      <w:marTop w:val="0"/>
      <w:marBottom w:val="0"/>
      <w:divBdr>
        <w:top w:val="none" w:sz="0" w:space="0" w:color="auto"/>
        <w:left w:val="none" w:sz="0" w:space="0" w:color="auto"/>
        <w:bottom w:val="none" w:sz="0" w:space="0" w:color="auto"/>
        <w:right w:val="none" w:sz="0" w:space="0" w:color="auto"/>
      </w:divBdr>
    </w:div>
    <w:div w:id="1957904171">
      <w:bodyDiv w:val="1"/>
      <w:marLeft w:val="0"/>
      <w:marRight w:val="0"/>
      <w:marTop w:val="0"/>
      <w:marBottom w:val="0"/>
      <w:divBdr>
        <w:top w:val="none" w:sz="0" w:space="0" w:color="auto"/>
        <w:left w:val="none" w:sz="0" w:space="0" w:color="auto"/>
        <w:bottom w:val="none" w:sz="0" w:space="0" w:color="auto"/>
        <w:right w:val="none" w:sz="0" w:space="0" w:color="auto"/>
      </w:divBdr>
    </w:div>
    <w:div w:id="1962765865">
      <w:bodyDiv w:val="1"/>
      <w:marLeft w:val="0"/>
      <w:marRight w:val="0"/>
      <w:marTop w:val="0"/>
      <w:marBottom w:val="0"/>
      <w:divBdr>
        <w:top w:val="none" w:sz="0" w:space="0" w:color="auto"/>
        <w:left w:val="none" w:sz="0" w:space="0" w:color="auto"/>
        <w:bottom w:val="none" w:sz="0" w:space="0" w:color="auto"/>
        <w:right w:val="none" w:sz="0" w:space="0" w:color="auto"/>
      </w:divBdr>
    </w:div>
    <w:div w:id="2001034350">
      <w:bodyDiv w:val="1"/>
      <w:marLeft w:val="0"/>
      <w:marRight w:val="0"/>
      <w:marTop w:val="0"/>
      <w:marBottom w:val="0"/>
      <w:divBdr>
        <w:top w:val="none" w:sz="0" w:space="0" w:color="auto"/>
        <w:left w:val="none" w:sz="0" w:space="0" w:color="auto"/>
        <w:bottom w:val="none" w:sz="0" w:space="0" w:color="auto"/>
        <w:right w:val="none" w:sz="0" w:space="0" w:color="auto"/>
      </w:divBdr>
    </w:div>
    <w:div w:id="2030718188">
      <w:bodyDiv w:val="1"/>
      <w:marLeft w:val="0"/>
      <w:marRight w:val="0"/>
      <w:marTop w:val="0"/>
      <w:marBottom w:val="0"/>
      <w:divBdr>
        <w:top w:val="none" w:sz="0" w:space="0" w:color="auto"/>
        <w:left w:val="none" w:sz="0" w:space="0" w:color="auto"/>
        <w:bottom w:val="none" w:sz="0" w:space="0" w:color="auto"/>
        <w:right w:val="none" w:sz="0" w:space="0" w:color="auto"/>
      </w:divBdr>
    </w:div>
    <w:div w:id="2042436046">
      <w:bodyDiv w:val="1"/>
      <w:marLeft w:val="0"/>
      <w:marRight w:val="0"/>
      <w:marTop w:val="0"/>
      <w:marBottom w:val="0"/>
      <w:divBdr>
        <w:top w:val="none" w:sz="0" w:space="0" w:color="auto"/>
        <w:left w:val="none" w:sz="0" w:space="0" w:color="auto"/>
        <w:bottom w:val="none" w:sz="0" w:space="0" w:color="auto"/>
        <w:right w:val="none" w:sz="0" w:space="0" w:color="auto"/>
      </w:divBdr>
    </w:div>
    <w:div w:id="2083333706">
      <w:bodyDiv w:val="1"/>
      <w:marLeft w:val="0"/>
      <w:marRight w:val="0"/>
      <w:marTop w:val="0"/>
      <w:marBottom w:val="0"/>
      <w:divBdr>
        <w:top w:val="none" w:sz="0" w:space="0" w:color="auto"/>
        <w:left w:val="none" w:sz="0" w:space="0" w:color="auto"/>
        <w:bottom w:val="none" w:sz="0" w:space="0" w:color="auto"/>
        <w:right w:val="none" w:sz="0" w:space="0" w:color="auto"/>
      </w:divBdr>
    </w:div>
    <w:div w:id="21185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Nathan.Wright\Desktop\Tracking%20Tools\southgate_tracking_t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1"/>
            </a:pPr>
            <a:r>
              <a:rPr lang="en-US" b="1"/>
              <a:t>Annual Degree Day</a:t>
            </a:r>
            <a:r>
              <a:rPr lang="en-US" b="1" baseline="0"/>
              <a:t> Totals</a:t>
            </a:r>
            <a:endParaRPr lang="en-US" b="1"/>
          </a:p>
        </c:rich>
      </c:tx>
      <c:layout/>
      <c:spPr>
        <a:noFill/>
        <a:ln w="25400">
          <a:noFill/>
        </a:ln>
      </c:spPr>
    </c:title>
    <c:plotArea>
      <c:layout/>
      <c:barChart>
        <c:barDir val="col"/>
        <c:grouping val="clustered"/>
        <c:ser>
          <c:idx val="0"/>
          <c:order val="0"/>
          <c:tx>
            <c:strRef>
              <c:f>Degree_Days!$C$75</c:f>
              <c:strCache>
                <c:ptCount val="1"/>
                <c:pt idx="0">
                  <c:v>HDD</c:v>
                </c:pt>
              </c:strCache>
            </c:strRef>
          </c:tx>
          <c:spPr>
            <a:solidFill>
              <a:srgbClr val="4F81BD"/>
            </a:solidFill>
            <a:ln w="25400">
              <a:noFill/>
            </a:ln>
          </c:spPr>
          <c:cat>
            <c:strRef>
              <c:f>Degree_Days!$A$76:$B$81</c:f>
              <c:strCache>
                <c:ptCount val="6"/>
                <c:pt idx="0">
                  <c:v>2008/2009</c:v>
                </c:pt>
                <c:pt idx="1">
                  <c:v>2009/2010</c:v>
                </c:pt>
                <c:pt idx="2">
                  <c:v>2010/2011</c:v>
                </c:pt>
                <c:pt idx="3">
                  <c:v>2011/2012</c:v>
                </c:pt>
                <c:pt idx="4">
                  <c:v>2012/2013</c:v>
                </c:pt>
                <c:pt idx="5">
                  <c:v>5 Year Average</c:v>
                </c:pt>
              </c:strCache>
            </c:strRef>
          </c:cat>
          <c:val>
            <c:numRef>
              <c:f>Degree_Days!$C$76:$C$81</c:f>
              <c:numCache>
                <c:formatCode>General</c:formatCode>
                <c:ptCount val="6"/>
                <c:pt idx="0">
                  <c:v>5183</c:v>
                </c:pt>
                <c:pt idx="1">
                  <c:v>5249</c:v>
                </c:pt>
                <c:pt idx="2">
                  <c:v>5284</c:v>
                </c:pt>
                <c:pt idx="3">
                  <c:v>4180</c:v>
                </c:pt>
                <c:pt idx="4">
                  <c:v>12</c:v>
                </c:pt>
                <c:pt idx="5">
                  <c:v>5087</c:v>
                </c:pt>
              </c:numCache>
            </c:numRef>
          </c:val>
        </c:ser>
        <c:ser>
          <c:idx val="1"/>
          <c:order val="1"/>
          <c:tx>
            <c:strRef>
              <c:f>Degree_Days!$D$75</c:f>
              <c:strCache>
                <c:ptCount val="1"/>
                <c:pt idx="0">
                  <c:v>CDD</c:v>
                </c:pt>
              </c:strCache>
            </c:strRef>
          </c:tx>
          <c:spPr>
            <a:solidFill>
              <a:srgbClr val="C0504D"/>
            </a:solidFill>
            <a:ln w="25400">
              <a:noFill/>
            </a:ln>
          </c:spPr>
          <c:cat>
            <c:strRef>
              <c:f>Degree_Days!$A$76:$B$81</c:f>
              <c:strCache>
                <c:ptCount val="6"/>
                <c:pt idx="0">
                  <c:v>2008/2009</c:v>
                </c:pt>
                <c:pt idx="1">
                  <c:v>2009/2010</c:v>
                </c:pt>
                <c:pt idx="2">
                  <c:v>2010/2011</c:v>
                </c:pt>
                <c:pt idx="3">
                  <c:v>2011/2012</c:v>
                </c:pt>
                <c:pt idx="4">
                  <c:v>2012/2013</c:v>
                </c:pt>
                <c:pt idx="5">
                  <c:v>5 Year Average</c:v>
                </c:pt>
              </c:strCache>
            </c:strRef>
          </c:cat>
          <c:val>
            <c:numRef>
              <c:f>Degree_Days!$D$76:$D$81</c:f>
              <c:numCache>
                <c:formatCode>General</c:formatCode>
                <c:ptCount val="6"/>
                <c:pt idx="0">
                  <c:v>1366</c:v>
                </c:pt>
                <c:pt idx="1">
                  <c:v>1156</c:v>
                </c:pt>
                <c:pt idx="2">
                  <c:v>1603</c:v>
                </c:pt>
                <c:pt idx="3">
                  <c:v>1540</c:v>
                </c:pt>
                <c:pt idx="4">
                  <c:v>834</c:v>
                </c:pt>
                <c:pt idx="5">
                  <c:v>1409</c:v>
                </c:pt>
              </c:numCache>
            </c:numRef>
          </c:val>
        </c:ser>
        <c:ser>
          <c:idx val="2"/>
          <c:order val="2"/>
          <c:tx>
            <c:strRef>
              <c:f>Degree_Days!$E$75</c:f>
              <c:strCache>
                <c:ptCount val="1"/>
                <c:pt idx="0">
                  <c:v>TDD</c:v>
                </c:pt>
              </c:strCache>
            </c:strRef>
          </c:tx>
          <c:spPr>
            <a:solidFill>
              <a:srgbClr val="9BBB59"/>
            </a:solidFill>
            <a:ln w="25400">
              <a:noFill/>
            </a:ln>
          </c:spPr>
          <c:cat>
            <c:strRef>
              <c:f>Degree_Days!$A$76:$B$81</c:f>
              <c:strCache>
                <c:ptCount val="6"/>
                <c:pt idx="0">
                  <c:v>2008/2009</c:v>
                </c:pt>
                <c:pt idx="1">
                  <c:v>2009/2010</c:v>
                </c:pt>
                <c:pt idx="2">
                  <c:v>2010/2011</c:v>
                </c:pt>
                <c:pt idx="3">
                  <c:v>2011/2012</c:v>
                </c:pt>
                <c:pt idx="4">
                  <c:v>2012/2013</c:v>
                </c:pt>
                <c:pt idx="5">
                  <c:v>5 Year Average</c:v>
                </c:pt>
              </c:strCache>
            </c:strRef>
          </c:cat>
          <c:val>
            <c:numRef>
              <c:f>Degree_Days!$E$76:$E$81</c:f>
              <c:numCache>
                <c:formatCode>General</c:formatCode>
                <c:ptCount val="6"/>
                <c:pt idx="0">
                  <c:v>6549</c:v>
                </c:pt>
                <c:pt idx="1">
                  <c:v>6405</c:v>
                </c:pt>
                <c:pt idx="2">
                  <c:v>6887</c:v>
                </c:pt>
                <c:pt idx="3">
                  <c:v>5720</c:v>
                </c:pt>
                <c:pt idx="4">
                  <c:v>846</c:v>
                </c:pt>
                <c:pt idx="5">
                  <c:v>6496</c:v>
                </c:pt>
              </c:numCache>
            </c:numRef>
          </c:val>
        </c:ser>
        <c:axId val="68806144"/>
        <c:axId val="68807680"/>
      </c:barChart>
      <c:catAx>
        <c:axId val="68806144"/>
        <c:scaling>
          <c:orientation val="minMax"/>
        </c:scaling>
        <c:axPos val="b"/>
        <c:numFmt formatCode="General" sourceLinked="1"/>
        <c:majorTickMark val="none"/>
        <c:tickLblPos val="nextTo"/>
        <c:spPr>
          <a:ln w="3175">
            <a:solidFill>
              <a:srgbClr val="808080"/>
            </a:solidFill>
            <a:prstDash val="solid"/>
          </a:ln>
        </c:spPr>
        <c:txPr>
          <a:bodyPr/>
          <a:lstStyle/>
          <a:p>
            <a:pPr>
              <a:defRPr b="1"/>
            </a:pPr>
            <a:endParaRPr lang="en-US"/>
          </a:p>
        </c:txPr>
        <c:crossAx val="68807680"/>
        <c:crosses val="autoZero"/>
        <c:auto val="1"/>
        <c:lblAlgn val="ctr"/>
        <c:lblOffset val="100"/>
      </c:catAx>
      <c:valAx>
        <c:axId val="68807680"/>
        <c:scaling>
          <c:orientation val="minMax"/>
        </c:scaling>
        <c:axPos val="l"/>
        <c:majorGridlines>
          <c:spPr>
            <a:ln w="3175">
              <a:solidFill>
                <a:srgbClr val="808080"/>
              </a:solidFill>
              <a:prstDash val="solid"/>
            </a:ln>
          </c:spPr>
        </c:majorGridlines>
        <c:title>
          <c:tx>
            <c:rich>
              <a:bodyPr/>
              <a:lstStyle/>
              <a:p>
                <a:pPr>
                  <a:defRPr b="1"/>
                </a:pPr>
                <a:r>
                  <a:rPr lang="en-US" b="1"/>
                  <a:t>Degree Days</a:t>
                </a:r>
              </a:p>
            </c:rich>
          </c:tx>
          <c:layout/>
          <c:spPr>
            <a:noFill/>
            <a:ln w="25400">
              <a:noFill/>
            </a:ln>
          </c:spPr>
        </c:title>
        <c:numFmt formatCode="General" sourceLinked="1"/>
        <c:majorTickMark val="none"/>
        <c:tickLblPos val="nextTo"/>
        <c:spPr>
          <a:ln w="3175">
            <a:solidFill>
              <a:srgbClr val="808080"/>
            </a:solidFill>
            <a:prstDash val="solid"/>
          </a:ln>
        </c:spPr>
        <c:crossAx val="68806144"/>
        <c:crosses val="autoZero"/>
        <c:crossBetween val="between"/>
      </c:valAx>
      <c:dTable>
        <c:showHorzBorder val="1"/>
        <c:showVertBorder val="1"/>
        <c:showOutline val="1"/>
        <c:showKeys val="1"/>
      </c:dTable>
      <c:spPr>
        <a:solidFill>
          <a:srgbClr val="FFFFFF"/>
        </a:solidFill>
        <a:ln w="25400">
          <a:noFill/>
        </a:ln>
      </c:spPr>
    </c:plotArea>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b="1"/>
            </a:pPr>
            <a:r>
              <a:rPr lang="en-US" b="1"/>
              <a:t>Total Degree Days</a:t>
            </a:r>
          </a:p>
        </c:rich>
      </c:tx>
      <c:layout/>
      <c:spPr>
        <a:noFill/>
        <a:ln w="25400">
          <a:noFill/>
        </a:ln>
      </c:spPr>
    </c:title>
    <c:plotArea>
      <c:layout>
        <c:manualLayout>
          <c:layoutTarget val="inner"/>
          <c:xMode val="edge"/>
          <c:yMode val="edge"/>
          <c:x val="0.10338588321621094"/>
          <c:y val="0.13726652680525658"/>
          <c:w val="0.6353236813140295"/>
          <c:h val="0.62420219963854018"/>
        </c:manualLayout>
      </c:layout>
      <c:barChart>
        <c:barDir val="col"/>
        <c:grouping val="clustered"/>
        <c:ser>
          <c:idx val="0"/>
          <c:order val="0"/>
          <c:tx>
            <c:v>2008/2009</c:v>
          </c:tx>
          <c:spPr>
            <a:solidFill>
              <a:srgbClr val="4F81BD"/>
            </a:solidFill>
            <a:ln w="25400">
              <a:noFill/>
            </a:ln>
          </c:spPr>
          <c:cat>
            <c:strRef>
              <c:f>Degree_Days!$A$46:$A$57</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Degree_Days!$E$10:$E$21</c:f>
              <c:numCache>
                <c:formatCode>General</c:formatCode>
                <c:ptCount val="12"/>
                <c:pt idx="0">
                  <c:v>325</c:v>
                </c:pt>
                <c:pt idx="1">
                  <c:v>344</c:v>
                </c:pt>
                <c:pt idx="2">
                  <c:v>282</c:v>
                </c:pt>
                <c:pt idx="3">
                  <c:v>384</c:v>
                </c:pt>
                <c:pt idx="4">
                  <c:v>704</c:v>
                </c:pt>
                <c:pt idx="5">
                  <c:v>968</c:v>
                </c:pt>
                <c:pt idx="6">
                  <c:v>1210</c:v>
                </c:pt>
                <c:pt idx="7">
                  <c:v>819</c:v>
                </c:pt>
                <c:pt idx="8">
                  <c:v>573</c:v>
                </c:pt>
                <c:pt idx="9">
                  <c:v>413</c:v>
                </c:pt>
                <c:pt idx="10">
                  <c:v>236</c:v>
                </c:pt>
                <c:pt idx="11">
                  <c:v>291</c:v>
                </c:pt>
              </c:numCache>
            </c:numRef>
          </c:val>
        </c:ser>
        <c:ser>
          <c:idx val="1"/>
          <c:order val="1"/>
          <c:tx>
            <c:v>2009/2010</c:v>
          </c:tx>
          <c:spPr>
            <a:solidFill>
              <a:srgbClr val="C0504D"/>
            </a:solidFill>
            <a:ln w="25400">
              <a:noFill/>
            </a:ln>
          </c:spPr>
          <c:cat>
            <c:strRef>
              <c:f>Degree_Days!$A$46:$A$57</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Degree_Days!$E$22:$E$33</c:f>
              <c:numCache>
                <c:formatCode>General</c:formatCode>
                <c:ptCount val="12"/>
                <c:pt idx="0">
                  <c:v>229</c:v>
                </c:pt>
                <c:pt idx="1">
                  <c:v>289</c:v>
                </c:pt>
                <c:pt idx="2">
                  <c:v>215</c:v>
                </c:pt>
                <c:pt idx="3">
                  <c:v>419</c:v>
                </c:pt>
                <c:pt idx="4">
                  <c:v>528</c:v>
                </c:pt>
                <c:pt idx="5">
                  <c:v>974</c:v>
                </c:pt>
                <c:pt idx="6">
                  <c:v>1179</c:v>
                </c:pt>
                <c:pt idx="7">
                  <c:v>1058</c:v>
                </c:pt>
                <c:pt idx="8">
                  <c:v>607</c:v>
                </c:pt>
                <c:pt idx="9">
                  <c:v>327</c:v>
                </c:pt>
                <c:pt idx="10">
                  <c:v>255</c:v>
                </c:pt>
                <c:pt idx="11">
                  <c:v>325</c:v>
                </c:pt>
              </c:numCache>
            </c:numRef>
          </c:val>
        </c:ser>
        <c:ser>
          <c:idx val="2"/>
          <c:order val="2"/>
          <c:tx>
            <c:v>2010/2011</c:v>
          </c:tx>
          <c:spPr>
            <a:solidFill>
              <a:srgbClr val="9BBB59"/>
            </a:solidFill>
            <a:ln w="25400">
              <a:noFill/>
            </a:ln>
          </c:spPr>
          <c:cat>
            <c:strRef>
              <c:f>Degree_Days!$A$46:$A$57</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Degree_Days!$E$34:$E$45</c:f>
              <c:numCache>
                <c:formatCode>General</c:formatCode>
                <c:ptCount val="12"/>
                <c:pt idx="0">
                  <c:v>418</c:v>
                </c:pt>
                <c:pt idx="1">
                  <c:v>431</c:v>
                </c:pt>
                <c:pt idx="2">
                  <c:v>311</c:v>
                </c:pt>
                <c:pt idx="3">
                  <c:v>354</c:v>
                </c:pt>
                <c:pt idx="4">
                  <c:v>628</c:v>
                </c:pt>
                <c:pt idx="5">
                  <c:v>1186</c:v>
                </c:pt>
                <c:pt idx="6">
                  <c:v>1197</c:v>
                </c:pt>
                <c:pt idx="7">
                  <c:v>790</c:v>
                </c:pt>
                <c:pt idx="8">
                  <c:v>656</c:v>
                </c:pt>
                <c:pt idx="9">
                  <c:v>320</c:v>
                </c:pt>
                <c:pt idx="10">
                  <c:v>316</c:v>
                </c:pt>
                <c:pt idx="11">
                  <c:v>280</c:v>
                </c:pt>
              </c:numCache>
            </c:numRef>
          </c:val>
        </c:ser>
        <c:ser>
          <c:idx val="3"/>
          <c:order val="3"/>
          <c:tx>
            <c:strRef>
              <c:f>Degree_Days!$A$79</c:f>
              <c:strCache>
                <c:ptCount val="1"/>
                <c:pt idx="0">
                  <c:v>2011/2012</c:v>
                </c:pt>
              </c:strCache>
            </c:strRef>
          </c:tx>
          <c:cat>
            <c:strRef>
              <c:f>Degree_Days!$A$46:$A$57</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Degree_Days!$E$46:$E$57</c:f>
              <c:numCache>
                <c:formatCode>General</c:formatCode>
                <c:ptCount val="12"/>
                <c:pt idx="0">
                  <c:v>490</c:v>
                </c:pt>
                <c:pt idx="1">
                  <c:v>344</c:v>
                </c:pt>
                <c:pt idx="2">
                  <c:v>219</c:v>
                </c:pt>
                <c:pt idx="3">
                  <c:v>379</c:v>
                </c:pt>
                <c:pt idx="4">
                  <c:v>484</c:v>
                </c:pt>
                <c:pt idx="5">
                  <c:v>792</c:v>
                </c:pt>
                <c:pt idx="6">
                  <c:v>917</c:v>
                </c:pt>
                <c:pt idx="7">
                  <c:v>766</c:v>
                </c:pt>
                <c:pt idx="8">
                  <c:v>389</c:v>
                </c:pt>
                <c:pt idx="9">
                  <c:v>364</c:v>
                </c:pt>
                <c:pt idx="10">
                  <c:v>251</c:v>
                </c:pt>
                <c:pt idx="11">
                  <c:v>325</c:v>
                </c:pt>
              </c:numCache>
            </c:numRef>
          </c:val>
        </c:ser>
        <c:ser>
          <c:idx val="5"/>
          <c:order val="5"/>
          <c:tx>
            <c:v>2012/2013</c:v>
          </c:tx>
          <c:cat>
            <c:strRef>
              <c:f>Degree_Days!$A$58:$A$69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Degree_Days!$E$58:$E$69</c:f>
              <c:numCache>
                <c:formatCode>General</c:formatCode>
                <c:ptCount val="12"/>
                <c:pt idx="0">
                  <c:v>487</c:v>
                </c:pt>
                <c:pt idx="1">
                  <c:v>359</c:v>
                </c:pt>
              </c:numCache>
            </c:numRef>
          </c:val>
        </c:ser>
        <c:axId val="69223552"/>
        <c:axId val="69225472"/>
      </c:barChart>
      <c:lineChart>
        <c:grouping val="standard"/>
        <c:ser>
          <c:idx val="4"/>
          <c:order val="4"/>
          <c:tx>
            <c:v>5 Year Avg Total DD</c:v>
          </c:tx>
          <c:spPr>
            <a:ln>
              <a:solidFill>
                <a:schemeClr val="tx1"/>
              </a:solidFill>
            </a:ln>
          </c:spPr>
          <c:marker>
            <c:symbol val="dash"/>
            <c:size val="7"/>
            <c:spPr>
              <a:solidFill>
                <a:schemeClr val="tx1"/>
              </a:solidFill>
              <a:ln>
                <a:solidFill>
                  <a:prstClr val="black"/>
                </a:solidFill>
              </a:ln>
            </c:spPr>
          </c:marker>
          <c:cat>
            <c:strRef>
              <c:f>Degree_Days!$A$58:$A$69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Degree_Days!$H$46:$H$57</c:f>
              <c:numCache>
                <c:formatCode>General</c:formatCode>
                <c:ptCount val="12"/>
                <c:pt idx="0">
                  <c:v>348</c:v>
                </c:pt>
                <c:pt idx="1">
                  <c:v>372</c:v>
                </c:pt>
                <c:pt idx="2">
                  <c:v>254</c:v>
                </c:pt>
                <c:pt idx="3">
                  <c:v>362</c:v>
                </c:pt>
                <c:pt idx="4">
                  <c:v>589</c:v>
                </c:pt>
                <c:pt idx="5">
                  <c:v>965</c:v>
                </c:pt>
                <c:pt idx="6">
                  <c:v>1112</c:v>
                </c:pt>
                <c:pt idx="7">
                  <c:v>955</c:v>
                </c:pt>
                <c:pt idx="8">
                  <c:v>620</c:v>
                </c:pt>
                <c:pt idx="9">
                  <c:v>371</c:v>
                </c:pt>
                <c:pt idx="10">
                  <c:v>257</c:v>
                </c:pt>
                <c:pt idx="11">
                  <c:v>291</c:v>
                </c:pt>
              </c:numCache>
            </c:numRef>
          </c:val>
        </c:ser>
        <c:marker val="1"/>
        <c:axId val="69223552"/>
        <c:axId val="69225472"/>
      </c:lineChart>
      <c:catAx>
        <c:axId val="69223552"/>
        <c:scaling>
          <c:orientation val="minMax"/>
        </c:scaling>
        <c:axPos val="b"/>
        <c:numFmt formatCode="General" sourceLinked="1"/>
        <c:majorTickMark val="none"/>
        <c:tickLblPos val="nextTo"/>
        <c:spPr>
          <a:ln w="3175">
            <a:solidFill>
              <a:srgbClr val="808080"/>
            </a:solidFill>
            <a:prstDash val="solid"/>
          </a:ln>
        </c:spPr>
        <c:crossAx val="69225472"/>
        <c:crosses val="autoZero"/>
        <c:auto val="1"/>
        <c:lblAlgn val="ctr"/>
        <c:lblOffset val="100"/>
      </c:catAx>
      <c:valAx>
        <c:axId val="69225472"/>
        <c:scaling>
          <c:orientation val="minMax"/>
        </c:scaling>
        <c:axPos val="l"/>
        <c:majorGridlines>
          <c:spPr>
            <a:ln w="3175">
              <a:solidFill>
                <a:srgbClr val="808080"/>
              </a:solidFill>
              <a:prstDash val="solid"/>
            </a:ln>
          </c:spPr>
        </c:majorGridlines>
        <c:numFmt formatCode="General" sourceLinked="1"/>
        <c:majorTickMark val="none"/>
        <c:tickLblPos val="nextTo"/>
        <c:txPr>
          <a:bodyPr/>
          <a:lstStyle/>
          <a:p>
            <a:pPr>
              <a:defRPr b="1"/>
            </a:pPr>
            <a:endParaRPr lang="en-US"/>
          </a:p>
        </c:txPr>
        <c:crossAx val="69223552"/>
        <c:crosses val="autoZero"/>
        <c:crossBetween val="between"/>
      </c:valAx>
      <c:spPr>
        <a:solidFill>
          <a:srgbClr val="FFFFFF"/>
        </a:solidFill>
        <a:ln w="25400">
          <a:noFill/>
        </a:ln>
      </c:spPr>
    </c:plotArea>
    <c:legend>
      <c:legendPos val="r"/>
      <c:layout>
        <c:manualLayout>
          <c:xMode val="edge"/>
          <c:yMode val="edge"/>
          <c:x val="0.72437264696751613"/>
          <c:y val="0.13356982626306663"/>
          <c:w val="0.25842305195721516"/>
          <c:h val="0.6712686519721367"/>
        </c:manualLayout>
      </c:layout>
      <c:spPr>
        <a:noFill/>
        <a:ln w="25400">
          <a:noFill/>
        </a:ln>
      </c:sp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District Wide Energy Cost</a:t>
            </a:r>
          </a:p>
        </c:rich>
      </c:tx>
      <c:layout>
        <c:manualLayout>
          <c:xMode val="edge"/>
          <c:yMode val="edge"/>
          <c:x val="0.26054155730533679"/>
          <c:y val="2.7777777777778012E-2"/>
        </c:manualLayout>
      </c:layout>
    </c:title>
    <c:view3D>
      <c:rAngAx val="1"/>
    </c:view3D>
    <c:plotArea>
      <c:layout>
        <c:manualLayout>
          <c:layoutTarget val="inner"/>
          <c:xMode val="edge"/>
          <c:yMode val="edge"/>
          <c:x val="0.18097862767154105"/>
          <c:y val="0.16239610673665789"/>
          <c:w val="0.79838657667791502"/>
          <c:h val="0.56944444444444464"/>
        </c:manualLayout>
      </c:layout>
      <c:bar3DChart>
        <c:barDir val="col"/>
        <c:grouping val="stacked"/>
        <c:ser>
          <c:idx val="0"/>
          <c:order val="0"/>
          <c:tx>
            <c:strRef>
              <c:f>Summary!$B$31</c:f>
              <c:strCache>
                <c:ptCount val="1"/>
                <c:pt idx="0">
                  <c:v>Gas Cost</c:v>
                </c:pt>
              </c:strCache>
            </c:strRef>
          </c:tx>
          <c:cat>
            <c:strRef>
              <c:f>Summary!$A$32:$A$36</c:f>
              <c:strCache>
                <c:ptCount val="5"/>
                <c:pt idx="0">
                  <c:v>2008-2009</c:v>
                </c:pt>
                <c:pt idx="1">
                  <c:v>2009-2010</c:v>
                </c:pt>
                <c:pt idx="2">
                  <c:v>2010-2011</c:v>
                </c:pt>
                <c:pt idx="3">
                  <c:v>2011-2012</c:v>
                </c:pt>
                <c:pt idx="4">
                  <c:v>2012-2013</c:v>
                </c:pt>
              </c:strCache>
            </c:strRef>
          </c:cat>
          <c:val>
            <c:numRef>
              <c:f>Summary!$B$32:$B$36</c:f>
              <c:numCache>
                <c:formatCode>_("$"* #,##0.00_);_("$"* \(#,##0.00\);_("$"* "-"??_);_(@_)</c:formatCode>
                <c:ptCount val="5"/>
                <c:pt idx="0">
                  <c:v>18458.620000000003</c:v>
                </c:pt>
                <c:pt idx="1">
                  <c:v>17440.409999999996</c:v>
                </c:pt>
                <c:pt idx="2">
                  <c:v>19204.279999999992</c:v>
                </c:pt>
                <c:pt idx="3">
                  <c:v>13448.640000000005</c:v>
                </c:pt>
                <c:pt idx="4">
                  <c:v>109.86</c:v>
                </c:pt>
              </c:numCache>
            </c:numRef>
          </c:val>
        </c:ser>
        <c:ser>
          <c:idx val="1"/>
          <c:order val="1"/>
          <c:tx>
            <c:strRef>
              <c:f>Summary!$C$31</c:f>
              <c:strCache>
                <c:ptCount val="1"/>
                <c:pt idx="0">
                  <c:v>Electric Cost</c:v>
                </c:pt>
              </c:strCache>
            </c:strRef>
          </c:tx>
          <c:cat>
            <c:strRef>
              <c:f>Summary!$A$32:$A$36</c:f>
              <c:strCache>
                <c:ptCount val="5"/>
                <c:pt idx="0">
                  <c:v>2008-2009</c:v>
                </c:pt>
                <c:pt idx="1">
                  <c:v>2009-2010</c:v>
                </c:pt>
                <c:pt idx="2">
                  <c:v>2010-2011</c:v>
                </c:pt>
                <c:pt idx="3">
                  <c:v>2011-2012</c:v>
                </c:pt>
                <c:pt idx="4">
                  <c:v>2012-2013</c:v>
                </c:pt>
              </c:strCache>
            </c:strRef>
          </c:cat>
          <c:val>
            <c:numRef>
              <c:f>Summary!$C$32:$C$36</c:f>
              <c:numCache>
                <c:formatCode>_("$"* #,##0.00_);_("$"* \(#,##0.00\);_("$"* "-"??_);_(@_)</c:formatCode>
                <c:ptCount val="5"/>
                <c:pt idx="0">
                  <c:v>27546.649999999991</c:v>
                </c:pt>
                <c:pt idx="1">
                  <c:v>28706.080000000005</c:v>
                </c:pt>
                <c:pt idx="2">
                  <c:v>27423.290000000005</c:v>
                </c:pt>
                <c:pt idx="3">
                  <c:v>27525.629999999997</c:v>
                </c:pt>
                <c:pt idx="4">
                  <c:v>5064.3899999999994</c:v>
                </c:pt>
              </c:numCache>
            </c:numRef>
          </c:val>
        </c:ser>
        <c:gapWidth val="95"/>
        <c:gapDepth val="95"/>
        <c:shape val="box"/>
        <c:axId val="69257856"/>
        <c:axId val="69267840"/>
        <c:axId val="0"/>
      </c:bar3DChart>
      <c:catAx>
        <c:axId val="69257856"/>
        <c:scaling>
          <c:orientation val="minMax"/>
        </c:scaling>
        <c:axPos val="b"/>
        <c:majorTickMark val="none"/>
        <c:tickLblPos val="nextTo"/>
        <c:crossAx val="69267840"/>
        <c:crosses val="autoZero"/>
        <c:auto val="1"/>
        <c:lblAlgn val="ctr"/>
        <c:lblOffset val="100"/>
      </c:catAx>
      <c:valAx>
        <c:axId val="69267840"/>
        <c:scaling>
          <c:orientation val="minMax"/>
        </c:scaling>
        <c:axPos val="l"/>
        <c:majorGridlines/>
        <c:title>
          <c:tx>
            <c:rich>
              <a:bodyPr/>
              <a:lstStyle/>
              <a:p>
                <a:pPr>
                  <a:defRPr/>
                </a:pPr>
                <a:r>
                  <a:rPr lang="en-US"/>
                  <a:t>Cost</a:t>
                </a:r>
              </a:p>
            </c:rich>
          </c:tx>
        </c:title>
        <c:numFmt formatCode="_(&quot;$&quot;* #,##0.00_);_(&quot;$&quot;* \(#,##0.00\);_(&quot;$&quot;* &quot;-&quot;??_);_(@_)" sourceLinked="1"/>
        <c:majorTickMark val="none"/>
        <c:tickLblPos val="nextTo"/>
        <c:crossAx val="69257856"/>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Southgate School Energy Intensity</a:t>
            </a:r>
          </a:p>
        </c:rich>
      </c:tx>
      <c:layout>
        <c:manualLayout>
          <c:xMode val="edge"/>
          <c:yMode val="edge"/>
          <c:x val="0.22685220863349528"/>
          <c:y val="3.194106834206701E-2"/>
        </c:manualLayout>
      </c:layout>
    </c:title>
    <c:plotArea>
      <c:layout>
        <c:manualLayout>
          <c:layoutTarget val="inner"/>
          <c:xMode val="edge"/>
          <c:yMode val="edge"/>
          <c:x val="0.11702117528502572"/>
          <c:y val="0.19163763066202091"/>
          <c:w val="0.71685695538057781"/>
          <c:h val="0.51589538249225431"/>
        </c:manualLayout>
      </c:layout>
      <c:lineChart>
        <c:grouping val="standard"/>
        <c:ser>
          <c:idx val="0"/>
          <c:order val="0"/>
          <c:tx>
            <c:v>2008-2009</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School'!$X$10:$X$21</c:f>
              <c:numCache>
                <c:formatCode>General</c:formatCode>
                <c:ptCount val="12"/>
                <c:pt idx="0">
                  <c:v>1.4727729520245887</c:v>
                </c:pt>
                <c:pt idx="1">
                  <c:v>2.4257436856875585</c:v>
                </c:pt>
                <c:pt idx="2">
                  <c:v>1.4512932647333958</c:v>
                </c:pt>
                <c:pt idx="3">
                  <c:v>1.2730856608312178</c:v>
                </c:pt>
                <c:pt idx="4">
                  <c:v>7.2661910330081518</c:v>
                </c:pt>
                <c:pt idx="5">
                  <c:v>7.665079847654682</c:v>
                </c:pt>
                <c:pt idx="6">
                  <c:v>8.7338527328611519</c:v>
                </c:pt>
                <c:pt idx="7">
                  <c:v>7.4084591741280263</c:v>
                </c:pt>
                <c:pt idx="8">
                  <c:v>3.5245312708806646</c:v>
                </c:pt>
                <c:pt idx="9">
                  <c:v>1.7202709474809561</c:v>
                </c:pt>
                <c:pt idx="10">
                  <c:v>1.0393091006280899</c:v>
                </c:pt>
                <c:pt idx="11">
                  <c:v>1.6483693037551779</c:v>
                </c:pt>
              </c:numCache>
            </c:numRef>
          </c:val>
        </c:ser>
        <c:ser>
          <c:idx val="1"/>
          <c:order val="1"/>
          <c:tx>
            <c:v>2009-2010</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School'!$X$22:$X$33</c:f>
              <c:numCache>
                <c:formatCode>General</c:formatCode>
                <c:ptCount val="12"/>
                <c:pt idx="0">
                  <c:v>1.8439823600160361</c:v>
                </c:pt>
                <c:pt idx="1">
                  <c:v>2.5505505813176543</c:v>
                </c:pt>
                <c:pt idx="2">
                  <c:v>1.913919216891621</c:v>
                </c:pt>
                <c:pt idx="3">
                  <c:v>2.7035517172257135</c:v>
                </c:pt>
                <c:pt idx="4">
                  <c:v>5.5855993585460375</c:v>
                </c:pt>
                <c:pt idx="5">
                  <c:v>8.630630428972335</c:v>
                </c:pt>
                <c:pt idx="6">
                  <c:v>7.7507523720432987</c:v>
                </c:pt>
                <c:pt idx="7">
                  <c:v>7.6433475878658292</c:v>
                </c:pt>
                <c:pt idx="8">
                  <c:v>4.6517663370306028</c:v>
                </c:pt>
                <c:pt idx="9">
                  <c:v>1.411899639182145</c:v>
                </c:pt>
                <c:pt idx="10">
                  <c:v>1.789738741146599</c:v>
                </c:pt>
                <c:pt idx="11">
                  <c:v>1.8739482827742879</c:v>
                </c:pt>
              </c:numCache>
            </c:numRef>
          </c:val>
        </c:ser>
        <c:ser>
          <c:idx val="2"/>
          <c:order val="2"/>
          <c:tx>
            <c:v>2010-2011</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School'!$X$34:$X$45</c:f>
              <c:numCache>
                <c:formatCode>General</c:formatCode>
                <c:ptCount val="12"/>
                <c:pt idx="0">
                  <c:v>2.0985300013363637</c:v>
                </c:pt>
                <c:pt idx="1">
                  <c:v>1.0117576506748627</c:v>
                </c:pt>
                <c:pt idx="2">
                  <c:v>1.7925270613390356</c:v>
                </c:pt>
                <c:pt idx="3">
                  <c:v>1.1611933716423894</c:v>
                </c:pt>
                <c:pt idx="4">
                  <c:v>7.8490050781772007</c:v>
                </c:pt>
                <c:pt idx="5">
                  <c:v>10.371219430709614</c:v>
                </c:pt>
                <c:pt idx="6">
                  <c:v>9.0972450888681013</c:v>
                </c:pt>
                <c:pt idx="7">
                  <c:v>7.2076008953628241</c:v>
                </c:pt>
                <c:pt idx="8">
                  <c:v>6.1216554189496195</c:v>
                </c:pt>
                <c:pt idx="9">
                  <c:v>3.7100474408659632</c:v>
                </c:pt>
                <c:pt idx="10">
                  <c:v>3.6578377656020327</c:v>
                </c:pt>
                <c:pt idx="11">
                  <c:v>1.5188550714953901</c:v>
                </c:pt>
              </c:numCache>
            </c:numRef>
          </c:val>
        </c:ser>
        <c:ser>
          <c:idx val="3"/>
          <c:order val="3"/>
          <c:tx>
            <c:v>2011-2012</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School'!$X$46:$X$57</c:f>
              <c:numCache>
                <c:formatCode>General</c:formatCode>
                <c:ptCount val="12"/>
                <c:pt idx="0">
                  <c:v>1.8367295870640115</c:v>
                </c:pt>
                <c:pt idx="1">
                  <c:v>1.3892489643191237</c:v>
                </c:pt>
                <c:pt idx="2">
                  <c:v>2.103515969530938</c:v>
                </c:pt>
                <c:pt idx="3">
                  <c:v>3.6084685286649747</c:v>
                </c:pt>
                <c:pt idx="4">
                  <c:v>5.4597394093278115</c:v>
                </c:pt>
                <c:pt idx="5">
                  <c:v>8.0694567686756695</c:v>
                </c:pt>
                <c:pt idx="6">
                  <c:v>7.869592409461446</c:v>
                </c:pt>
                <c:pt idx="7">
                  <c:v>7.4684925831885627</c:v>
                </c:pt>
                <c:pt idx="8">
                  <c:v>3.3895192436188686</c:v>
                </c:pt>
                <c:pt idx="9">
                  <c:v>2.7230205131631702</c:v>
                </c:pt>
                <c:pt idx="10">
                  <c:v>1.4135694240277958</c:v>
                </c:pt>
                <c:pt idx="11">
                  <c:v>1.2841798075638113</c:v>
                </c:pt>
              </c:numCache>
            </c:numRef>
          </c:val>
        </c:ser>
        <c:ser>
          <c:idx val="4"/>
          <c:order val="4"/>
          <c:tx>
            <c:v>2012-2013</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School'!$X$58:$X$69</c:f>
              <c:numCache>
                <c:formatCode>General</c:formatCode>
                <c:ptCount val="12"/>
                <c:pt idx="0">
                  <c:v>1.2687819056528129</c:v>
                </c:pt>
                <c:pt idx="1">
                  <c:v>1.7447784979286378</c:v>
                </c:pt>
                <c:pt idx="2">
                  <c:v>0</c:v>
                </c:pt>
                <c:pt idx="3">
                  <c:v>0</c:v>
                </c:pt>
                <c:pt idx="4">
                  <c:v>0</c:v>
                </c:pt>
                <c:pt idx="5">
                  <c:v>0</c:v>
                </c:pt>
                <c:pt idx="6">
                  <c:v>0</c:v>
                </c:pt>
                <c:pt idx="7">
                  <c:v>0</c:v>
                </c:pt>
                <c:pt idx="8">
                  <c:v>0</c:v>
                </c:pt>
                <c:pt idx="9">
                  <c:v>0</c:v>
                </c:pt>
                <c:pt idx="10">
                  <c:v>0</c:v>
                </c:pt>
                <c:pt idx="11">
                  <c:v>0</c:v>
                </c:pt>
              </c:numCache>
            </c:numRef>
          </c:val>
        </c:ser>
        <c:marker val="1"/>
        <c:axId val="69306240"/>
        <c:axId val="69316608"/>
      </c:lineChart>
      <c:catAx>
        <c:axId val="69306240"/>
        <c:scaling>
          <c:orientation val="minMax"/>
        </c:scaling>
        <c:axPos val="b"/>
        <c:title>
          <c:tx>
            <c:rich>
              <a:bodyPr/>
              <a:lstStyle/>
              <a:p>
                <a:pPr>
                  <a:defRPr/>
                </a:pPr>
                <a:r>
                  <a:rPr lang="en-US"/>
                  <a:t>Month</a:t>
                </a:r>
              </a:p>
            </c:rich>
          </c:tx>
          <c:layout>
            <c:manualLayout>
              <c:xMode val="edge"/>
              <c:yMode val="edge"/>
              <c:x val="0.41358086223264978"/>
              <c:y val="0.89189195862712534"/>
            </c:manualLayout>
          </c:layout>
        </c:title>
        <c:numFmt formatCode="General" sourceLinked="1"/>
        <c:tickLblPos val="nextTo"/>
        <c:txPr>
          <a:bodyPr rot="-2700000" vert="horz"/>
          <a:lstStyle/>
          <a:p>
            <a:pPr>
              <a:defRPr/>
            </a:pPr>
            <a:endParaRPr lang="en-US"/>
          </a:p>
        </c:txPr>
        <c:crossAx val="69316608"/>
        <c:crosses val="autoZero"/>
        <c:auto val="1"/>
        <c:lblAlgn val="ctr"/>
        <c:lblOffset val="100"/>
        <c:tickLblSkip val="1"/>
        <c:tickMarkSkip val="1"/>
      </c:catAx>
      <c:valAx>
        <c:axId val="69316608"/>
        <c:scaling>
          <c:orientation val="minMax"/>
        </c:scaling>
        <c:axPos val="l"/>
        <c:majorGridlines/>
        <c:title>
          <c:tx>
            <c:rich>
              <a:bodyPr/>
              <a:lstStyle/>
              <a:p>
                <a:pPr>
                  <a:defRPr/>
                </a:pPr>
                <a:r>
                  <a:rPr lang="en-US"/>
                  <a:t>Energy Intensity (kBTU/ft²)</a:t>
                </a:r>
              </a:p>
            </c:rich>
          </c:tx>
          <c:layout>
            <c:manualLayout>
              <c:xMode val="edge"/>
              <c:yMode val="edge"/>
              <c:x val="2.469132182945221E-2"/>
              <c:y val="0.18673214628659307"/>
            </c:manualLayout>
          </c:layout>
        </c:title>
        <c:numFmt formatCode="General" sourceLinked="1"/>
        <c:tickLblPos val="nextTo"/>
        <c:txPr>
          <a:bodyPr rot="0" vert="horz"/>
          <a:lstStyle/>
          <a:p>
            <a:pPr>
              <a:defRPr/>
            </a:pPr>
            <a:endParaRPr lang="en-US"/>
          </a:p>
        </c:txPr>
        <c:crossAx val="69306240"/>
        <c:crosses val="autoZero"/>
        <c:crossBetween val="between"/>
      </c:valAx>
    </c:plotArea>
    <c:legend>
      <c:legendPos val="r"/>
      <c:layout>
        <c:manualLayout>
          <c:xMode val="edge"/>
          <c:yMode val="edge"/>
          <c:x val="0.85359596877313415"/>
          <c:y val="0.16323533160772352"/>
          <c:w val="0.117182650218862"/>
          <c:h val="0.6403874294474252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Southgate School Energy Cost per Square Foot</a:t>
            </a:r>
          </a:p>
        </c:rich>
      </c:tx>
      <c:layout>
        <c:manualLayout>
          <c:xMode val="edge"/>
          <c:yMode val="edge"/>
          <c:x val="0.26180282423374895"/>
          <c:y val="3.2581332137753438E-2"/>
        </c:manualLayout>
      </c:layout>
    </c:title>
    <c:plotArea>
      <c:layout>
        <c:manualLayout>
          <c:layoutTarget val="inner"/>
          <c:xMode val="edge"/>
          <c:yMode val="edge"/>
          <c:x val="0.13501985328756988"/>
          <c:y val="0.15658342582717824"/>
          <c:w val="0.71456625614105929"/>
          <c:h val="0.6039123508211387"/>
        </c:manualLayout>
      </c:layout>
      <c:lineChart>
        <c:grouping val="standard"/>
        <c:ser>
          <c:idx val="0"/>
          <c:order val="0"/>
          <c:tx>
            <c:v>2008-2009</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School'!$Y$10:$Y$21</c:f>
              <c:numCache>
                <c:formatCode>"$"#,##0.00_);[Red]\("$"#,##0.00\)</c:formatCode>
                <c:ptCount val="12"/>
                <c:pt idx="0">
                  <c:v>4.0823867432847806E-2</c:v>
                </c:pt>
                <c:pt idx="1">
                  <c:v>6.1634872377388746E-2</c:v>
                </c:pt>
                <c:pt idx="2">
                  <c:v>4.3501436589603093E-2</c:v>
                </c:pt>
                <c:pt idx="3">
                  <c:v>3.9542629961245489E-2</c:v>
                </c:pt>
                <c:pt idx="4">
                  <c:v>0.10456601630362157</c:v>
                </c:pt>
                <c:pt idx="5">
                  <c:v>0.10165424963250039</c:v>
                </c:pt>
                <c:pt idx="6">
                  <c:v>0.11112237738874783</c:v>
                </c:pt>
                <c:pt idx="7">
                  <c:v>9.3293131097153537E-2</c:v>
                </c:pt>
                <c:pt idx="8">
                  <c:v>5.4241280235199793E-2</c:v>
                </c:pt>
                <c:pt idx="9">
                  <c:v>4.1291093144460791E-2</c:v>
                </c:pt>
                <c:pt idx="10">
                  <c:v>3.0744353868769218E-2</c:v>
                </c:pt>
                <c:pt idx="11">
                  <c:v>4.6081117198984355E-2</c:v>
                </c:pt>
              </c:numCache>
            </c:numRef>
          </c:val>
        </c:ser>
        <c:ser>
          <c:idx val="1"/>
          <c:order val="1"/>
          <c:tx>
            <c:v>2009-2010</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School'!$Y$22:$Y$33</c:f>
              <c:numCache>
                <c:formatCode>"$"#,##0.00_);[Red]\("$"#,##0.00\)</c:formatCode>
                <c:ptCount val="12"/>
                <c:pt idx="0">
                  <c:v>4.9190665508485901E-2</c:v>
                </c:pt>
                <c:pt idx="1">
                  <c:v>5.6825304022450895E-2</c:v>
                </c:pt>
                <c:pt idx="2">
                  <c:v>4.8038387010557286E-2</c:v>
                </c:pt>
                <c:pt idx="3">
                  <c:v>4.7087398102365376E-2</c:v>
                </c:pt>
                <c:pt idx="4">
                  <c:v>7.229703995723645E-2</c:v>
                </c:pt>
                <c:pt idx="5">
                  <c:v>0.10034494855004675</c:v>
                </c:pt>
                <c:pt idx="6">
                  <c:v>9.4383101697180255E-2</c:v>
                </c:pt>
                <c:pt idx="7">
                  <c:v>9.0134638513965026E-2</c:v>
                </c:pt>
                <c:pt idx="8">
                  <c:v>6.1421889616463964E-2</c:v>
                </c:pt>
                <c:pt idx="9">
                  <c:v>3.545469731391155E-2</c:v>
                </c:pt>
                <c:pt idx="10">
                  <c:v>4.2777629293064286E-2</c:v>
                </c:pt>
                <c:pt idx="11">
                  <c:v>4.5476914339168811E-2</c:v>
                </c:pt>
              </c:numCache>
            </c:numRef>
          </c:val>
        </c:ser>
        <c:ser>
          <c:idx val="2"/>
          <c:order val="2"/>
          <c:tx>
            <c:v>2010-2011</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School'!$Y$34:$Y$45</c:f>
              <c:numCache>
                <c:formatCode>"$"#,##0.00_);[Red]\("$"#,##0.00\)</c:formatCode>
                <c:ptCount val="12"/>
                <c:pt idx="0">
                  <c:v>5.0844246959775491E-2</c:v>
                </c:pt>
                <c:pt idx="1">
                  <c:v>3.3064111987170935E-2</c:v>
                </c:pt>
                <c:pt idx="2">
                  <c:v>4.5972370706935724E-2</c:v>
                </c:pt>
                <c:pt idx="3">
                  <c:v>3.2042629961245489E-2</c:v>
                </c:pt>
                <c:pt idx="4">
                  <c:v>8.2636476012294555E-2</c:v>
                </c:pt>
                <c:pt idx="5">
                  <c:v>0.10401526794066553</c:v>
                </c:pt>
                <c:pt idx="6">
                  <c:v>9.5212815715622068E-2</c:v>
                </c:pt>
                <c:pt idx="7">
                  <c:v>8.0430642790324733E-2</c:v>
                </c:pt>
                <c:pt idx="8">
                  <c:v>6.9279867700120276E-2</c:v>
                </c:pt>
                <c:pt idx="9">
                  <c:v>5.418598824001071E-2</c:v>
                </c:pt>
                <c:pt idx="10">
                  <c:v>6.0902879861018326E-2</c:v>
                </c:pt>
                <c:pt idx="11">
                  <c:v>3.6857877856474694E-2</c:v>
                </c:pt>
              </c:numCache>
            </c:numRef>
          </c:val>
        </c:ser>
        <c:ser>
          <c:idx val="3"/>
          <c:order val="3"/>
          <c:tx>
            <c:v>2011-2012</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School'!$Y$46:$Y$57</c:f>
              <c:numCache>
                <c:formatCode>"$"#,##0.00_);[Red]\("$"#,##0.00\)</c:formatCode>
                <c:ptCount val="12"/>
                <c:pt idx="0">
                  <c:v>4.2565982894561018E-2</c:v>
                </c:pt>
                <c:pt idx="1">
                  <c:v>3.9569858345583318E-2</c:v>
                </c:pt>
                <c:pt idx="2">
                  <c:v>4.5351129226246178E-2</c:v>
                </c:pt>
                <c:pt idx="3">
                  <c:v>5.3394026459975971E-2</c:v>
                </c:pt>
                <c:pt idx="4">
                  <c:v>6.6484865695576642E-2</c:v>
                </c:pt>
                <c:pt idx="5">
                  <c:v>8.4264833622878552E-2</c:v>
                </c:pt>
                <c:pt idx="6">
                  <c:v>7.8605505813176532E-2</c:v>
                </c:pt>
                <c:pt idx="7">
                  <c:v>7.211195376186022E-2</c:v>
                </c:pt>
                <c:pt idx="8">
                  <c:v>4.9074903113724457E-2</c:v>
                </c:pt>
                <c:pt idx="9">
                  <c:v>4.6543164506214069E-2</c:v>
                </c:pt>
                <c:pt idx="10">
                  <c:v>4.191784712013899E-2</c:v>
                </c:pt>
                <c:pt idx="11">
                  <c:v>3.8707236402512356E-2</c:v>
                </c:pt>
              </c:numCache>
            </c:numRef>
          </c:val>
        </c:ser>
        <c:ser>
          <c:idx val="4"/>
          <c:order val="4"/>
          <c:tx>
            <c:v>2012-2013</c:v>
          </c:tx>
          <c:marker>
            <c:symbol val="none"/>
          </c:marker>
          <c:cat>
            <c:strRef>
              <c:f>'Southgate School'!$N$58:$N$69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School'!$Y$58:$Y$69</c:f>
              <c:numCache>
                <c:formatCode>"$"#,##0.00_);[Red]\("$"#,##0.00\)</c:formatCode>
                <c:ptCount val="12"/>
                <c:pt idx="0">
                  <c:v>3.7019243618869463E-2</c:v>
                </c:pt>
                <c:pt idx="1">
                  <c:v>4.6116697848456546E-2</c:v>
                </c:pt>
                <c:pt idx="2">
                  <c:v>0</c:v>
                </c:pt>
                <c:pt idx="3">
                  <c:v>0</c:v>
                </c:pt>
                <c:pt idx="4">
                  <c:v>0</c:v>
                </c:pt>
                <c:pt idx="5">
                  <c:v>0</c:v>
                </c:pt>
                <c:pt idx="6">
                  <c:v>0</c:v>
                </c:pt>
                <c:pt idx="7">
                  <c:v>0</c:v>
                </c:pt>
                <c:pt idx="8">
                  <c:v>0</c:v>
                </c:pt>
                <c:pt idx="9">
                  <c:v>0</c:v>
                </c:pt>
                <c:pt idx="10">
                  <c:v>0</c:v>
                </c:pt>
                <c:pt idx="11">
                  <c:v>0</c:v>
                </c:pt>
              </c:numCache>
            </c:numRef>
          </c:val>
        </c:ser>
        <c:marker val="1"/>
        <c:axId val="69356544"/>
        <c:axId val="69362816"/>
      </c:lineChart>
      <c:catAx>
        <c:axId val="69356544"/>
        <c:scaling>
          <c:orientation val="minMax"/>
        </c:scaling>
        <c:axPos val="b"/>
        <c:title>
          <c:tx>
            <c:rich>
              <a:bodyPr/>
              <a:lstStyle/>
              <a:p>
                <a:pPr>
                  <a:defRPr/>
                </a:pPr>
                <a:r>
                  <a:rPr lang="en-US"/>
                  <a:t>Month</a:t>
                </a:r>
              </a:p>
            </c:rich>
          </c:tx>
          <c:layout>
            <c:manualLayout>
              <c:xMode val="edge"/>
              <c:yMode val="edge"/>
              <c:x val="0.45207509598490442"/>
              <c:y val="0.9097766693754028"/>
            </c:manualLayout>
          </c:layout>
        </c:title>
        <c:numFmt formatCode="General" sourceLinked="1"/>
        <c:tickLblPos val="nextTo"/>
        <c:txPr>
          <a:bodyPr rot="-2700000" vert="horz"/>
          <a:lstStyle/>
          <a:p>
            <a:pPr>
              <a:defRPr/>
            </a:pPr>
            <a:endParaRPr lang="en-US"/>
          </a:p>
        </c:txPr>
        <c:crossAx val="69362816"/>
        <c:crosses val="autoZero"/>
        <c:auto val="1"/>
        <c:lblAlgn val="ctr"/>
        <c:lblOffset val="100"/>
        <c:tickLblSkip val="1"/>
        <c:tickMarkSkip val="1"/>
      </c:catAx>
      <c:valAx>
        <c:axId val="69362816"/>
        <c:scaling>
          <c:orientation val="minMax"/>
        </c:scaling>
        <c:axPos val="l"/>
        <c:majorGridlines/>
        <c:title>
          <c:tx>
            <c:rich>
              <a:bodyPr/>
              <a:lstStyle/>
              <a:p>
                <a:pPr>
                  <a:defRPr/>
                </a:pPr>
                <a:r>
                  <a:rPr lang="en-US"/>
                  <a:t>Energy Cost per Square Foot ($/ft^2)</a:t>
                </a:r>
              </a:p>
            </c:rich>
          </c:tx>
          <c:layout>
            <c:manualLayout>
              <c:xMode val="edge"/>
              <c:yMode val="edge"/>
              <c:x val="2.2889828854037876E-2"/>
              <c:y val="0.20802056771373317"/>
            </c:manualLayout>
          </c:layout>
        </c:title>
        <c:numFmt formatCode="&quot;$&quot;#,##0.00_);[Red]\(&quot;$&quot;#,##0.00\)" sourceLinked="1"/>
        <c:tickLblPos val="nextTo"/>
        <c:txPr>
          <a:bodyPr rot="0" vert="horz"/>
          <a:lstStyle/>
          <a:p>
            <a:pPr>
              <a:defRPr/>
            </a:pPr>
            <a:endParaRPr lang="en-US"/>
          </a:p>
        </c:txPr>
        <c:crossAx val="69356544"/>
        <c:crosses val="autoZero"/>
        <c:crossBetween val="between"/>
      </c:valAx>
    </c:plotArea>
    <c:legend>
      <c:legendPos val="r"/>
      <c:layout>
        <c:manualLayout>
          <c:xMode val="edge"/>
          <c:yMode val="edge"/>
          <c:x val="0.85625774473358163"/>
          <c:y val="0.18907234851784543"/>
          <c:w val="0.13786516853932604"/>
          <c:h val="0.55968822854578049"/>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Southgate Modular Electric Use </a:t>
            </a:r>
          </a:p>
        </c:rich>
      </c:tx>
      <c:layout>
        <c:manualLayout>
          <c:xMode val="edge"/>
          <c:yMode val="edge"/>
          <c:x val="0.30097137810245428"/>
          <c:y val="3.4482589676290462E-2"/>
        </c:manualLayout>
      </c:layout>
    </c:title>
    <c:plotArea>
      <c:layout>
        <c:manualLayout>
          <c:layoutTarget val="inner"/>
          <c:xMode val="edge"/>
          <c:yMode val="edge"/>
          <c:x val="0.14258558442103991"/>
          <c:y val="0.2058900681758157"/>
          <c:w val="0.70789874823339416"/>
          <c:h val="0.45788677353363832"/>
        </c:manualLayout>
      </c:layout>
      <c:lineChart>
        <c:grouping val="standard"/>
        <c:ser>
          <c:idx val="0"/>
          <c:order val="0"/>
          <c:tx>
            <c:v>2008-2009</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Modular'!$M$10:$M$21</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v>2009-2010</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Modular'!$M$22:$M$33</c:f>
              <c:numCache>
                <c:formatCode>#,##0</c:formatCode>
                <c:ptCount val="12"/>
                <c:pt idx="0">
                  <c:v>0</c:v>
                </c:pt>
                <c:pt idx="1">
                  <c:v>0</c:v>
                </c:pt>
                <c:pt idx="2">
                  <c:v>0</c:v>
                </c:pt>
                <c:pt idx="3">
                  <c:v>0</c:v>
                </c:pt>
                <c:pt idx="4">
                  <c:v>1372</c:v>
                </c:pt>
                <c:pt idx="5">
                  <c:v>3338</c:v>
                </c:pt>
                <c:pt idx="6">
                  <c:v>3092</c:v>
                </c:pt>
                <c:pt idx="7">
                  <c:v>3121</c:v>
                </c:pt>
                <c:pt idx="8">
                  <c:v>1525</c:v>
                </c:pt>
                <c:pt idx="9">
                  <c:v>540</c:v>
                </c:pt>
                <c:pt idx="10">
                  <c:v>694</c:v>
                </c:pt>
                <c:pt idx="11">
                  <c:v>492</c:v>
                </c:pt>
              </c:numCache>
            </c:numRef>
          </c:val>
        </c:ser>
        <c:ser>
          <c:idx val="2"/>
          <c:order val="2"/>
          <c:tx>
            <c:v>2010-2011</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Modular'!$M$34:$M$45</c:f>
              <c:numCache>
                <c:formatCode>#,##0</c:formatCode>
                <c:ptCount val="12"/>
                <c:pt idx="0">
                  <c:v>588</c:v>
                </c:pt>
                <c:pt idx="1">
                  <c:v>925</c:v>
                </c:pt>
                <c:pt idx="2">
                  <c:v>854</c:v>
                </c:pt>
                <c:pt idx="3">
                  <c:v>1095</c:v>
                </c:pt>
                <c:pt idx="4">
                  <c:v>1747</c:v>
                </c:pt>
                <c:pt idx="5">
                  <c:v>3644</c:v>
                </c:pt>
                <c:pt idx="6">
                  <c:v>3235</c:v>
                </c:pt>
                <c:pt idx="7">
                  <c:v>2319</c:v>
                </c:pt>
                <c:pt idx="8">
                  <c:v>1975</c:v>
                </c:pt>
                <c:pt idx="9">
                  <c:v>1087</c:v>
                </c:pt>
                <c:pt idx="10">
                  <c:v>1217</c:v>
                </c:pt>
                <c:pt idx="11">
                  <c:v>983</c:v>
                </c:pt>
              </c:numCache>
            </c:numRef>
          </c:val>
        </c:ser>
        <c:ser>
          <c:idx val="3"/>
          <c:order val="3"/>
          <c:tx>
            <c:v>2011-2012</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Modular'!$M$46:$M$57</c:f>
              <c:numCache>
                <c:formatCode>#,##0</c:formatCode>
                <c:ptCount val="12"/>
                <c:pt idx="0">
                  <c:v>2150</c:v>
                </c:pt>
                <c:pt idx="1">
                  <c:v>2252</c:v>
                </c:pt>
                <c:pt idx="2">
                  <c:v>1784</c:v>
                </c:pt>
                <c:pt idx="3">
                  <c:v>1901</c:v>
                </c:pt>
                <c:pt idx="4">
                  <c:v>1943</c:v>
                </c:pt>
                <c:pt idx="5">
                  <c:v>2228</c:v>
                </c:pt>
                <c:pt idx="6">
                  <c:v>2235</c:v>
                </c:pt>
                <c:pt idx="7">
                  <c:v>1962</c:v>
                </c:pt>
                <c:pt idx="8">
                  <c:v>1199</c:v>
                </c:pt>
                <c:pt idx="9">
                  <c:v>799</c:v>
                </c:pt>
                <c:pt idx="10">
                  <c:v>861</c:v>
                </c:pt>
                <c:pt idx="11">
                  <c:v>572</c:v>
                </c:pt>
              </c:numCache>
            </c:numRef>
          </c:val>
        </c:ser>
        <c:ser>
          <c:idx val="4"/>
          <c:order val="4"/>
          <c:tx>
            <c:v>2012-2013</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Modular'!$M$58:$M$69</c:f>
              <c:numCache>
                <c:formatCode>#,##0</c:formatCode>
                <c:ptCount val="12"/>
                <c:pt idx="0">
                  <c:v>1001</c:v>
                </c:pt>
                <c:pt idx="1">
                  <c:v>1080</c:v>
                </c:pt>
                <c:pt idx="2">
                  <c:v>0</c:v>
                </c:pt>
                <c:pt idx="3">
                  <c:v>0</c:v>
                </c:pt>
                <c:pt idx="4">
                  <c:v>0</c:v>
                </c:pt>
                <c:pt idx="5">
                  <c:v>0</c:v>
                </c:pt>
                <c:pt idx="6">
                  <c:v>0</c:v>
                </c:pt>
                <c:pt idx="7">
                  <c:v>0</c:v>
                </c:pt>
                <c:pt idx="8">
                  <c:v>0</c:v>
                </c:pt>
                <c:pt idx="9">
                  <c:v>0</c:v>
                </c:pt>
                <c:pt idx="10">
                  <c:v>0</c:v>
                </c:pt>
                <c:pt idx="11">
                  <c:v>0</c:v>
                </c:pt>
              </c:numCache>
            </c:numRef>
          </c:val>
        </c:ser>
        <c:marker val="1"/>
        <c:axId val="69407104"/>
        <c:axId val="69409024"/>
      </c:lineChart>
      <c:catAx>
        <c:axId val="69407104"/>
        <c:scaling>
          <c:orientation val="minMax"/>
        </c:scaling>
        <c:axPos val="b"/>
        <c:title>
          <c:tx>
            <c:rich>
              <a:bodyPr/>
              <a:lstStyle/>
              <a:p>
                <a:pPr>
                  <a:defRPr/>
                </a:pPr>
                <a:r>
                  <a:rPr lang="en-US"/>
                  <a:t>Month</a:t>
                </a:r>
              </a:p>
            </c:rich>
          </c:tx>
          <c:layout>
            <c:manualLayout>
              <c:xMode val="edge"/>
              <c:yMode val="edge"/>
              <c:x val="0.44013023562168779"/>
              <c:y val="0.88087909011373799"/>
            </c:manualLayout>
          </c:layout>
        </c:title>
        <c:numFmt formatCode="General" sourceLinked="1"/>
        <c:tickLblPos val="nextTo"/>
        <c:txPr>
          <a:bodyPr rot="-2700000" vert="horz"/>
          <a:lstStyle/>
          <a:p>
            <a:pPr>
              <a:defRPr/>
            </a:pPr>
            <a:endParaRPr lang="en-US"/>
          </a:p>
        </c:txPr>
        <c:crossAx val="69409024"/>
        <c:crosses val="autoZero"/>
        <c:auto val="1"/>
        <c:lblAlgn val="ctr"/>
        <c:lblOffset val="100"/>
        <c:tickLblSkip val="1"/>
        <c:tickMarkSkip val="1"/>
      </c:catAx>
      <c:valAx>
        <c:axId val="69409024"/>
        <c:scaling>
          <c:orientation val="minMax"/>
        </c:scaling>
        <c:axPos val="l"/>
        <c:majorGridlines/>
        <c:title>
          <c:tx>
            <c:rich>
              <a:bodyPr/>
              <a:lstStyle/>
              <a:p>
                <a:pPr>
                  <a:defRPr/>
                </a:pPr>
                <a:r>
                  <a:rPr lang="en-US"/>
                  <a:t>Electric Use (kWh)</a:t>
                </a:r>
              </a:p>
            </c:rich>
          </c:tx>
          <c:layout>
            <c:manualLayout>
              <c:xMode val="edge"/>
              <c:yMode val="edge"/>
              <c:x val="2.5889864728447412E-2"/>
              <c:y val="0.16805853361564591"/>
            </c:manualLayout>
          </c:layout>
        </c:title>
        <c:numFmt formatCode="#,##0" sourceLinked="1"/>
        <c:tickLblPos val="nextTo"/>
        <c:txPr>
          <a:bodyPr rot="0" vert="horz"/>
          <a:lstStyle/>
          <a:p>
            <a:pPr>
              <a:defRPr/>
            </a:pPr>
            <a:endParaRPr lang="en-US"/>
          </a:p>
        </c:txPr>
        <c:crossAx val="69407104"/>
        <c:crosses val="autoZero"/>
        <c:crossBetween val="between"/>
      </c:valAx>
    </c:plotArea>
    <c:legend>
      <c:legendPos val="r"/>
      <c:layout>
        <c:manualLayout>
          <c:xMode val="edge"/>
          <c:yMode val="edge"/>
          <c:x val="0.86933020391681814"/>
          <c:y val="0.11686042087263257"/>
          <c:w val="0.11374275782155283"/>
          <c:h val="0.72985187539448493"/>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Southgate Modular Electric Cost </a:t>
            </a:r>
          </a:p>
        </c:rich>
      </c:tx>
      <c:layout>
        <c:manualLayout>
          <c:xMode val="edge"/>
          <c:yMode val="edge"/>
          <c:x val="0.29725376433209116"/>
          <c:y val="3.4374956449027952E-2"/>
        </c:manualLayout>
      </c:layout>
    </c:title>
    <c:plotArea>
      <c:layout>
        <c:manualLayout>
          <c:layoutTarget val="inner"/>
          <c:xMode val="edge"/>
          <c:yMode val="edge"/>
          <c:x val="0.16959072398437688"/>
          <c:y val="0.22566420436991058"/>
          <c:w val="0.64327515994073992"/>
          <c:h val="0.48267668277931053"/>
        </c:manualLayout>
      </c:layout>
      <c:lineChart>
        <c:grouping val="standard"/>
        <c:ser>
          <c:idx val="0"/>
          <c:order val="0"/>
          <c:tx>
            <c:v>2008-2009</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Modular'!$S$10:$S$21</c:f>
              <c:numCache>
                <c:formatCode>"$"#,##0.00_);[Red]\("$"#,##0.00\)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v>2009-2010</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Modular'!$S$22:$S$33</c:f>
              <c:numCache>
                <c:formatCode>"$"#,##0.00_);[Red]\("$"#,##0.00\)</c:formatCode>
                <c:ptCount val="12"/>
                <c:pt idx="0">
                  <c:v>0</c:v>
                </c:pt>
                <c:pt idx="1">
                  <c:v>0</c:v>
                </c:pt>
                <c:pt idx="2">
                  <c:v>0</c:v>
                </c:pt>
                <c:pt idx="3">
                  <c:v>0</c:v>
                </c:pt>
                <c:pt idx="4">
                  <c:v>160.38000000000005</c:v>
                </c:pt>
                <c:pt idx="5">
                  <c:v>338.77</c:v>
                </c:pt>
                <c:pt idx="6">
                  <c:v>324.32</c:v>
                </c:pt>
                <c:pt idx="7">
                  <c:v>315.67</c:v>
                </c:pt>
                <c:pt idx="8">
                  <c:v>157.18</c:v>
                </c:pt>
                <c:pt idx="9">
                  <c:v>115.3</c:v>
                </c:pt>
                <c:pt idx="10">
                  <c:v>122.77</c:v>
                </c:pt>
                <c:pt idx="11">
                  <c:v>107.25</c:v>
                </c:pt>
              </c:numCache>
            </c:numRef>
          </c:val>
        </c:ser>
        <c:ser>
          <c:idx val="2"/>
          <c:order val="2"/>
          <c:tx>
            <c:v>2010-2011</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Modular'!$S$34:$S$45</c:f>
              <c:numCache>
                <c:formatCode>"$"#,##0.00_);[Red]\("$"#,##0.00\)</c:formatCode>
                <c:ptCount val="12"/>
                <c:pt idx="0">
                  <c:v>198.43</c:v>
                </c:pt>
                <c:pt idx="1">
                  <c:v>120.66</c:v>
                </c:pt>
                <c:pt idx="2">
                  <c:v>112.01</c:v>
                </c:pt>
                <c:pt idx="3">
                  <c:v>160.25</c:v>
                </c:pt>
                <c:pt idx="4">
                  <c:v>330</c:v>
                </c:pt>
                <c:pt idx="5">
                  <c:v>238.66</c:v>
                </c:pt>
                <c:pt idx="6">
                  <c:v>234.23999999999998</c:v>
                </c:pt>
                <c:pt idx="7">
                  <c:v>164.72</c:v>
                </c:pt>
                <c:pt idx="8">
                  <c:v>135.09</c:v>
                </c:pt>
                <c:pt idx="9">
                  <c:v>78.260000000000005</c:v>
                </c:pt>
                <c:pt idx="10">
                  <c:v>143.52000000000001</c:v>
                </c:pt>
                <c:pt idx="11">
                  <c:v>86.4</c:v>
                </c:pt>
              </c:numCache>
            </c:numRef>
          </c:val>
        </c:ser>
        <c:ser>
          <c:idx val="3"/>
          <c:order val="3"/>
          <c:tx>
            <c:v>2011-2012</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Modular'!$S$46:$S$57</c:f>
              <c:numCache>
                <c:formatCode>"$"#,##0.00_);[Red]\("$"#,##0.00\)</c:formatCode>
                <c:ptCount val="12"/>
                <c:pt idx="0">
                  <c:v>180.35000000000005</c:v>
                </c:pt>
                <c:pt idx="1">
                  <c:v>207.44</c:v>
                </c:pt>
                <c:pt idx="2">
                  <c:v>127.86999999999999</c:v>
                </c:pt>
                <c:pt idx="3">
                  <c:v>136.41999999999999</c:v>
                </c:pt>
                <c:pt idx="4">
                  <c:v>140.31</c:v>
                </c:pt>
                <c:pt idx="5">
                  <c:v>157.72</c:v>
                </c:pt>
                <c:pt idx="6">
                  <c:v>159.86000000000001</c:v>
                </c:pt>
                <c:pt idx="7">
                  <c:v>141.91999999999999</c:v>
                </c:pt>
                <c:pt idx="8">
                  <c:v>87.35</c:v>
                </c:pt>
                <c:pt idx="9">
                  <c:v>64.86999999999999</c:v>
                </c:pt>
                <c:pt idx="10">
                  <c:v>85.240000000000023</c:v>
                </c:pt>
                <c:pt idx="11">
                  <c:v>59.01</c:v>
                </c:pt>
              </c:numCache>
            </c:numRef>
          </c:val>
        </c:ser>
        <c:ser>
          <c:idx val="4"/>
          <c:order val="4"/>
          <c:tx>
            <c:v>2012-2013</c:v>
          </c:tx>
          <c:marker>
            <c:symbol val="none"/>
          </c:marker>
          <c:cat>
            <c:strRef>
              <c:f>'Southgate Modular'!$J$58:$J$69</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'Southgate Modular'!$O$58:$O$69</c:f>
              <c:numCache>
                <c:formatCode>"$"#,##0.00_);[Red]\("$"#,##0.00\)</c:formatCode>
                <c:ptCount val="12"/>
                <c:pt idx="0">
                  <c:v>94.73</c:v>
                </c:pt>
                <c:pt idx="1">
                  <c:v>102.66999999999999</c:v>
                </c:pt>
                <c:pt idx="2">
                  <c:v>0</c:v>
                </c:pt>
                <c:pt idx="3">
                  <c:v>0</c:v>
                </c:pt>
                <c:pt idx="4">
                  <c:v>0</c:v>
                </c:pt>
                <c:pt idx="5">
                  <c:v>0</c:v>
                </c:pt>
                <c:pt idx="6">
                  <c:v>0</c:v>
                </c:pt>
                <c:pt idx="7">
                  <c:v>0</c:v>
                </c:pt>
                <c:pt idx="8">
                  <c:v>0</c:v>
                </c:pt>
                <c:pt idx="9">
                  <c:v>0</c:v>
                </c:pt>
                <c:pt idx="10">
                  <c:v>0</c:v>
                </c:pt>
                <c:pt idx="11">
                  <c:v>0</c:v>
                </c:pt>
              </c:numCache>
            </c:numRef>
          </c:val>
        </c:ser>
        <c:marker val="1"/>
        <c:axId val="69453312"/>
        <c:axId val="69455232"/>
      </c:lineChart>
      <c:catAx>
        <c:axId val="69453312"/>
        <c:scaling>
          <c:orientation val="minMax"/>
        </c:scaling>
        <c:axPos val="b"/>
        <c:title>
          <c:tx>
            <c:rich>
              <a:bodyPr/>
              <a:lstStyle/>
              <a:p>
                <a:pPr>
                  <a:defRPr/>
                </a:pPr>
                <a:r>
                  <a:rPr lang="en-US"/>
                  <a:t>Month</a:t>
                </a:r>
              </a:p>
            </c:rich>
          </c:tx>
          <c:layout>
            <c:manualLayout>
              <c:xMode val="edge"/>
              <c:yMode val="edge"/>
              <c:x val="0.45395834292643245"/>
              <c:y val="0.88125008710194153"/>
            </c:manualLayout>
          </c:layout>
        </c:title>
        <c:numFmt formatCode="General" sourceLinked="1"/>
        <c:tickLblPos val="nextTo"/>
        <c:txPr>
          <a:bodyPr rot="-2700000" vert="horz"/>
          <a:lstStyle/>
          <a:p>
            <a:pPr>
              <a:defRPr/>
            </a:pPr>
            <a:endParaRPr lang="en-US"/>
          </a:p>
        </c:txPr>
        <c:crossAx val="69455232"/>
        <c:crosses val="autoZero"/>
        <c:auto val="1"/>
        <c:lblAlgn val="ctr"/>
        <c:lblOffset val="100"/>
        <c:tickLblSkip val="1"/>
        <c:tickMarkSkip val="1"/>
      </c:catAx>
      <c:valAx>
        <c:axId val="69455232"/>
        <c:scaling>
          <c:orientation val="minMax"/>
        </c:scaling>
        <c:axPos val="l"/>
        <c:majorGridlines/>
        <c:title>
          <c:tx>
            <c:rich>
              <a:bodyPr/>
              <a:lstStyle/>
              <a:p>
                <a:pPr>
                  <a:defRPr/>
                </a:pPr>
                <a:r>
                  <a:rPr lang="en-US"/>
                  <a:t>Electric Cost ($)</a:t>
                </a:r>
              </a:p>
            </c:rich>
          </c:tx>
          <c:layout>
            <c:manualLayout>
              <c:xMode val="edge"/>
              <c:yMode val="edge"/>
              <c:x val="2.5848106705960012E-2"/>
              <c:y val="0.2781248693470863"/>
            </c:manualLayout>
          </c:layout>
        </c:title>
        <c:numFmt formatCode="&quot;$&quot;#,##0.00_);[Red]\(&quot;$&quot;#,##0.00\)" sourceLinked="1"/>
        <c:tickLblPos val="nextTo"/>
        <c:txPr>
          <a:bodyPr rot="0" vert="horz"/>
          <a:lstStyle/>
          <a:p>
            <a:pPr>
              <a:defRPr/>
            </a:pPr>
            <a:endParaRPr lang="en-US"/>
          </a:p>
        </c:txPr>
        <c:crossAx val="69453312"/>
        <c:crosses val="autoZero"/>
        <c:crossBetween val="between"/>
      </c:valAx>
    </c:plotArea>
    <c:legend>
      <c:legendPos val="r"/>
      <c:layout>
        <c:manualLayout>
          <c:xMode val="edge"/>
          <c:yMode val="edge"/>
          <c:x val="0.81685338528981977"/>
          <c:y val="0.22680253834460667"/>
          <c:w val="0.16153592978606693"/>
          <c:h val="0.4266172295368084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Wright</dc:creator>
  <cp:keywords/>
  <dc:description/>
  <cp:lastModifiedBy>jpalm</cp:lastModifiedBy>
  <cp:revision>2</cp:revision>
  <dcterms:created xsi:type="dcterms:W3CDTF">2012-09-05T13:02:00Z</dcterms:created>
  <dcterms:modified xsi:type="dcterms:W3CDTF">2012-09-05T13:02:00Z</dcterms:modified>
</cp:coreProperties>
</file>