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E9" w:rsidRDefault="00086146" w:rsidP="00177976">
      <w:pPr>
        <w:jc w:val="center"/>
        <w:rPr>
          <w:b/>
          <w:sz w:val="36"/>
          <w:szCs w:val="36"/>
          <w:u w:val="single"/>
        </w:rPr>
      </w:pPr>
      <w:r>
        <w:rPr>
          <w:b/>
          <w:sz w:val="36"/>
          <w:szCs w:val="36"/>
          <w:u w:val="single"/>
        </w:rPr>
        <w:t xml:space="preserve">District </w:t>
      </w:r>
      <w:r w:rsidR="00177976" w:rsidRPr="00177976">
        <w:rPr>
          <w:b/>
          <w:sz w:val="36"/>
          <w:szCs w:val="36"/>
          <w:u w:val="single"/>
        </w:rPr>
        <w:t>Title I Action Plan for March 27, 2012 Monitoring Visit</w:t>
      </w:r>
    </w:p>
    <w:p w:rsidR="00177976" w:rsidRDefault="00177976" w:rsidP="00177976">
      <w:pPr>
        <w:jc w:val="center"/>
        <w:rPr>
          <w:b/>
          <w:sz w:val="36"/>
          <w:szCs w:val="36"/>
          <w:u w:val="single"/>
        </w:rPr>
      </w:pPr>
    </w:p>
    <w:tbl>
      <w:tblPr>
        <w:tblStyle w:val="TableGrid"/>
        <w:tblW w:w="13176" w:type="dxa"/>
        <w:tblLook w:val="04A0"/>
      </w:tblPr>
      <w:tblGrid>
        <w:gridCol w:w="6588"/>
        <w:gridCol w:w="6588"/>
      </w:tblGrid>
      <w:tr w:rsidR="00177976" w:rsidTr="00177976">
        <w:tc>
          <w:tcPr>
            <w:tcW w:w="6588" w:type="dxa"/>
          </w:tcPr>
          <w:p w:rsidR="00177976" w:rsidRDefault="00177976" w:rsidP="00177976">
            <w:pPr>
              <w:jc w:val="center"/>
              <w:rPr>
                <w:b/>
                <w:sz w:val="36"/>
                <w:szCs w:val="36"/>
                <w:u w:val="single"/>
              </w:rPr>
            </w:pPr>
            <w:r>
              <w:rPr>
                <w:b/>
                <w:sz w:val="36"/>
                <w:szCs w:val="36"/>
                <w:u w:val="single"/>
              </w:rPr>
              <w:t xml:space="preserve">Finding </w:t>
            </w:r>
          </w:p>
        </w:tc>
        <w:tc>
          <w:tcPr>
            <w:tcW w:w="6588" w:type="dxa"/>
          </w:tcPr>
          <w:p w:rsidR="00177976" w:rsidRDefault="00177976" w:rsidP="00177976">
            <w:pPr>
              <w:jc w:val="center"/>
              <w:rPr>
                <w:b/>
                <w:sz w:val="36"/>
                <w:szCs w:val="36"/>
                <w:u w:val="single"/>
              </w:rPr>
            </w:pPr>
            <w:r>
              <w:rPr>
                <w:b/>
                <w:sz w:val="36"/>
                <w:szCs w:val="36"/>
                <w:u w:val="single"/>
              </w:rPr>
              <w:t>Action Needed to Address Findings</w:t>
            </w:r>
          </w:p>
        </w:tc>
      </w:tr>
      <w:tr w:rsidR="00177976" w:rsidTr="00177976">
        <w:trPr>
          <w:trHeight w:val="1156"/>
        </w:trPr>
        <w:tc>
          <w:tcPr>
            <w:tcW w:w="6588" w:type="dxa"/>
          </w:tcPr>
          <w:p w:rsidR="00177976" w:rsidRPr="00177976" w:rsidRDefault="00177976" w:rsidP="00177976">
            <w:pPr>
              <w:rPr>
                <w:sz w:val="24"/>
                <w:szCs w:val="24"/>
              </w:rPr>
            </w:pPr>
            <w:r>
              <w:rPr>
                <w:sz w:val="24"/>
                <w:szCs w:val="24"/>
              </w:rPr>
              <w:t>Enrollment numbers from May 5 were not accurately reported on the ranking report.</w:t>
            </w:r>
          </w:p>
        </w:tc>
        <w:tc>
          <w:tcPr>
            <w:tcW w:w="6588" w:type="dxa"/>
          </w:tcPr>
          <w:p w:rsidR="00177976" w:rsidRPr="00177976" w:rsidRDefault="00177976" w:rsidP="00177976">
            <w:pPr>
              <w:rPr>
                <w:sz w:val="24"/>
                <w:szCs w:val="24"/>
              </w:rPr>
            </w:pPr>
            <w:r>
              <w:rPr>
                <w:sz w:val="24"/>
                <w:szCs w:val="24"/>
              </w:rPr>
              <w:t>A revised ranking report was submitted to KDE on April 13, 2012.</w:t>
            </w:r>
          </w:p>
        </w:tc>
      </w:tr>
      <w:tr w:rsidR="00177976" w:rsidTr="00177976">
        <w:trPr>
          <w:trHeight w:val="1106"/>
        </w:trPr>
        <w:tc>
          <w:tcPr>
            <w:tcW w:w="6588" w:type="dxa"/>
          </w:tcPr>
          <w:p w:rsidR="00177976" w:rsidRPr="00177976" w:rsidRDefault="00177976" w:rsidP="00177976">
            <w:pPr>
              <w:rPr>
                <w:sz w:val="24"/>
                <w:szCs w:val="24"/>
              </w:rPr>
            </w:pPr>
            <w:r>
              <w:rPr>
                <w:sz w:val="24"/>
                <w:szCs w:val="24"/>
              </w:rPr>
              <w:t xml:space="preserve">McKinney-Vento funds are not tracked under an easily identifiable code, such as welfare spending.  </w:t>
            </w:r>
          </w:p>
        </w:tc>
        <w:tc>
          <w:tcPr>
            <w:tcW w:w="6588" w:type="dxa"/>
          </w:tcPr>
          <w:p w:rsidR="00177976" w:rsidRPr="00177976" w:rsidRDefault="00177976" w:rsidP="00177976">
            <w:pPr>
              <w:rPr>
                <w:sz w:val="24"/>
                <w:szCs w:val="24"/>
              </w:rPr>
            </w:pPr>
            <w:r>
              <w:rPr>
                <w:sz w:val="24"/>
                <w:szCs w:val="24"/>
              </w:rPr>
              <w:t>District bookkeeper, Tina Moore, submitted a MUNIS report to KDE stating where the code is located on May 2, 2012.</w:t>
            </w:r>
          </w:p>
        </w:tc>
      </w:tr>
      <w:tr w:rsidR="00177976" w:rsidTr="00177976">
        <w:trPr>
          <w:trHeight w:val="1156"/>
        </w:trPr>
        <w:tc>
          <w:tcPr>
            <w:tcW w:w="6588" w:type="dxa"/>
          </w:tcPr>
          <w:p w:rsidR="00177976" w:rsidRPr="00086146" w:rsidRDefault="00086146" w:rsidP="00086146">
            <w:pPr>
              <w:rPr>
                <w:sz w:val="24"/>
                <w:szCs w:val="24"/>
              </w:rPr>
            </w:pPr>
            <w:r>
              <w:rPr>
                <w:sz w:val="24"/>
                <w:szCs w:val="24"/>
              </w:rPr>
              <w:t>All district parents are not notified that they have the right to request the qualifications of their child’s teacher.</w:t>
            </w:r>
          </w:p>
        </w:tc>
        <w:tc>
          <w:tcPr>
            <w:tcW w:w="6588" w:type="dxa"/>
          </w:tcPr>
          <w:p w:rsidR="00177976" w:rsidRPr="00086146" w:rsidRDefault="00086146" w:rsidP="00086146">
            <w:pPr>
              <w:rPr>
                <w:sz w:val="24"/>
                <w:szCs w:val="24"/>
              </w:rPr>
            </w:pPr>
            <w:r>
              <w:rPr>
                <w:sz w:val="24"/>
                <w:szCs w:val="24"/>
              </w:rPr>
              <w:t>A letter was sent to all district parents to notify parents of their rights to request the qualifications of their child’s teacher.   Prior to the monitoring visit, this notification was on the district website homepage.  The letter was sent April 10, 2012.</w:t>
            </w:r>
          </w:p>
        </w:tc>
      </w:tr>
      <w:tr w:rsidR="00177976" w:rsidTr="00177976">
        <w:trPr>
          <w:trHeight w:val="1106"/>
        </w:trPr>
        <w:tc>
          <w:tcPr>
            <w:tcW w:w="6588" w:type="dxa"/>
          </w:tcPr>
          <w:p w:rsidR="00177976" w:rsidRDefault="00177976" w:rsidP="00177976">
            <w:pPr>
              <w:jc w:val="center"/>
              <w:rPr>
                <w:b/>
                <w:sz w:val="28"/>
                <w:szCs w:val="28"/>
                <w:u w:val="single"/>
              </w:rPr>
            </w:pPr>
          </w:p>
        </w:tc>
        <w:tc>
          <w:tcPr>
            <w:tcW w:w="6588" w:type="dxa"/>
          </w:tcPr>
          <w:p w:rsidR="00177976" w:rsidRDefault="00177976" w:rsidP="00177976">
            <w:pPr>
              <w:jc w:val="center"/>
              <w:rPr>
                <w:b/>
                <w:sz w:val="28"/>
                <w:szCs w:val="28"/>
                <w:u w:val="single"/>
              </w:rPr>
            </w:pPr>
          </w:p>
        </w:tc>
      </w:tr>
      <w:tr w:rsidR="00177976" w:rsidTr="00177976">
        <w:trPr>
          <w:trHeight w:val="1156"/>
        </w:trPr>
        <w:tc>
          <w:tcPr>
            <w:tcW w:w="6588" w:type="dxa"/>
          </w:tcPr>
          <w:p w:rsidR="00177976" w:rsidRDefault="00177976" w:rsidP="00177976">
            <w:pPr>
              <w:jc w:val="center"/>
              <w:rPr>
                <w:b/>
                <w:sz w:val="28"/>
                <w:szCs w:val="28"/>
                <w:u w:val="single"/>
              </w:rPr>
            </w:pPr>
          </w:p>
        </w:tc>
        <w:tc>
          <w:tcPr>
            <w:tcW w:w="6588" w:type="dxa"/>
          </w:tcPr>
          <w:p w:rsidR="00177976" w:rsidRDefault="00177976" w:rsidP="00177976">
            <w:pPr>
              <w:jc w:val="center"/>
              <w:rPr>
                <w:b/>
                <w:sz w:val="28"/>
                <w:szCs w:val="28"/>
                <w:u w:val="single"/>
              </w:rPr>
            </w:pPr>
          </w:p>
        </w:tc>
      </w:tr>
      <w:tr w:rsidR="00177976" w:rsidTr="00177976">
        <w:trPr>
          <w:trHeight w:val="1156"/>
        </w:trPr>
        <w:tc>
          <w:tcPr>
            <w:tcW w:w="6588" w:type="dxa"/>
          </w:tcPr>
          <w:p w:rsidR="00177976" w:rsidRDefault="00177976" w:rsidP="00177976">
            <w:pPr>
              <w:jc w:val="center"/>
              <w:rPr>
                <w:b/>
                <w:sz w:val="28"/>
                <w:szCs w:val="28"/>
                <w:u w:val="single"/>
              </w:rPr>
            </w:pPr>
          </w:p>
        </w:tc>
        <w:tc>
          <w:tcPr>
            <w:tcW w:w="6588" w:type="dxa"/>
          </w:tcPr>
          <w:p w:rsidR="00177976" w:rsidRDefault="00177976" w:rsidP="00177976">
            <w:pPr>
              <w:jc w:val="center"/>
              <w:rPr>
                <w:b/>
                <w:sz w:val="28"/>
                <w:szCs w:val="28"/>
                <w:u w:val="single"/>
              </w:rPr>
            </w:pPr>
          </w:p>
        </w:tc>
      </w:tr>
    </w:tbl>
    <w:p w:rsidR="00177976" w:rsidRPr="00177976" w:rsidRDefault="00177976" w:rsidP="00177976">
      <w:pPr>
        <w:jc w:val="center"/>
        <w:rPr>
          <w:b/>
          <w:sz w:val="28"/>
          <w:szCs w:val="28"/>
          <w:u w:val="single"/>
        </w:rPr>
      </w:pPr>
    </w:p>
    <w:sectPr w:rsidR="00177976" w:rsidRPr="00177976" w:rsidSect="00177976">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77976"/>
    <w:rsid w:val="00086146"/>
    <w:rsid w:val="00177976"/>
    <w:rsid w:val="001846E9"/>
    <w:rsid w:val="00396B11"/>
    <w:rsid w:val="00606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County Schools</dc:creator>
  <cp:keywords/>
  <dc:description/>
  <cp:lastModifiedBy>Henderson County Schools</cp:lastModifiedBy>
  <cp:revision>1</cp:revision>
  <dcterms:created xsi:type="dcterms:W3CDTF">2012-05-03T19:55:00Z</dcterms:created>
  <dcterms:modified xsi:type="dcterms:W3CDTF">2012-05-03T20:16:00Z</dcterms:modified>
</cp:coreProperties>
</file>