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F7" w:rsidRDefault="00D608F7">
      <w:pPr>
        <w:jc w:val="both"/>
        <w:rPr>
          <w:sz w:val="24"/>
        </w:rPr>
      </w:pPr>
      <w:r>
        <w:rPr>
          <w:sz w:val="24"/>
          <w:u w:val="single"/>
        </w:rPr>
        <w:t>CONCERN</w:t>
      </w:r>
      <w:r>
        <w:rPr>
          <w:sz w:val="24"/>
        </w:rPr>
        <w:t>:</w:t>
      </w:r>
    </w:p>
    <w:p w:rsidR="00D608F7" w:rsidRDefault="00D608F7">
      <w:pPr>
        <w:jc w:val="both"/>
        <w:rPr>
          <w:sz w:val="24"/>
        </w:rPr>
      </w:pPr>
    </w:p>
    <w:p w:rsidR="00D608F7" w:rsidRDefault="00D608F7">
      <w:pPr>
        <w:rPr>
          <w:sz w:val="24"/>
        </w:rPr>
      </w:pPr>
      <w:r>
        <w:rPr>
          <w:sz w:val="24"/>
        </w:rPr>
        <w:t xml:space="preserve">Consider the </w:t>
      </w:r>
      <w:r w:rsidR="00B122AB">
        <w:rPr>
          <w:sz w:val="24"/>
        </w:rPr>
        <w:t>2012-13</w:t>
      </w:r>
      <w:r>
        <w:rPr>
          <w:sz w:val="24"/>
        </w:rPr>
        <w:t xml:space="preserve"> Tentative Budget</w:t>
      </w:r>
    </w:p>
    <w:p w:rsidR="00D608F7" w:rsidRDefault="00D608F7">
      <w:pPr>
        <w:jc w:val="both"/>
        <w:rPr>
          <w:sz w:val="24"/>
        </w:rPr>
      </w:pPr>
    </w:p>
    <w:p w:rsidR="00D608F7" w:rsidRDefault="00D608F7">
      <w:pPr>
        <w:jc w:val="both"/>
        <w:rPr>
          <w:sz w:val="24"/>
        </w:rPr>
      </w:pPr>
      <w:r>
        <w:rPr>
          <w:sz w:val="24"/>
          <w:u w:val="single"/>
        </w:rPr>
        <w:t>DISCUSSION</w:t>
      </w:r>
      <w:r>
        <w:rPr>
          <w:sz w:val="24"/>
        </w:rPr>
        <w:t>:</w:t>
      </w:r>
    </w:p>
    <w:p w:rsidR="00D608F7" w:rsidRDefault="00D608F7">
      <w:pPr>
        <w:jc w:val="both"/>
        <w:rPr>
          <w:sz w:val="24"/>
        </w:rPr>
      </w:pPr>
    </w:p>
    <w:p w:rsidR="00D608F7" w:rsidRDefault="00D608F7">
      <w:pPr>
        <w:rPr>
          <w:sz w:val="24"/>
        </w:rPr>
      </w:pPr>
      <w:r>
        <w:rPr>
          <w:sz w:val="24"/>
        </w:rPr>
        <w:t xml:space="preserve">Each local board of education is required to approve a Tentative Budget on or before </w:t>
      </w:r>
    </w:p>
    <w:p w:rsidR="00D608F7" w:rsidRDefault="00D608F7">
      <w:pPr>
        <w:rPr>
          <w:sz w:val="24"/>
        </w:rPr>
      </w:pPr>
      <w:r>
        <w:rPr>
          <w:sz w:val="24"/>
        </w:rPr>
        <w:t>May 30 each year.  The purpose of this law is to assure that the local board of education has an opportunity to review all proposed revenues and expenses before the upcoming school year begins.  This is the 2</w:t>
      </w:r>
      <w:r>
        <w:rPr>
          <w:sz w:val="24"/>
          <w:vertAlign w:val="superscript"/>
        </w:rPr>
        <w:t>nd</w:t>
      </w:r>
      <w:r>
        <w:rPr>
          <w:sz w:val="24"/>
        </w:rPr>
        <w:t xml:space="preserve"> formal step in developing the </w:t>
      </w:r>
      <w:r w:rsidR="00B122AB">
        <w:rPr>
          <w:sz w:val="24"/>
        </w:rPr>
        <w:t>2012-13</w:t>
      </w:r>
      <w:r>
        <w:rPr>
          <w:sz w:val="24"/>
        </w:rPr>
        <w:t xml:space="preserve"> annual working budget.  </w:t>
      </w:r>
    </w:p>
    <w:p w:rsidR="00A149B7" w:rsidRDefault="00A149B7">
      <w:pPr>
        <w:rPr>
          <w:sz w:val="24"/>
        </w:rPr>
      </w:pPr>
    </w:p>
    <w:p w:rsidR="00D608F7" w:rsidRDefault="00D608F7">
      <w:pPr>
        <w:rPr>
          <w:sz w:val="24"/>
        </w:rPr>
      </w:pPr>
      <w:r>
        <w:rPr>
          <w:sz w:val="24"/>
        </w:rPr>
        <w:t>The 1</w:t>
      </w:r>
      <w:r>
        <w:rPr>
          <w:sz w:val="24"/>
          <w:vertAlign w:val="superscript"/>
        </w:rPr>
        <w:t>st</w:t>
      </w:r>
      <w:r>
        <w:rPr>
          <w:sz w:val="24"/>
        </w:rPr>
        <w:t xml:space="preserve"> step in January was simply a review of projected revenue and expenses with no formal action by the Board.  This step involves a more specific presentation of the proposed </w:t>
      </w:r>
      <w:r w:rsidR="00B122AB">
        <w:rPr>
          <w:sz w:val="24"/>
        </w:rPr>
        <w:t>2012-13</w:t>
      </w:r>
      <w:r>
        <w:rPr>
          <w:sz w:val="24"/>
        </w:rPr>
        <w:t xml:space="preserve"> budget and involves formal action by the Board to adopt the budget with such changes as deemed appropriate by the Board.  The remaining formal steps will come after the close of the current fiscal year when the certification of the value of taxable property is received.</w:t>
      </w:r>
    </w:p>
    <w:p w:rsidR="00D608F7" w:rsidRDefault="00D608F7">
      <w:pPr>
        <w:rPr>
          <w:sz w:val="24"/>
        </w:rPr>
      </w:pPr>
    </w:p>
    <w:p w:rsidR="00D608F7" w:rsidRDefault="00D608F7">
      <w:pPr>
        <w:pStyle w:val="Heading9"/>
      </w:pPr>
      <w:r>
        <w:t>REVENUE</w:t>
      </w:r>
    </w:p>
    <w:p w:rsidR="00D608F7" w:rsidRDefault="00D608F7">
      <w:pPr>
        <w:rPr>
          <w:sz w:val="24"/>
        </w:rPr>
      </w:pPr>
    </w:p>
    <w:p w:rsidR="00D608F7" w:rsidRDefault="00D608F7">
      <w:pPr>
        <w:rPr>
          <w:sz w:val="24"/>
        </w:rPr>
      </w:pPr>
      <w:r>
        <w:rPr>
          <w:sz w:val="24"/>
        </w:rPr>
        <w:t>Some basic revenue considerations and how they are addressed in this Tentative Budget are:</w:t>
      </w:r>
    </w:p>
    <w:p w:rsidR="00D608F7" w:rsidRDefault="00D608F7">
      <w:pPr>
        <w:rPr>
          <w:sz w:val="24"/>
        </w:rPr>
      </w:pPr>
    </w:p>
    <w:p w:rsidR="00D608F7" w:rsidRDefault="00D608F7">
      <w:pPr>
        <w:shd w:val="pct12" w:color="auto" w:fill="FFFFFF"/>
        <w:rPr>
          <w:b/>
          <w:sz w:val="24"/>
        </w:rPr>
      </w:pPr>
      <w:r>
        <w:rPr>
          <w:b/>
          <w:sz w:val="24"/>
        </w:rPr>
        <w:t>STUDENTS</w:t>
      </w:r>
    </w:p>
    <w:p w:rsidR="00D608F7" w:rsidRDefault="00D608F7">
      <w:pPr>
        <w:rPr>
          <w:b/>
          <w:sz w:val="24"/>
        </w:rPr>
      </w:pPr>
    </w:p>
    <w:p w:rsidR="00D608F7" w:rsidRDefault="00D608F7">
      <w:pPr>
        <w:rPr>
          <w:sz w:val="24"/>
        </w:rPr>
      </w:pPr>
      <w:r>
        <w:rPr>
          <w:sz w:val="24"/>
        </w:rPr>
        <w:t xml:space="preserve">How many students are expected to enroll and what rate of attendance will occur?  State funds through the SEEK program are based on full time equivalent average daily attendance (FTE-ADA); thus, the percent attendance is an important factor in state revenue.  If the FTE-ADA at the end of the first two (2) school months is higher than the first two (2) months ADA the prior year, the local district’s SEEK calculation is based on the prior year </w:t>
      </w:r>
      <w:r>
        <w:rPr>
          <w:b/>
          <w:sz w:val="24"/>
        </w:rPr>
        <w:t xml:space="preserve">plus </w:t>
      </w:r>
      <w:r>
        <w:rPr>
          <w:sz w:val="24"/>
        </w:rPr>
        <w:t>growth.  If the FTE-ADA at the end of the first two (2) school months is lower than the first two (2) months ADA the prior year, the local district’s SEEK calculation is based on the prior year.</w:t>
      </w:r>
    </w:p>
    <w:p w:rsidR="00D608F7" w:rsidRDefault="00D608F7">
      <w:pPr>
        <w:rPr>
          <w:sz w:val="24"/>
        </w:rPr>
      </w:pPr>
    </w:p>
    <w:p w:rsidR="00D608F7" w:rsidRPr="00782D3D" w:rsidRDefault="00D608F7">
      <w:pPr>
        <w:rPr>
          <w:sz w:val="24"/>
        </w:rPr>
      </w:pPr>
      <w:r>
        <w:rPr>
          <w:sz w:val="24"/>
        </w:rPr>
        <w:t xml:space="preserve">Projected enrollment for </w:t>
      </w:r>
      <w:r w:rsidR="00B122AB">
        <w:rPr>
          <w:sz w:val="24"/>
        </w:rPr>
        <w:t>2012-13</w:t>
      </w:r>
      <w:r>
        <w:rPr>
          <w:sz w:val="24"/>
        </w:rPr>
        <w:t xml:space="preserve"> staffing levels was 2,</w:t>
      </w:r>
      <w:r w:rsidR="00A149B7">
        <w:rPr>
          <w:sz w:val="24"/>
        </w:rPr>
        <w:t>3</w:t>
      </w:r>
      <w:r w:rsidR="00B122AB">
        <w:rPr>
          <w:sz w:val="24"/>
        </w:rPr>
        <w:t>78</w:t>
      </w:r>
      <w:r>
        <w:rPr>
          <w:sz w:val="24"/>
        </w:rPr>
        <w:t xml:space="preserve"> as discussed during the board’s approval of the allocations to school councils in February.  This budget is based on </w:t>
      </w:r>
      <w:r w:rsidR="00B122AB" w:rsidRPr="004F3DB5">
        <w:rPr>
          <w:sz w:val="24"/>
        </w:rPr>
        <w:t>2145.70</w:t>
      </w:r>
      <w:r w:rsidRPr="004F3DB5">
        <w:rPr>
          <w:sz w:val="24"/>
        </w:rPr>
        <w:t xml:space="preserve"> projected</w:t>
      </w:r>
      <w:r>
        <w:rPr>
          <w:sz w:val="24"/>
        </w:rPr>
        <w:t xml:space="preserve"> final FTE-ADA for </w:t>
      </w:r>
      <w:r w:rsidR="00B122AB">
        <w:rPr>
          <w:sz w:val="24"/>
        </w:rPr>
        <w:t>2011-12</w:t>
      </w:r>
      <w:r>
        <w:rPr>
          <w:sz w:val="24"/>
        </w:rPr>
        <w:t xml:space="preserve">.  Elizabethtown’s </w:t>
      </w:r>
      <w:r w:rsidR="00B122AB">
        <w:rPr>
          <w:sz w:val="24"/>
        </w:rPr>
        <w:t>2012-13</w:t>
      </w:r>
      <w:r>
        <w:rPr>
          <w:sz w:val="24"/>
        </w:rPr>
        <w:t xml:space="preserve"> SEEK is expected to be calculated using the prior year FTE-ADA.  </w:t>
      </w:r>
      <w:r w:rsidRPr="00782D3D">
        <w:rPr>
          <w:sz w:val="24"/>
        </w:rPr>
        <w:t xml:space="preserve">If final ADA for </w:t>
      </w:r>
      <w:r w:rsidR="00782D3D" w:rsidRPr="00782D3D">
        <w:rPr>
          <w:sz w:val="24"/>
        </w:rPr>
        <w:t>2011-12</w:t>
      </w:r>
      <w:r w:rsidRPr="00782D3D">
        <w:rPr>
          <w:sz w:val="24"/>
        </w:rPr>
        <w:t xml:space="preserve"> is more than 2,</w:t>
      </w:r>
      <w:r w:rsidR="00886967" w:rsidRPr="00782D3D">
        <w:rPr>
          <w:sz w:val="24"/>
        </w:rPr>
        <w:t>1</w:t>
      </w:r>
      <w:r w:rsidR="00782D3D" w:rsidRPr="00782D3D">
        <w:rPr>
          <w:sz w:val="24"/>
        </w:rPr>
        <w:t>45.70</w:t>
      </w:r>
      <w:r w:rsidRPr="00782D3D">
        <w:rPr>
          <w:sz w:val="24"/>
        </w:rPr>
        <w:t xml:space="preserve"> SEEK revenue for </w:t>
      </w:r>
      <w:r w:rsidR="00782D3D" w:rsidRPr="00782D3D">
        <w:rPr>
          <w:sz w:val="24"/>
        </w:rPr>
        <w:t>2012-13</w:t>
      </w:r>
      <w:r w:rsidRPr="00782D3D">
        <w:rPr>
          <w:sz w:val="24"/>
        </w:rPr>
        <w:t xml:space="preserve"> will be higher than projected.  If </w:t>
      </w:r>
      <w:r w:rsidR="00782D3D">
        <w:rPr>
          <w:sz w:val="24"/>
        </w:rPr>
        <w:t>2011-12</w:t>
      </w:r>
      <w:r w:rsidRPr="00782D3D">
        <w:rPr>
          <w:sz w:val="24"/>
        </w:rPr>
        <w:t xml:space="preserve"> final ADA is lower than </w:t>
      </w:r>
      <w:r w:rsidR="00782D3D">
        <w:rPr>
          <w:sz w:val="24"/>
        </w:rPr>
        <w:t>2145.70</w:t>
      </w:r>
      <w:r w:rsidRPr="00782D3D">
        <w:rPr>
          <w:sz w:val="24"/>
        </w:rPr>
        <w:t xml:space="preserve"> or if the per pupil value is lower than $3,</w:t>
      </w:r>
      <w:r w:rsidR="00782D3D">
        <w:rPr>
          <w:sz w:val="24"/>
        </w:rPr>
        <w:t>833</w:t>
      </w:r>
      <w:r w:rsidRPr="00782D3D">
        <w:rPr>
          <w:sz w:val="24"/>
        </w:rPr>
        <w:t xml:space="preserve"> SEEK revenue in </w:t>
      </w:r>
      <w:r w:rsidR="00782D3D">
        <w:rPr>
          <w:sz w:val="24"/>
        </w:rPr>
        <w:t>2012-13</w:t>
      </w:r>
      <w:r w:rsidRPr="00782D3D">
        <w:rPr>
          <w:sz w:val="24"/>
        </w:rPr>
        <w:t xml:space="preserve"> will be lower. </w:t>
      </w:r>
    </w:p>
    <w:p w:rsidR="00D608F7" w:rsidRDefault="00D608F7">
      <w:pPr>
        <w:rPr>
          <w:b/>
          <w:sz w:val="24"/>
        </w:rPr>
      </w:pPr>
    </w:p>
    <w:p w:rsidR="00782D3D" w:rsidRDefault="00782D3D">
      <w:pPr>
        <w:rPr>
          <w:b/>
          <w:sz w:val="24"/>
        </w:rPr>
      </w:pPr>
    </w:p>
    <w:p w:rsidR="00782D3D" w:rsidRDefault="00782D3D">
      <w:pPr>
        <w:rPr>
          <w:b/>
          <w:sz w:val="24"/>
        </w:rPr>
      </w:pPr>
    </w:p>
    <w:p w:rsidR="00782D3D" w:rsidRDefault="00782D3D">
      <w:pPr>
        <w:rPr>
          <w:b/>
          <w:sz w:val="24"/>
        </w:rPr>
      </w:pPr>
    </w:p>
    <w:p w:rsidR="00D608F7" w:rsidRDefault="00D608F7">
      <w:pPr>
        <w:shd w:val="pct12" w:color="auto" w:fill="FFFFFF"/>
        <w:rPr>
          <w:b/>
          <w:sz w:val="24"/>
        </w:rPr>
      </w:pPr>
      <w:r>
        <w:rPr>
          <w:b/>
          <w:sz w:val="24"/>
        </w:rPr>
        <w:lastRenderedPageBreak/>
        <w:t>ASSESSED VALUE OF TAXABLE PROPERTY</w:t>
      </w:r>
    </w:p>
    <w:p w:rsidR="00D608F7" w:rsidRDefault="00D608F7">
      <w:pPr>
        <w:rPr>
          <w:sz w:val="24"/>
        </w:rPr>
      </w:pPr>
    </w:p>
    <w:p w:rsidR="00D608F7" w:rsidRDefault="00D608F7">
      <w:pPr>
        <w:rPr>
          <w:sz w:val="24"/>
        </w:rPr>
      </w:pPr>
      <w:r>
        <w:rPr>
          <w:sz w:val="24"/>
        </w:rPr>
        <w:t xml:space="preserve">What assessed value of taxable property will the Kentucky Revenue Cabinet certify?  A substantial portion of local public school revenue is generated by local property tax.  The assessed value of taxable property and the FTE-ADA both affect the level of funding the local school district will receive through the SEEK program.  As noted during the January Draft Budget review the estimated assessed value for </w:t>
      </w:r>
      <w:r w:rsidR="00940529">
        <w:rPr>
          <w:sz w:val="24"/>
        </w:rPr>
        <w:t>2012-13</w:t>
      </w:r>
      <w:r>
        <w:rPr>
          <w:sz w:val="24"/>
        </w:rPr>
        <w:t xml:space="preserve"> is $</w:t>
      </w:r>
      <w:r w:rsidR="00940529">
        <w:rPr>
          <w:sz w:val="24"/>
        </w:rPr>
        <w:t>672,087,357</w:t>
      </w:r>
      <w:r>
        <w:rPr>
          <w:sz w:val="24"/>
        </w:rPr>
        <w:t xml:space="preserve">.  The </w:t>
      </w:r>
      <w:r w:rsidR="00940529">
        <w:rPr>
          <w:sz w:val="24"/>
        </w:rPr>
        <w:t>2011-12</w:t>
      </w:r>
      <w:r>
        <w:rPr>
          <w:sz w:val="24"/>
        </w:rPr>
        <w:t xml:space="preserve"> certified total assessment was $</w:t>
      </w:r>
      <w:r w:rsidR="004F3DB5">
        <w:rPr>
          <w:sz w:val="24"/>
        </w:rPr>
        <w:t>672,087,357.</w:t>
      </w:r>
    </w:p>
    <w:p w:rsidR="00D608F7" w:rsidRDefault="00D608F7">
      <w:pPr>
        <w:shd w:val="pct12" w:color="auto" w:fill="FFFFFF"/>
        <w:rPr>
          <w:b/>
          <w:sz w:val="24"/>
        </w:rPr>
      </w:pPr>
      <w:r>
        <w:rPr>
          <w:b/>
          <w:sz w:val="24"/>
        </w:rPr>
        <w:t>TAX LEVY</w:t>
      </w:r>
    </w:p>
    <w:p w:rsidR="00D608F7" w:rsidRDefault="00D608F7">
      <w:pPr>
        <w:rPr>
          <w:b/>
          <w:sz w:val="24"/>
        </w:rPr>
      </w:pPr>
    </w:p>
    <w:p w:rsidR="00D608F7" w:rsidRPr="004F3DB5" w:rsidRDefault="00D608F7">
      <w:pPr>
        <w:rPr>
          <w:sz w:val="24"/>
        </w:rPr>
      </w:pPr>
      <w:r w:rsidRPr="004F3DB5">
        <w:rPr>
          <w:sz w:val="24"/>
        </w:rPr>
        <w:t xml:space="preserve">What tax rate will be levied?  The Board may not consider a tax levy until the certified assessment and permissible tax rates are sent from the Kentucky Department of Education.  The </w:t>
      </w:r>
      <w:r w:rsidR="00940529" w:rsidRPr="004F3DB5">
        <w:rPr>
          <w:sz w:val="24"/>
        </w:rPr>
        <w:t>2011-12</w:t>
      </w:r>
      <w:r w:rsidRPr="004F3DB5">
        <w:rPr>
          <w:sz w:val="24"/>
        </w:rPr>
        <w:t xml:space="preserve"> combined property tax rate was 6</w:t>
      </w:r>
      <w:r w:rsidR="004F3DB5">
        <w:rPr>
          <w:sz w:val="24"/>
        </w:rPr>
        <w:t>5</w:t>
      </w:r>
      <w:r w:rsidRPr="004F3DB5">
        <w:rPr>
          <w:sz w:val="24"/>
        </w:rPr>
        <w:t>.</w:t>
      </w:r>
      <w:r w:rsidR="004F3DB5">
        <w:rPr>
          <w:sz w:val="24"/>
        </w:rPr>
        <w:t>0</w:t>
      </w:r>
      <w:r w:rsidRPr="004F3DB5">
        <w:rPr>
          <w:sz w:val="24"/>
        </w:rPr>
        <w:t xml:space="preserve"> cents per $100 of assessed value for real estate and tangible property.</w:t>
      </w:r>
    </w:p>
    <w:p w:rsidR="00D608F7" w:rsidRPr="004F3DB5" w:rsidRDefault="00D608F7">
      <w:pPr>
        <w:rPr>
          <w:sz w:val="24"/>
        </w:rPr>
      </w:pPr>
    </w:p>
    <w:p w:rsidR="00D608F7" w:rsidRDefault="00D608F7">
      <w:pPr>
        <w:rPr>
          <w:sz w:val="24"/>
        </w:rPr>
      </w:pPr>
      <w:r w:rsidRPr="004F3DB5">
        <w:rPr>
          <w:color w:val="000000"/>
          <w:sz w:val="24"/>
        </w:rPr>
        <w:t xml:space="preserve">The </w:t>
      </w:r>
      <w:r w:rsidR="004F3DB5">
        <w:rPr>
          <w:color w:val="000000"/>
          <w:sz w:val="24"/>
        </w:rPr>
        <w:t>2012-13</w:t>
      </w:r>
      <w:r w:rsidRPr="004F3DB5">
        <w:rPr>
          <w:color w:val="000000"/>
          <w:sz w:val="24"/>
        </w:rPr>
        <w:t xml:space="preserve"> Tentative Budget is based on a projected combined property tax rate of </w:t>
      </w:r>
      <w:r w:rsidR="004F3DB5">
        <w:rPr>
          <w:color w:val="000000"/>
          <w:sz w:val="24"/>
        </w:rPr>
        <w:t>65.0</w:t>
      </w:r>
      <w:r w:rsidRPr="004F3DB5">
        <w:rPr>
          <w:color w:val="000000"/>
          <w:sz w:val="24"/>
        </w:rPr>
        <w:t xml:space="preserve"> cents per $100 of assessed value for real estate and tangible property.  The projected rates are the same as the rates levied the prior year but could be higher if growth in existing assessment is less than 4%.  Under certain conditions </w:t>
      </w:r>
      <w:smartTag w:uri="urn:schemas-microsoft-com:office:smarttags" w:element="State">
        <w:smartTag w:uri="urn:schemas-microsoft-com:office:smarttags" w:element="place">
          <w:r w:rsidRPr="004F3DB5">
            <w:rPr>
              <w:color w:val="000000"/>
              <w:sz w:val="24"/>
            </w:rPr>
            <w:t>Kentucky</w:t>
          </w:r>
        </w:smartTag>
      </w:smartTag>
      <w:r w:rsidRPr="004F3DB5">
        <w:rPr>
          <w:color w:val="000000"/>
          <w:sz w:val="24"/>
        </w:rPr>
        <w:t xml:space="preserve"> law allows a local school district to levy a rate that will generate 4% increase in local tax revenue. </w:t>
      </w:r>
      <w:r w:rsidRPr="004F3DB5">
        <w:rPr>
          <w:sz w:val="24"/>
        </w:rPr>
        <w:t xml:space="preserve"> The projected motor vehicle rate per $100 assessed value is 53.8 cents and the 3% utility tax levy was also projected for continuation.</w:t>
      </w:r>
    </w:p>
    <w:p w:rsidR="00D608F7" w:rsidRDefault="00D608F7">
      <w:pPr>
        <w:rPr>
          <w:sz w:val="24"/>
        </w:rPr>
      </w:pPr>
    </w:p>
    <w:p w:rsidR="00D608F7" w:rsidRDefault="00D608F7">
      <w:pPr>
        <w:shd w:val="pct12" w:color="auto" w:fill="FFFFFF"/>
        <w:rPr>
          <w:b/>
          <w:sz w:val="24"/>
        </w:rPr>
      </w:pPr>
      <w:r>
        <w:rPr>
          <w:b/>
          <w:sz w:val="24"/>
        </w:rPr>
        <w:t>BEGINNING BALANCE</w:t>
      </w:r>
    </w:p>
    <w:p w:rsidR="00D608F7" w:rsidRDefault="00D608F7">
      <w:pPr>
        <w:rPr>
          <w:b/>
          <w:sz w:val="24"/>
        </w:rPr>
      </w:pPr>
    </w:p>
    <w:p w:rsidR="00D608F7" w:rsidRDefault="00D608F7">
      <w:pPr>
        <w:rPr>
          <w:sz w:val="24"/>
        </w:rPr>
      </w:pPr>
      <w:r>
        <w:rPr>
          <w:sz w:val="24"/>
        </w:rPr>
        <w:t>How many dollars will be in the carry forward balance?  The Tentative Budget’s estimated unrestricted carry forward balance of $</w:t>
      </w:r>
      <w:r w:rsidR="00940529">
        <w:rPr>
          <w:sz w:val="24"/>
        </w:rPr>
        <w:t>4,445,408</w:t>
      </w:r>
      <w:r>
        <w:rPr>
          <w:sz w:val="24"/>
        </w:rPr>
        <w:t xml:space="preserve"> is based on a careful review of expected revenues and planned expenses for the remainder of </w:t>
      </w:r>
      <w:r w:rsidR="00940529">
        <w:rPr>
          <w:sz w:val="24"/>
        </w:rPr>
        <w:t>2011-12</w:t>
      </w:r>
      <w:r>
        <w:rPr>
          <w:sz w:val="24"/>
        </w:rPr>
        <w:t>.</w:t>
      </w:r>
    </w:p>
    <w:p w:rsidR="00D608F7" w:rsidRDefault="00D608F7">
      <w:pPr>
        <w:rPr>
          <w:sz w:val="24"/>
        </w:rPr>
      </w:pPr>
      <w:r>
        <w:rPr>
          <w:sz w:val="24"/>
        </w:rPr>
        <w:br w:type="page"/>
      </w:r>
    </w:p>
    <w:p w:rsidR="00D608F7" w:rsidRDefault="00D608F7">
      <w:pPr>
        <w:shd w:val="pct12" w:color="auto" w:fill="FFFFFF"/>
        <w:rPr>
          <w:b/>
          <w:sz w:val="24"/>
        </w:rPr>
      </w:pPr>
      <w:r>
        <w:rPr>
          <w:b/>
          <w:sz w:val="24"/>
        </w:rPr>
        <w:lastRenderedPageBreak/>
        <w:t>SUMMARY OF PROJECTED REVENUES</w:t>
      </w:r>
    </w:p>
    <w:p w:rsidR="00D608F7" w:rsidRDefault="00D608F7">
      <w:pPr>
        <w:rPr>
          <w:b/>
          <w:sz w:val="24"/>
        </w:rPr>
      </w:pPr>
    </w:p>
    <w:p w:rsidR="00D608F7" w:rsidRDefault="00D608F7">
      <w:pPr>
        <w:pStyle w:val="BodyText"/>
      </w:pPr>
      <w:r>
        <w:t xml:space="preserve">Table A provides a summary of projected revenues, including beginning balances, in the </w:t>
      </w:r>
      <w:r w:rsidR="00B1022A">
        <w:t>2012-13</w:t>
      </w:r>
      <w:r>
        <w:t xml:space="preserve"> Tentative Budget.</w:t>
      </w:r>
    </w:p>
    <w:p w:rsidR="00D608F7" w:rsidRDefault="00D608F7">
      <w:pPr>
        <w:jc w:val="center"/>
        <w:rPr>
          <w:sz w:val="24"/>
        </w:rPr>
      </w:pPr>
    </w:p>
    <w:p w:rsidR="00D608F7" w:rsidRDefault="00D608F7">
      <w:pPr>
        <w:jc w:val="center"/>
        <w:rPr>
          <w:b/>
          <w:sz w:val="24"/>
        </w:rPr>
      </w:pPr>
      <w:r>
        <w:rPr>
          <w:b/>
          <w:sz w:val="24"/>
        </w:rPr>
        <w:t>Table A</w:t>
      </w:r>
    </w:p>
    <w:p w:rsidR="00D608F7" w:rsidRDefault="00D608F7">
      <w:pPr>
        <w:jc w:val="center"/>
        <w:rPr>
          <w:b/>
          <w:sz w:val="24"/>
        </w:rPr>
      </w:pPr>
      <w:r>
        <w:rPr>
          <w:b/>
          <w:sz w:val="24"/>
        </w:rPr>
        <w:t xml:space="preserve">Summary of Projected Revenues </w:t>
      </w:r>
      <w:r w:rsidR="00B1022A">
        <w:rPr>
          <w:b/>
          <w:sz w:val="24"/>
        </w:rPr>
        <w:t>–</w:t>
      </w:r>
      <w:r>
        <w:rPr>
          <w:b/>
          <w:sz w:val="24"/>
        </w:rPr>
        <w:t xml:space="preserve"> </w:t>
      </w:r>
      <w:r w:rsidR="00B1022A">
        <w:rPr>
          <w:b/>
          <w:sz w:val="24"/>
        </w:rPr>
        <w:t>2012-13</w:t>
      </w:r>
      <w:r>
        <w:rPr>
          <w:b/>
          <w:sz w:val="24"/>
        </w:rPr>
        <w:t xml:space="preserve"> Tentative Budget</w:t>
      </w:r>
    </w:p>
    <w:p w:rsidR="00D608F7" w:rsidRDefault="00D608F7">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40"/>
        <w:gridCol w:w="1425"/>
        <w:gridCol w:w="1373"/>
        <w:gridCol w:w="1449"/>
        <w:gridCol w:w="1298"/>
        <w:gridCol w:w="915"/>
      </w:tblGrid>
      <w:tr w:rsidR="00F72830" w:rsidTr="005728E3">
        <w:trPr>
          <w:trHeight w:val="279"/>
        </w:trPr>
        <w:tc>
          <w:tcPr>
            <w:tcW w:w="1287" w:type="pct"/>
            <w:shd w:val="clear" w:color="auto" w:fill="D9D9D9"/>
          </w:tcPr>
          <w:p w:rsidR="00D608F7" w:rsidRPr="00A563C5" w:rsidRDefault="00D608F7" w:rsidP="00A563C5">
            <w:pPr>
              <w:rPr>
                <w:b/>
                <w:i/>
                <w:snapToGrid w:val="0"/>
                <w:color w:val="000000"/>
              </w:rPr>
            </w:pPr>
            <w:r w:rsidRPr="00A563C5">
              <w:rPr>
                <w:b/>
                <w:i/>
                <w:snapToGrid w:val="0"/>
                <w:color w:val="000000"/>
              </w:rPr>
              <w:t>Fund</w:t>
            </w:r>
          </w:p>
        </w:tc>
        <w:tc>
          <w:tcPr>
            <w:tcW w:w="819" w:type="pct"/>
            <w:shd w:val="clear" w:color="auto" w:fill="D9D9D9"/>
            <w:vAlign w:val="center"/>
          </w:tcPr>
          <w:p w:rsidR="00D608F7" w:rsidRPr="00A563C5" w:rsidRDefault="00D608F7" w:rsidP="00A563C5">
            <w:pPr>
              <w:jc w:val="center"/>
              <w:rPr>
                <w:b/>
                <w:i/>
                <w:snapToGrid w:val="0"/>
                <w:color w:val="000000"/>
              </w:rPr>
            </w:pPr>
            <w:r w:rsidRPr="00A563C5">
              <w:rPr>
                <w:b/>
                <w:i/>
                <w:snapToGrid w:val="0"/>
                <w:color w:val="000000"/>
              </w:rPr>
              <w:t>Actual</w:t>
            </w:r>
          </w:p>
          <w:p w:rsidR="00D608F7" w:rsidRPr="00A563C5" w:rsidRDefault="001B3C8B" w:rsidP="00A563C5">
            <w:pPr>
              <w:jc w:val="center"/>
              <w:rPr>
                <w:b/>
                <w:i/>
                <w:snapToGrid w:val="0"/>
                <w:color w:val="000000"/>
              </w:rPr>
            </w:pPr>
            <w:r>
              <w:rPr>
                <w:b/>
                <w:i/>
                <w:snapToGrid w:val="0"/>
                <w:color w:val="000000"/>
              </w:rPr>
              <w:t>2010-11</w:t>
            </w:r>
          </w:p>
        </w:tc>
        <w:tc>
          <w:tcPr>
            <w:tcW w:w="789" w:type="pct"/>
            <w:shd w:val="clear" w:color="auto" w:fill="D9D9D9"/>
            <w:vAlign w:val="center"/>
          </w:tcPr>
          <w:p w:rsidR="00D608F7" w:rsidRPr="00A563C5" w:rsidRDefault="00D608F7" w:rsidP="00A563C5">
            <w:pPr>
              <w:jc w:val="center"/>
              <w:rPr>
                <w:b/>
                <w:i/>
                <w:snapToGrid w:val="0"/>
                <w:color w:val="000000"/>
              </w:rPr>
            </w:pPr>
            <w:r w:rsidRPr="00A563C5">
              <w:rPr>
                <w:b/>
                <w:i/>
                <w:snapToGrid w:val="0"/>
                <w:color w:val="000000"/>
              </w:rPr>
              <w:t>Budgeted</w:t>
            </w:r>
          </w:p>
          <w:p w:rsidR="00D608F7" w:rsidRPr="00A563C5" w:rsidRDefault="001B3C8B" w:rsidP="00A563C5">
            <w:pPr>
              <w:jc w:val="center"/>
              <w:rPr>
                <w:b/>
                <w:i/>
                <w:snapToGrid w:val="0"/>
                <w:color w:val="000000"/>
              </w:rPr>
            </w:pPr>
            <w:r>
              <w:rPr>
                <w:b/>
                <w:i/>
                <w:snapToGrid w:val="0"/>
                <w:color w:val="000000"/>
              </w:rPr>
              <w:t>2011-12</w:t>
            </w:r>
          </w:p>
        </w:tc>
        <w:tc>
          <w:tcPr>
            <w:tcW w:w="833" w:type="pct"/>
            <w:shd w:val="clear" w:color="auto" w:fill="D9D9D9"/>
            <w:vAlign w:val="center"/>
          </w:tcPr>
          <w:p w:rsidR="00D608F7" w:rsidRPr="00A563C5" w:rsidRDefault="00D608F7" w:rsidP="00A563C5">
            <w:pPr>
              <w:jc w:val="center"/>
              <w:rPr>
                <w:b/>
                <w:i/>
                <w:snapToGrid w:val="0"/>
                <w:color w:val="000000"/>
              </w:rPr>
            </w:pPr>
            <w:r w:rsidRPr="00A563C5">
              <w:rPr>
                <w:b/>
                <w:i/>
                <w:snapToGrid w:val="0"/>
                <w:color w:val="000000"/>
              </w:rPr>
              <w:t>Projected</w:t>
            </w:r>
          </w:p>
          <w:p w:rsidR="00D608F7" w:rsidRPr="00A563C5" w:rsidRDefault="001B3C8B" w:rsidP="00A563C5">
            <w:pPr>
              <w:jc w:val="center"/>
              <w:rPr>
                <w:b/>
                <w:i/>
                <w:snapToGrid w:val="0"/>
                <w:color w:val="000000"/>
              </w:rPr>
            </w:pPr>
            <w:r>
              <w:rPr>
                <w:b/>
                <w:i/>
                <w:snapToGrid w:val="0"/>
                <w:color w:val="000000"/>
              </w:rPr>
              <w:t>2012-13</w:t>
            </w:r>
          </w:p>
        </w:tc>
        <w:tc>
          <w:tcPr>
            <w:tcW w:w="746" w:type="pct"/>
            <w:shd w:val="clear" w:color="auto" w:fill="D9D9D9"/>
            <w:vAlign w:val="center"/>
          </w:tcPr>
          <w:p w:rsidR="00D608F7" w:rsidRDefault="00D608F7" w:rsidP="00A563C5">
            <w:pPr>
              <w:jc w:val="center"/>
              <w:rPr>
                <w:b/>
                <w:i/>
                <w:snapToGrid w:val="0"/>
                <w:color w:val="000000"/>
              </w:rPr>
            </w:pPr>
            <w:r w:rsidRPr="00A563C5">
              <w:rPr>
                <w:b/>
                <w:i/>
                <w:snapToGrid w:val="0"/>
                <w:color w:val="000000"/>
              </w:rPr>
              <w:t>$</w:t>
            </w:r>
          </w:p>
          <w:p w:rsidR="00D608F7" w:rsidRPr="00A563C5" w:rsidRDefault="00D608F7" w:rsidP="00A563C5">
            <w:pPr>
              <w:jc w:val="center"/>
              <w:rPr>
                <w:b/>
                <w:i/>
                <w:snapToGrid w:val="0"/>
                <w:color w:val="000000"/>
              </w:rPr>
            </w:pPr>
            <w:r w:rsidRPr="00A563C5">
              <w:rPr>
                <w:b/>
                <w:i/>
                <w:snapToGrid w:val="0"/>
                <w:color w:val="000000"/>
              </w:rPr>
              <w:t>Change</w:t>
            </w:r>
          </w:p>
        </w:tc>
        <w:tc>
          <w:tcPr>
            <w:tcW w:w="526" w:type="pct"/>
            <w:shd w:val="clear" w:color="auto" w:fill="D9D9D9"/>
            <w:vAlign w:val="center"/>
          </w:tcPr>
          <w:p w:rsidR="00D608F7" w:rsidRPr="00A563C5" w:rsidRDefault="00D608F7" w:rsidP="00A563C5">
            <w:pPr>
              <w:jc w:val="center"/>
              <w:rPr>
                <w:b/>
                <w:i/>
                <w:snapToGrid w:val="0"/>
                <w:color w:val="000000"/>
              </w:rPr>
            </w:pPr>
            <w:r w:rsidRPr="00A563C5">
              <w:rPr>
                <w:b/>
                <w:i/>
                <w:snapToGrid w:val="0"/>
                <w:color w:val="000000"/>
              </w:rPr>
              <w:t>%</w:t>
            </w:r>
            <w:r>
              <w:rPr>
                <w:b/>
                <w:i/>
                <w:snapToGrid w:val="0"/>
                <w:color w:val="000000"/>
              </w:rPr>
              <w:t xml:space="preserve"> </w:t>
            </w:r>
            <w:r w:rsidRPr="00A563C5">
              <w:rPr>
                <w:b/>
                <w:i/>
                <w:snapToGrid w:val="0"/>
                <w:color w:val="000000"/>
              </w:rPr>
              <w:t>Change</w:t>
            </w:r>
          </w:p>
        </w:tc>
      </w:tr>
      <w:tr w:rsidR="00F72830" w:rsidTr="009D3C1A">
        <w:trPr>
          <w:trHeight w:val="255"/>
        </w:trPr>
        <w:tc>
          <w:tcPr>
            <w:tcW w:w="1287" w:type="pct"/>
            <w:vAlign w:val="bottom"/>
          </w:tcPr>
          <w:p w:rsidR="00D608F7" w:rsidRPr="00A563C5" w:rsidRDefault="00D608F7">
            <w:pPr>
              <w:rPr>
                <w:snapToGrid w:val="0"/>
                <w:color w:val="000000"/>
              </w:rPr>
            </w:pPr>
            <w:bookmarkStart w:id="0" w:name="_Hlk291570880"/>
            <w:r w:rsidRPr="00A563C5">
              <w:rPr>
                <w:snapToGrid w:val="0"/>
                <w:color w:val="000000"/>
              </w:rPr>
              <w:t>General Fund (*)</w:t>
            </w:r>
            <w:r>
              <w:rPr>
                <w:snapToGrid w:val="0"/>
                <w:color w:val="000000"/>
              </w:rPr>
              <w:t xml:space="preserve"> (@)</w:t>
            </w:r>
          </w:p>
        </w:tc>
        <w:tc>
          <w:tcPr>
            <w:tcW w:w="819" w:type="pct"/>
            <w:vAlign w:val="bottom"/>
          </w:tcPr>
          <w:p w:rsidR="00D608F7" w:rsidRDefault="00D608F7" w:rsidP="001B3C8B">
            <w:pPr>
              <w:jc w:val="right"/>
              <w:rPr>
                <w:color w:val="000000"/>
              </w:rPr>
            </w:pPr>
            <w:r>
              <w:rPr>
                <w:color w:val="000000"/>
              </w:rPr>
              <w:t>$</w:t>
            </w:r>
            <w:r w:rsidR="001B3C8B">
              <w:rPr>
                <w:color w:val="000000"/>
              </w:rPr>
              <w:t>13,656,148.91</w:t>
            </w:r>
          </w:p>
        </w:tc>
        <w:tc>
          <w:tcPr>
            <w:tcW w:w="789" w:type="pct"/>
            <w:vAlign w:val="bottom"/>
          </w:tcPr>
          <w:p w:rsidR="00D608F7" w:rsidRDefault="001B3C8B" w:rsidP="00CA43EF">
            <w:pPr>
              <w:jc w:val="right"/>
              <w:rPr>
                <w:color w:val="000000"/>
              </w:rPr>
            </w:pPr>
            <w:r>
              <w:rPr>
                <w:color w:val="000000"/>
              </w:rPr>
              <w:t>14,142,291.00</w:t>
            </w:r>
          </w:p>
        </w:tc>
        <w:tc>
          <w:tcPr>
            <w:tcW w:w="833" w:type="pct"/>
            <w:vAlign w:val="bottom"/>
          </w:tcPr>
          <w:p w:rsidR="00D608F7" w:rsidRDefault="001B3C8B" w:rsidP="00CA43EF">
            <w:pPr>
              <w:jc w:val="right"/>
              <w:rPr>
                <w:color w:val="000000"/>
              </w:rPr>
            </w:pPr>
            <w:r>
              <w:rPr>
                <w:color w:val="000000"/>
              </w:rPr>
              <w:t>14,081,292.00</w:t>
            </w:r>
          </w:p>
        </w:tc>
        <w:tc>
          <w:tcPr>
            <w:tcW w:w="746" w:type="pct"/>
            <w:vAlign w:val="bottom"/>
          </w:tcPr>
          <w:p w:rsidR="00D608F7" w:rsidRDefault="00D710CE" w:rsidP="00CA43EF">
            <w:pPr>
              <w:jc w:val="right"/>
              <w:rPr>
                <w:color w:val="000000"/>
              </w:rPr>
            </w:pPr>
            <w:r>
              <w:rPr>
                <w:color w:val="000000"/>
              </w:rPr>
              <w:t>(60,999.00)</w:t>
            </w:r>
          </w:p>
        </w:tc>
        <w:tc>
          <w:tcPr>
            <w:tcW w:w="526" w:type="pct"/>
            <w:vAlign w:val="bottom"/>
          </w:tcPr>
          <w:p w:rsidR="00D608F7" w:rsidRDefault="00D710CE" w:rsidP="00CA43EF">
            <w:pPr>
              <w:jc w:val="right"/>
              <w:rPr>
                <w:color w:val="000000"/>
              </w:rPr>
            </w:pPr>
            <w:r>
              <w:rPr>
                <w:color w:val="000000"/>
              </w:rPr>
              <w:t>-.04%</w:t>
            </w:r>
          </w:p>
        </w:tc>
      </w:tr>
      <w:tr w:rsidR="00F72830" w:rsidTr="009D3C1A">
        <w:trPr>
          <w:trHeight w:val="250"/>
        </w:trPr>
        <w:tc>
          <w:tcPr>
            <w:tcW w:w="1287" w:type="pct"/>
            <w:vAlign w:val="bottom"/>
          </w:tcPr>
          <w:p w:rsidR="00D608F7" w:rsidRPr="00A563C5" w:rsidRDefault="00D608F7" w:rsidP="00193869">
            <w:pPr>
              <w:rPr>
                <w:snapToGrid w:val="0"/>
                <w:color w:val="000000"/>
              </w:rPr>
            </w:pPr>
            <w:r w:rsidRPr="00A563C5">
              <w:rPr>
                <w:snapToGrid w:val="0"/>
                <w:color w:val="000000"/>
              </w:rPr>
              <w:t>Special Revenue Fund (#)</w:t>
            </w:r>
          </w:p>
        </w:tc>
        <w:tc>
          <w:tcPr>
            <w:tcW w:w="819" w:type="pct"/>
            <w:vAlign w:val="bottom"/>
          </w:tcPr>
          <w:p w:rsidR="00D608F7" w:rsidRDefault="00D710CE" w:rsidP="00CA43EF">
            <w:pPr>
              <w:jc w:val="right"/>
              <w:rPr>
                <w:color w:val="000000"/>
              </w:rPr>
            </w:pPr>
            <w:r>
              <w:rPr>
                <w:color w:val="000000"/>
              </w:rPr>
              <w:t>2,932,089.05</w:t>
            </w:r>
          </w:p>
        </w:tc>
        <w:tc>
          <w:tcPr>
            <w:tcW w:w="789" w:type="pct"/>
            <w:vAlign w:val="bottom"/>
          </w:tcPr>
          <w:p w:rsidR="00D608F7" w:rsidRDefault="00D710CE" w:rsidP="00CA43EF">
            <w:pPr>
              <w:jc w:val="right"/>
              <w:rPr>
                <w:color w:val="000000"/>
              </w:rPr>
            </w:pPr>
            <w:r>
              <w:rPr>
                <w:color w:val="000000"/>
              </w:rPr>
              <w:t>1,883,674.26</w:t>
            </w:r>
          </w:p>
        </w:tc>
        <w:tc>
          <w:tcPr>
            <w:tcW w:w="833" w:type="pct"/>
            <w:vAlign w:val="bottom"/>
          </w:tcPr>
          <w:p w:rsidR="00D608F7" w:rsidRDefault="002E0B2D" w:rsidP="00D710CE">
            <w:pPr>
              <w:jc w:val="right"/>
              <w:rPr>
                <w:color w:val="000000"/>
              </w:rPr>
            </w:pPr>
            <w:r>
              <w:rPr>
                <w:color w:val="000000"/>
              </w:rPr>
              <w:t>87</w:t>
            </w:r>
            <w:r w:rsidR="00D710CE">
              <w:rPr>
                <w:color w:val="000000"/>
              </w:rPr>
              <w:t>7,631.00</w:t>
            </w:r>
          </w:p>
        </w:tc>
        <w:tc>
          <w:tcPr>
            <w:tcW w:w="746" w:type="pct"/>
            <w:vAlign w:val="bottom"/>
          </w:tcPr>
          <w:p w:rsidR="00D608F7" w:rsidRDefault="00D710CE" w:rsidP="002E0B2D">
            <w:pPr>
              <w:jc w:val="right"/>
              <w:rPr>
                <w:color w:val="000000"/>
              </w:rPr>
            </w:pPr>
            <w:r>
              <w:rPr>
                <w:color w:val="000000"/>
              </w:rPr>
              <w:t>(1,0</w:t>
            </w:r>
            <w:r w:rsidR="002E0B2D">
              <w:rPr>
                <w:color w:val="000000"/>
              </w:rPr>
              <w:t>0</w:t>
            </w:r>
            <w:r>
              <w:rPr>
                <w:color w:val="000000"/>
              </w:rPr>
              <w:t>6,043.26)</w:t>
            </w:r>
          </w:p>
        </w:tc>
        <w:tc>
          <w:tcPr>
            <w:tcW w:w="526" w:type="pct"/>
            <w:vAlign w:val="bottom"/>
          </w:tcPr>
          <w:p w:rsidR="00D608F7" w:rsidRDefault="00D710CE" w:rsidP="0021053A">
            <w:pPr>
              <w:jc w:val="right"/>
              <w:rPr>
                <w:color w:val="000000"/>
              </w:rPr>
            </w:pPr>
            <w:r>
              <w:rPr>
                <w:color w:val="000000"/>
              </w:rPr>
              <w:t>.</w:t>
            </w:r>
            <w:r w:rsidR="0021053A">
              <w:rPr>
                <w:color w:val="000000"/>
              </w:rPr>
              <w:t>53.4</w:t>
            </w:r>
            <w:r>
              <w:rPr>
                <w:color w:val="000000"/>
              </w:rPr>
              <w:t>%</w:t>
            </w:r>
          </w:p>
        </w:tc>
      </w:tr>
      <w:tr w:rsidR="00F72830" w:rsidTr="009D3C1A">
        <w:trPr>
          <w:trHeight w:val="250"/>
        </w:trPr>
        <w:tc>
          <w:tcPr>
            <w:tcW w:w="1287" w:type="pct"/>
            <w:vAlign w:val="bottom"/>
          </w:tcPr>
          <w:p w:rsidR="00D608F7" w:rsidRPr="00A563C5" w:rsidRDefault="00D608F7">
            <w:pPr>
              <w:rPr>
                <w:snapToGrid w:val="0"/>
                <w:color w:val="000000"/>
              </w:rPr>
            </w:pPr>
            <w:r w:rsidRPr="00A563C5">
              <w:rPr>
                <w:snapToGrid w:val="0"/>
                <w:color w:val="000000"/>
              </w:rPr>
              <w:t xml:space="preserve">Capital Outlay Fund  </w:t>
            </w:r>
          </w:p>
        </w:tc>
        <w:tc>
          <w:tcPr>
            <w:tcW w:w="819" w:type="pct"/>
            <w:vAlign w:val="bottom"/>
          </w:tcPr>
          <w:p w:rsidR="00D608F7" w:rsidRDefault="00D710CE" w:rsidP="00CA43EF">
            <w:pPr>
              <w:jc w:val="right"/>
              <w:rPr>
                <w:color w:val="000000"/>
              </w:rPr>
            </w:pPr>
            <w:r>
              <w:rPr>
                <w:color w:val="000000"/>
              </w:rPr>
              <w:t>264,330.51</w:t>
            </w:r>
          </w:p>
        </w:tc>
        <w:tc>
          <w:tcPr>
            <w:tcW w:w="789" w:type="pct"/>
            <w:vAlign w:val="bottom"/>
          </w:tcPr>
          <w:p w:rsidR="00D608F7" w:rsidRDefault="00D710CE" w:rsidP="00CA43EF">
            <w:pPr>
              <w:jc w:val="right"/>
              <w:rPr>
                <w:color w:val="000000"/>
              </w:rPr>
            </w:pPr>
            <w:r>
              <w:rPr>
                <w:color w:val="000000"/>
              </w:rPr>
              <w:t>218,500.00</w:t>
            </w:r>
          </w:p>
        </w:tc>
        <w:tc>
          <w:tcPr>
            <w:tcW w:w="833" w:type="pct"/>
            <w:vAlign w:val="bottom"/>
          </w:tcPr>
          <w:p w:rsidR="00D608F7" w:rsidRDefault="00D710CE" w:rsidP="00CA43EF">
            <w:pPr>
              <w:jc w:val="right"/>
              <w:rPr>
                <w:color w:val="000000"/>
              </w:rPr>
            </w:pPr>
            <w:r>
              <w:rPr>
                <w:color w:val="000000"/>
              </w:rPr>
              <w:t>213,500.00</w:t>
            </w:r>
          </w:p>
        </w:tc>
        <w:tc>
          <w:tcPr>
            <w:tcW w:w="746" w:type="pct"/>
            <w:vAlign w:val="bottom"/>
          </w:tcPr>
          <w:p w:rsidR="00D608F7" w:rsidRDefault="00D710CE" w:rsidP="00CA43EF">
            <w:pPr>
              <w:jc w:val="right"/>
              <w:rPr>
                <w:color w:val="000000"/>
              </w:rPr>
            </w:pPr>
            <w:r>
              <w:rPr>
                <w:color w:val="000000"/>
              </w:rPr>
              <w:t>(5,000.00)</w:t>
            </w:r>
          </w:p>
        </w:tc>
        <w:tc>
          <w:tcPr>
            <w:tcW w:w="526" w:type="pct"/>
            <w:vAlign w:val="bottom"/>
          </w:tcPr>
          <w:p w:rsidR="00D608F7" w:rsidRDefault="00D710CE" w:rsidP="00CA43EF">
            <w:pPr>
              <w:jc w:val="right"/>
              <w:rPr>
                <w:color w:val="000000"/>
              </w:rPr>
            </w:pPr>
            <w:r>
              <w:rPr>
                <w:color w:val="000000"/>
              </w:rPr>
              <w:t>-2.3%</w:t>
            </w:r>
          </w:p>
        </w:tc>
      </w:tr>
      <w:tr w:rsidR="00F72830" w:rsidTr="009D3C1A">
        <w:trPr>
          <w:trHeight w:val="250"/>
        </w:trPr>
        <w:tc>
          <w:tcPr>
            <w:tcW w:w="1287" w:type="pct"/>
            <w:vAlign w:val="bottom"/>
          </w:tcPr>
          <w:p w:rsidR="00D608F7" w:rsidRPr="00A563C5" w:rsidRDefault="00D608F7">
            <w:pPr>
              <w:rPr>
                <w:snapToGrid w:val="0"/>
                <w:color w:val="000000"/>
              </w:rPr>
            </w:pPr>
            <w:r w:rsidRPr="00A563C5">
              <w:rPr>
                <w:snapToGrid w:val="0"/>
                <w:color w:val="000000"/>
              </w:rPr>
              <w:t xml:space="preserve">Building Fund  </w:t>
            </w:r>
          </w:p>
        </w:tc>
        <w:tc>
          <w:tcPr>
            <w:tcW w:w="819" w:type="pct"/>
            <w:vAlign w:val="bottom"/>
          </w:tcPr>
          <w:p w:rsidR="00D608F7" w:rsidRDefault="00D710CE" w:rsidP="00CA43EF">
            <w:pPr>
              <w:jc w:val="right"/>
              <w:rPr>
                <w:color w:val="000000"/>
              </w:rPr>
            </w:pPr>
            <w:r>
              <w:rPr>
                <w:color w:val="000000"/>
              </w:rPr>
              <w:t>1,577,315.71</w:t>
            </w:r>
          </w:p>
        </w:tc>
        <w:tc>
          <w:tcPr>
            <w:tcW w:w="789" w:type="pct"/>
            <w:vAlign w:val="bottom"/>
          </w:tcPr>
          <w:p w:rsidR="00D608F7" w:rsidRDefault="00D710CE" w:rsidP="00CA43EF">
            <w:pPr>
              <w:jc w:val="right"/>
              <w:rPr>
                <w:color w:val="000000"/>
              </w:rPr>
            </w:pPr>
            <w:r>
              <w:rPr>
                <w:color w:val="000000"/>
              </w:rPr>
              <w:t>1,517,953.00</w:t>
            </w:r>
          </w:p>
        </w:tc>
        <w:tc>
          <w:tcPr>
            <w:tcW w:w="833" w:type="pct"/>
            <w:vAlign w:val="bottom"/>
          </w:tcPr>
          <w:p w:rsidR="00D608F7" w:rsidRDefault="00D710CE" w:rsidP="00CA43EF">
            <w:pPr>
              <w:jc w:val="right"/>
              <w:rPr>
                <w:color w:val="000000"/>
              </w:rPr>
            </w:pPr>
            <w:r>
              <w:rPr>
                <w:color w:val="000000"/>
              </w:rPr>
              <w:t>1,510,273.00</w:t>
            </w:r>
          </w:p>
        </w:tc>
        <w:tc>
          <w:tcPr>
            <w:tcW w:w="746" w:type="pct"/>
            <w:vAlign w:val="bottom"/>
          </w:tcPr>
          <w:p w:rsidR="00D608F7" w:rsidRPr="00D710CE" w:rsidRDefault="00D710CE" w:rsidP="00CA43EF">
            <w:pPr>
              <w:jc w:val="right"/>
            </w:pPr>
            <w:r w:rsidRPr="00D710CE">
              <w:t>(7,680.00)</w:t>
            </w:r>
          </w:p>
        </w:tc>
        <w:tc>
          <w:tcPr>
            <w:tcW w:w="526" w:type="pct"/>
            <w:vAlign w:val="bottom"/>
          </w:tcPr>
          <w:p w:rsidR="00D608F7" w:rsidRDefault="00F72830" w:rsidP="00D710CE">
            <w:pPr>
              <w:jc w:val="right"/>
              <w:rPr>
                <w:color w:val="000000"/>
              </w:rPr>
            </w:pPr>
            <w:r>
              <w:rPr>
                <w:color w:val="000000"/>
              </w:rPr>
              <w:t>-</w:t>
            </w:r>
            <w:r w:rsidR="00D710CE">
              <w:rPr>
                <w:color w:val="000000"/>
              </w:rPr>
              <w:t>.05</w:t>
            </w:r>
            <w:r>
              <w:rPr>
                <w:color w:val="000000"/>
              </w:rPr>
              <w:t>%</w:t>
            </w:r>
          </w:p>
        </w:tc>
      </w:tr>
      <w:tr w:rsidR="00F72830" w:rsidTr="009D3C1A">
        <w:trPr>
          <w:trHeight w:val="264"/>
        </w:trPr>
        <w:tc>
          <w:tcPr>
            <w:tcW w:w="1287" w:type="pct"/>
            <w:vAlign w:val="bottom"/>
          </w:tcPr>
          <w:p w:rsidR="00D608F7" w:rsidRPr="00A563C5" w:rsidRDefault="00D608F7">
            <w:pPr>
              <w:rPr>
                <w:snapToGrid w:val="0"/>
                <w:color w:val="000000"/>
              </w:rPr>
            </w:pPr>
            <w:r w:rsidRPr="00A563C5">
              <w:rPr>
                <w:snapToGrid w:val="0"/>
                <w:color w:val="000000"/>
              </w:rPr>
              <w:t xml:space="preserve">Food Service Fund  </w:t>
            </w:r>
          </w:p>
        </w:tc>
        <w:tc>
          <w:tcPr>
            <w:tcW w:w="819" w:type="pct"/>
            <w:vAlign w:val="bottom"/>
          </w:tcPr>
          <w:p w:rsidR="00D608F7" w:rsidRDefault="00D710CE" w:rsidP="00CA43EF">
            <w:pPr>
              <w:jc w:val="right"/>
              <w:rPr>
                <w:color w:val="000000"/>
              </w:rPr>
            </w:pPr>
            <w:r>
              <w:rPr>
                <w:color w:val="000000"/>
              </w:rPr>
              <w:t>1,158,553.95</w:t>
            </w:r>
          </w:p>
        </w:tc>
        <w:tc>
          <w:tcPr>
            <w:tcW w:w="789" w:type="pct"/>
            <w:vAlign w:val="bottom"/>
          </w:tcPr>
          <w:p w:rsidR="00D608F7" w:rsidRDefault="00D710CE" w:rsidP="00CA43EF">
            <w:pPr>
              <w:jc w:val="right"/>
              <w:rPr>
                <w:color w:val="000000"/>
              </w:rPr>
            </w:pPr>
            <w:r>
              <w:rPr>
                <w:color w:val="000000"/>
              </w:rPr>
              <w:t>1,065,300.00</w:t>
            </w:r>
          </w:p>
        </w:tc>
        <w:tc>
          <w:tcPr>
            <w:tcW w:w="833" w:type="pct"/>
            <w:vAlign w:val="bottom"/>
          </w:tcPr>
          <w:p w:rsidR="00D608F7" w:rsidRDefault="00D710CE" w:rsidP="00CA43EF">
            <w:pPr>
              <w:jc w:val="right"/>
              <w:rPr>
                <w:color w:val="000000"/>
              </w:rPr>
            </w:pPr>
            <w:r>
              <w:rPr>
                <w:color w:val="000000"/>
              </w:rPr>
              <w:t>1,619,500.00</w:t>
            </w:r>
          </w:p>
        </w:tc>
        <w:tc>
          <w:tcPr>
            <w:tcW w:w="746" w:type="pct"/>
            <w:vAlign w:val="bottom"/>
          </w:tcPr>
          <w:p w:rsidR="00D608F7" w:rsidRPr="00D710CE" w:rsidRDefault="00D710CE" w:rsidP="00CA43EF">
            <w:pPr>
              <w:jc w:val="right"/>
            </w:pPr>
            <w:r w:rsidRPr="00D710CE">
              <w:t>554,200.00</w:t>
            </w:r>
          </w:p>
        </w:tc>
        <w:tc>
          <w:tcPr>
            <w:tcW w:w="526" w:type="pct"/>
            <w:vAlign w:val="bottom"/>
          </w:tcPr>
          <w:p w:rsidR="00D608F7" w:rsidRDefault="00D710CE" w:rsidP="00CA43EF">
            <w:pPr>
              <w:jc w:val="right"/>
              <w:rPr>
                <w:color w:val="000000"/>
              </w:rPr>
            </w:pPr>
            <w:r>
              <w:rPr>
                <w:color w:val="000000"/>
              </w:rPr>
              <w:t>52.0%</w:t>
            </w:r>
          </w:p>
        </w:tc>
      </w:tr>
      <w:bookmarkEnd w:id="0"/>
      <w:tr w:rsidR="00F72830" w:rsidTr="005728E3">
        <w:trPr>
          <w:trHeight w:val="264"/>
        </w:trPr>
        <w:tc>
          <w:tcPr>
            <w:tcW w:w="1287" w:type="pct"/>
            <w:shd w:val="clear" w:color="auto" w:fill="D9D9D9"/>
            <w:vAlign w:val="bottom"/>
          </w:tcPr>
          <w:p w:rsidR="00D608F7" w:rsidRPr="00C63AC0" w:rsidRDefault="00D608F7">
            <w:pPr>
              <w:rPr>
                <w:b/>
                <w:snapToGrid w:val="0"/>
                <w:color w:val="000000"/>
              </w:rPr>
            </w:pPr>
            <w:r w:rsidRPr="00C63AC0">
              <w:rPr>
                <w:b/>
                <w:snapToGrid w:val="0"/>
                <w:color w:val="000000"/>
              </w:rPr>
              <w:t xml:space="preserve">Total All Funds </w:t>
            </w:r>
          </w:p>
        </w:tc>
        <w:tc>
          <w:tcPr>
            <w:tcW w:w="819" w:type="pct"/>
            <w:shd w:val="clear" w:color="auto" w:fill="D9D9D9"/>
            <w:vAlign w:val="bottom"/>
          </w:tcPr>
          <w:p w:rsidR="00D608F7" w:rsidRDefault="00D710CE" w:rsidP="00CA43EF">
            <w:pPr>
              <w:jc w:val="right"/>
              <w:rPr>
                <w:b/>
                <w:bCs/>
                <w:color w:val="000000"/>
              </w:rPr>
            </w:pPr>
            <w:r>
              <w:rPr>
                <w:b/>
                <w:bCs/>
                <w:color w:val="000000"/>
              </w:rPr>
              <w:t>23,348,531.45</w:t>
            </w:r>
          </w:p>
        </w:tc>
        <w:tc>
          <w:tcPr>
            <w:tcW w:w="789" w:type="pct"/>
            <w:shd w:val="clear" w:color="auto" w:fill="D9D9D9"/>
            <w:vAlign w:val="bottom"/>
          </w:tcPr>
          <w:p w:rsidR="00D608F7" w:rsidRDefault="00D710CE" w:rsidP="00CA43EF">
            <w:pPr>
              <w:jc w:val="right"/>
              <w:rPr>
                <w:b/>
                <w:bCs/>
                <w:color w:val="000000"/>
              </w:rPr>
            </w:pPr>
            <w:r>
              <w:rPr>
                <w:b/>
                <w:bCs/>
                <w:color w:val="000000"/>
              </w:rPr>
              <w:t>23,426,697.62</w:t>
            </w:r>
          </w:p>
        </w:tc>
        <w:tc>
          <w:tcPr>
            <w:tcW w:w="833" w:type="pct"/>
            <w:shd w:val="clear" w:color="auto" w:fill="D9D9D9"/>
            <w:vAlign w:val="bottom"/>
          </w:tcPr>
          <w:p w:rsidR="00D608F7" w:rsidRDefault="00D710CE" w:rsidP="002E0B2D">
            <w:pPr>
              <w:jc w:val="right"/>
              <w:rPr>
                <w:b/>
                <w:bCs/>
                <w:color w:val="000000"/>
              </w:rPr>
            </w:pPr>
            <w:r>
              <w:rPr>
                <w:b/>
                <w:bCs/>
                <w:color w:val="000000"/>
              </w:rPr>
              <w:t>22,</w:t>
            </w:r>
            <w:r w:rsidR="002E0B2D">
              <w:rPr>
                <w:b/>
                <w:bCs/>
                <w:color w:val="000000"/>
              </w:rPr>
              <w:t>74</w:t>
            </w:r>
            <w:r>
              <w:rPr>
                <w:b/>
                <w:bCs/>
                <w:color w:val="000000"/>
              </w:rPr>
              <w:t>7,603.00</w:t>
            </w:r>
          </w:p>
        </w:tc>
        <w:tc>
          <w:tcPr>
            <w:tcW w:w="746" w:type="pct"/>
            <w:shd w:val="clear" w:color="auto" w:fill="D9D9D9"/>
            <w:vAlign w:val="bottom"/>
          </w:tcPr>
          <w:p w:rsidR="00D608F7" w:rsidRDefault="00D710CE" w:rsidP="002E0B2D">
            <w:pPr>
              <w:jc w:val="right"/>
              <w:rPr>
                <w:b/>
                <w:bCs/>
                <w:color w:val="000000"/>
              </w:rPr>
            </w:pPr>
            <w:r>
              <w:rPr>
                <w:b/>
                <w:bCs/>
                <w:color w:val="000000"/>
              </w:rPr>
              <w:t>(</w:t>
            </w:r>
            <w:r w:rsidR="002E0B2D">
              <w:rPr>
                <w:b/>
                <w:bCs/>
                <w:color w:val="000000"/>
              </w:rPr>
              <w:t>67</w:t>
            </w:r>
            <w:r>
              <w:rPr>
                <w:b/>
                <w:bCs/>
                <w:color w:val="000000"/>
              </w:rPr>
              <w:t>9,094.62)</w:t>
            </w:r>
          </w:p>
        </w:tc>
        <w:tc>
          <w:tcPr>
            <w:tcW w:w="526" w:type="pct"/>
            <w:shd w:val="clear" w:color="auto" w:fill="D9D9D9"/>
            <w:vAlign w:val="bottom"/>
          </w:tcPr>
          <w:p w:rsidR="00D608F7" w:rsidRDefault="00D710CE" w:rsidP="00CA43EF">
            <w:pPr>
              <w:jc w:val="right"/>
              <w:rPr>
                <w:b/>
                <w:bCs/>
                <w:color w:val="000000"/>
              </w:rPr>
            </w:pPr>
            <w:r>
              <w:rPr>
                <w:b/>
                <w:bCs/>
                <w:color w:val="000000"/>
              </w:rPr>
              <w:t>-3.1%</w:t>
            </w:r>
          </w:p>
        </w:tc>
      </w:tr>
    </w:tbl>
    <w:p w:rsidR="00D608F7" w:rsidRDefault="00D608F7">
      <w:pPr>
        <w:rPr>
          <w:i/>
          <w:iCs/>
          <w:sz w:val="18"/>
        </w:rPr>
      </w:pPr>
      <w:r>
        <w:rPr>
          <w:i/>
          <w:iCs/>
          <w:sz w:val="18"/>
        </w:rPr>
        <w:t>* “Actual” excludes state payments on-behalf of the school district, which are unbudgeted as per state instructions.</w:t>
      </w:r>
    </w:p>
    <w:p w:rsidR="00D608F7" w:rsidRDefault="00D608F7">
      <w:pPr>
        <w:rPr>
          <w:i/>
          <w:iCs/>
          <w:sz w:val="18"/>
        </w:rPr>
      </w:pPr>
      <w:r>
        <w:rPr>
          <w:i/>
          <w:iCs/>
          <w:sz w:val="18"/>
        </w:rPr>
        <w:t># “Projected” Special Revenue Fund will be adjusted as Grants are verified by KDE.</w:t>
      </w:r>
    </w:p>
    <w:p w:rsidR="00D608F7" w:rsidRDefault="00D608F7">
      <w:pPr>
        <w:pStyle w:val="BodyText"/>
      </w:pPr>
    </w:p>
    <w:p w:rsidR="00D608F7" w:rsidRDefault="00D608F7" w:rsidP="00A76267">
      <w:pPr>
        <w:pStyle w:val="BodyText"/>
      </w:pPr>
      <w:r>
        <w:t>Table B presents an overview of recommended changes in projected revenue in all funds (except Special Revenue) since the January review of projected receipts and expenses.  Projected revenue in the Draft Budget was $</w:t>
      </w:r>
      <w:r w:rsidR="00D710CE">
        <w:t>20,910,089</w:t>
      </w:r>
      <w:r>
        <w:rPr>
          <w:color w:val="000000"/>
        </w:rPr>
        <w:t xml:space="preserve">.  The Tentative Budget projection is </w:t>
      </w:r>
      <w:r w:rsidR="00D710CE">
        <w:rPr>
          <w:color w:val="000000"/>
        </w:rPr>
        <w:t>up</w:t>
      </w:r>
      <w:r>
        <w:rPr>
          <w:color w:val="000000"/>
        </w:rPr>
        <w:t xml:space="preserve"> by $</w:t>
      </w:r>
      <w:r w:rsidR="00D710CE">
        <w:rPr>
          <w:color w:val="000000"/>
        </w:rPr>
        <w:t>1,</w:t>
      </w:r>
      <w:r w:rsidR="00722030">
        <w:rPr>
          <w:color w:val="000000"/>
        </w:rPr>
        <w:t>837</w:t>
      </w:r>
      <w:r w:rsidR="00D710CE">
        <w:rPr>
          <w:color w:val="000000"/>
        </w:rPr>
        <w:t>,514</w:t>
      </w:r>
      <w:r>
        <w:rPr>
          <w:color w:val="000000"/>
        </w:rPr>
        <w:t xml:space="preserve">.  The major differences are in the </w:t>
      </w:r>
      <w:r w:rsidR="00350761">
        <w:rPr>
          <w:color w:val="000000"/>
        </w:rPr>
        <w:t>General Revenue</w:t>
      </w:r>
      <w:r w:rsidR="00D710CE">
        <w:rPr>
          <w:color w:val="000000"/>
        </w:rPr>
        <w:t xml:space="preserve"> and School Food Service</w:t>
      </w:r>
      <w:r>
        <w:rPr>
          <w:color w:val="000000"/>
        </w:rPr>
        <w:t xml:space="preserve"> funds.  The SEEK base used in this projection for </w:t>
      </w:r>
      <w:r w:rsidR="00D710CE">
        <w:rPr>
          <w:color w:val="000000"/>
        </w:rPr>
        <w:t>2012-13</w:t>
      </w:r>
      <w:r>
        <w:rPr>
          <w:color w:val="000000"/>
        </w:rPr>
        <w:t xml:space="preserve"> was $3,</w:t>
      </w:r>
      <w:r w:rsidR="00D710CE">
        <w:rPr>
          <w:color w:val="000000"/>
        </w:rPr>
        <w:t>833</w:t>
      </w:r>
      <w:r>
        <w:rPr>
          <w:color w:val="000000"/>
        </w:rPr>
        <w:t xml:space="preserve"> per ADA.  </w:t>
      </w:r>
      <w:r>
        <w:t>Table B excluded projected Special Revenue funds in order to compare revenues from the Draft and Tentative Budgets.  More definitive funding amounts should be available by the time the Board considers the Working Budget in September.</w:t>
      </w:r>
    </w:p>
    <w:p w:rsidR="00D608F7" w:rsidRDefault="00D608F7">
      <w:pPr>
        <w:pStyle w:val="BodyText"/>
        <w:rPr>
          <w:color w:val="000000"/>
        </w:rPr>
      </w:pPr>
    </w:p>
    <w:p w:rsidR="00D608F7" w:rsidRDefault="00D608F7" w:rsidP="00A76267">
      <w:pPr>
        <w:pStyle w:val="Heading1"/>
        <w:rPr>
          <w:b/>
        </w:rPr>
      </w:pPr>
      <w:r>
        <w:rPr>
          <w:b/>
        </w:rPr>
        <w:t>Table B</w:t>
      </w:r>
    </w:p>
    <w:p w:rsidR="00D608F7" w:rsidRDefault="00D608F7" w:rsidP="00A76267">
      <w:pPr>
        <w:pStyle w:val="Heading5"/>
      </w:pPr>
      <w:r>
        <w:t xml:space="preserve">Comparison - Projected Revenues - </w:t>
      </w:r>
      <w:r w:rsidR="00A149B7">
        <w:t>2011-12</w:t>
      </w:r>
      <w:r>
        <w:t xml:space="preserve"> Draft &amp; Tentative Budget</w:t>
      </w:r>
    </w:p>
    <w:p w:rsidR="00D608F7" w:rsidRDefault="00D608F7" w:rsidP="00A76267">
      <w:pPr>
        <w:jc w:val="center"/>
        <w:rPr>
          <w:sz w:val="24"/>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553"/>
        <w:gridCol w:w="1442"/>
        <w:gridCol w:w="1437"/>
        <w:gridCol w:w="1528"/>
      </w:tblGrid>
      <w:tr w:rsidR="00D608F7" w:rsidTr="00CA43EF">
        <w:trPr>
          <w:trHeight w:val="250"/>
          <w:jc w:val="center"/>
        </w:trPr>
        <w:tc>
          <w:tcPr>
            <w:tcW w:w="1834" w:type="pct"/>
            <w:tcBorders>
              <w:bottom w:val="nil"/>
            </w:tcBorders>
            <w:shd w:val="clear" w:color="auto" w:fill="D9D9D9"/>
            <w:vAlign w:val="center"/>
          </w:tcPr>
          <w:p w:rsidR="00D608F7" w:rsidRPr="009D3C1A" w:rsidRDefault="00D608F7" w:rsidP="00CA43EF">
            <w:pPr>
              <w:rPr>
                <w:b/>
                <w:i/>
                <w:snapToGrid w:val="0"/>
                <w:color w:val="000000"/>
              </w:rPr>
            </w:pPr>
            <w:r w:rsidRPr="009D3C1A">
              <w:rPr>
                <w:b/>
                <w:i/>
                <w:snapToGrid w:val="0"/>
                <w:color w:val="000000"/>
              </w:rPr>
              <w:t>Fund</w:t>
            </w:r>
          </w:p>
        </w:tc>
        <w:tc>
          <w:tcPr>
            <w:tcW w:w="1036" w:type="pct"/>
            <w:tcBorders>
              <w:bottom w:val="nil"/>
            </w:tcBorders>
            <w:shd w:val="clear" w:color="auto" w:fill="D9D9D9"/>
            <w:vAlign w:val="center"/>
          </w:tcPr>
          <w:p w:rsidR="00D608F7" w:rsidRPr="009D3C1A" w:rsidRDefault="00D608F7" w:rsidP="00CA43EF">
            <w:pPr>
              <w:jc w:val="center"/>
              <w:rPr>
                <w:b/>
                <w:i/>
                <w:snapToGrid w:val="0"/>
                <w:color w:val="000000"/>
              </w:rPr>
            </w:pPr>
            <w:r w:rsidRPr="009D3C1A">
              <w:rPr>
                <w:b/>
                <w:i/>
                <w:snapToGrid w:val="0"/>
                <w:color w:val="000000"/>
              </w:rPr>
              <w:t>Draft</w:t>
            </w:r>
          </w:p>
        </w:tc>
        <w:tc>
          <w:tcPr>
            <w:tcW w:w="1032" w:type="pct"/>
            <w:tcBorders>
              <w:bottom w:val="nil"/>
            </w:tcBorders>
            <w:shd w:val="clear" w:color="auto" w:fill="D9D9D9"/>
            <w:vAlign w:val="center"/>
          </w:tcPr>
          <w:p w:rsidR="00D608F7" w:rsidRPr="009D3C1A" w:rsidRDefault="00D608F7" w:rsidP="00CA43EF">
            <w:pPr>
              <w:jc w:val="center"/>
              <w:rPr>
                <w:b/>
                <w:i/>
                <w:snapToGrid w:val="0"/>
                <w:color w:val="000000"/>
              </w:rPr>
            </w:pPr>
            <w:r w:rsidRPr="009D3C1A">
              <w:rPr>
                <w:b/>
                <w:i/>
                <w:snapToGrid w:val="0"/>
                <w:color w:val="000000"/>
              </w:rPr>
              <w:t>Projected</w:t>
            </w:r>
          </w:p>
        </w:tc>
        <w:tc>
          <w:tcPr>
            <w:tcW w:w="1098" w:type="pct"/>
            <w:tcBorders>
              <w:bottom w:val="nil"/>
            </w:tcBorders>
            <w:shd w:val="clear" w:color="auto" w:fill="D9D9D9"/>
            <w:vAlign w:val="center"/>
          </w:tcPr>
          <w:p w:rsidR="00D608F7" w:rsidRPr="009D3C1A" w:rsidRDefault="00D608F7" w:rsidP="00CA43EF">
            <w:pPr>
              <w:jc w:val="center"/>
              <w:rPr>
                <w:b/>
                <w:i/>
                <w:snapToGrid w:val="0"/>
                <w:color w:val="000000"/>
              </w:rPr>
            </w:pPr>
            <w:r w:rsidRPr="009D3C1A">
              <w:rPr>
                <w:b/>
                <w:i/>
                <w:snapToGrid w:val="0"/>
                <w:color w:val="000000"/>
              </w:rPr>
              <w:t>Change</w:t>
            </w:r>
          </w:p>
        </w:tc>
      </w:tr>
      <w:tr w:rsidR="00D608F7" w:rsidTr="00CA43EF">
        <w:trPr>
          <w:trHeight w:val="264"/>
          <w:jc w:val="center"/>
        </w:trPr>
        <w:tc>
          <w:tcPr>
            <w:tcW w:w="1834" w:type="pct"/>
            <w:tcBorders>
              <w:top w:val="nil"/>
            </w:tcBorders>
            <w:shd w:val="clear" w:color="auto" w:fill="D9D9D9"/>
            <w:vAlign w:val="center"/>
          </w:tcPr>
          <w:p w:rsidR="00D608F7" w:rsidRPr="009D3C1A" w:rsidRDefault="00D608F7" w:rsidP="00CA43EF">
            <w:pPr>
              <w:jc w:val="center"/>
              <w:rPr>
                <w:b/>
                <w:i/>
                <w:snapToGrid w:val="0"/>
                <w:color w:val="000000"/>
              </w:rPr>
            </w:pPr>
          </w:p>
        </w:tc>
        <w:tc>
          <w:tcPr>
            <w:tcW w:w="1036" w:type="pct"/>
            <w:tcBorders>
              <w:top w:val="nil"/>
            </w:tcBorders>
            <w:shd w:val="clear" w:color="auto" w:fill="D9D9D9"/>
            <w:vAlign w:val="center"/>
          </w:tcPr>
          <w:p w:rsidR="00D608F7" w:rsidRPr="009D3C1A" w:rsidRDefault="00FF1991" w:rsidP="00CA43EF">
            <w:pPr>
              <w:jc w:val="center"/>
              <w:rPr>
                <w:b/>
                <w:i/>
                <w:snapToGrid w:val="0"/>
                <w:color w:val="000000"/>
              </w:rPr>
            </w:pPr>
            <w:r>
              <w:rPr>
                <w:b/>
                <w:i/>
                <w:snapToGrid w:val="0"/>
                <w:color w:val="000000"/>
              </w:rPr>
              <w:t>2012-13</w:t>
            </w:r>
          </w:p>
        </w:tc>
        <w:tc>
          <w:tcPr>
            <w:tcW w:w="1032" w:type="pct"/>
            <w:tcBorders>
              <w:top w:val="nil"/>
            </w:tcBorders>
            <w:shd w:val="clear" w:color="auto" w:fill="D9D9D9"/>
            <w:vAlign w:val="center"/>
          </w:tcPr>
          <w:p w:rsidR="00D608F7" w:rsidRPr="009D3C1A" w:rsidRDefault="00FF1991" w:rsidP="00FF1991">
            <w:pPr>
              <w:jc w:val="center"/>
              <w:rPr>
                <w:b/>
                <w:i/>
                <w:snapToGrid w:val="0"/>
                <w:color w:val="000000"/>
              </w:rPr>
            </w:pPr>
            <w:r>
              <w:rPr>
                <w:b/>
                <w:i/>
                <w:snapToGrid w:val="0"/>
                <w:color w:val="000000"/>
              </w:rPr>
              <w:t>2012-13</w:t>
            </w:r>
          </w:p>
        </w:tc>
        <w:tc>
          <w:tcPr>
            <w:tcW w:w="1098" w:type="pct"/>
            <w:tcBorders>
              <w:top w:val="nil"/>
            </w:tcBorders>
            <w:shd w:val="clear" w:color="auto" w:fill="D9D9D9"/>
            <w:vAlign w:val="center"/>
          </w:tcPr>
          <w:p w:rsidR="00D608F7" w:rsidRPr="009D3C1A" w:rsidRDefault="00D608F7" w:rsidP="00CA43EF">
            <w:pPr>
              <w:jc w:val="center"/>
              <w:rPr>
                <w:b/>
                <w:i/>
                <w:snapToGrid w:val="0"/>
                <w:color w:val="000000"/>
              </w:rPr>
            </w:pPr>
            <w:r w:rsidRPr="009D3C1A">
              <w:rPr>
                <w:b/>
                <w:i/>
                <w:snapToGrid w:val="0"/>
                <w:color w:val="000000"/>
              </w:rPr>
              <w:t>Proj – Draft</w:t>
            </w:r>
          </w:p>
        </w:tc>
      </w:tr>
      <w:tr w:rsidR="00FB433E" w:rsidTr="00CA43EF">
        <w:trPr>
          <w:trHeight w:val="250"/>
          <w:jc w:val="center"/>
        </w:trPr>
        <w:tc>
          <w:tcPr>
            <w:tcW w:w="1834" w:type="pct"/>
            <w:vAlign w:val="bottom"/>
          </w:tcPr>
          <w:p w:rsidR="00FB433E" w:rsidRPr="009D3C1A" w:rsidRDefault="00FB433E" w:rsidP="00CA43EF">
            <w:pPr>
              <w:rPr>
                <w:snapToGrid w:val="0"/>
                <w:color w:val="000000"/>
              </w:rPr>
            </w:pPr>
            <w:r w:rsidRPr="009D3C1A">
              <w:rPr>
                <w:snapToGrid w:val="0"/>
                <w:color w:val="000000"/>
              </w:rPr>
              <w:t xml:space="preserve">General Fund </w:t>
            </w:r>
          </w:p>
        </w:tc>
        <w:tc>
          <w:tcPr>
            <w:tcW w:w="1036" w:type="pct"/>
            <w:vAlign w:val="bottom"/>
          </w:tcPr>
          <w:p w:rsidR="00FB433E" w:rsidRDefault="00F93921" w:rsidP="00F93921">
            <w:pPr>
              <w:jc w:val="right"/>
            </w:pPr>
            <w:r>
              <w:t>18,121,016</w:t>
            </w:r>
          </w:p>
        </w:tc>
        <w:tc>
          <w:tcPr>
            <w:tcW w:w="1032" w:type="pct"/>
            <w:vAlign w:val="bottom"/>
          </w:tcPr>
          <w:p w:rsidR="00FB433E" w:rsidRDefault="00F93921" w:rsidP="00F93921">
            <w:pPr>
              <w:jc w:val="right"/>
              <w:rPr>
                <w:color w:val="000000"/>
              </w:rPr>
            </w:pPr>
            <w:r>
              <w:rPr>
                <w:color w:val="000000"/>
              </w:rPr>
              <w:t>18,526,699</w:t>
            </w:r>
          </w:p>
        </w:tc>
        <w:tc>
          <w:tcPr>
            <w:tcW w:w="1098" w:type="pct"/>
            <w:vAlign w:val="bottom"/>
          </w:tcPr>
          <w:p w:rsidR="00FB433E" w:rsidRPr="009C2E25" w:rsidRDefault="009C2E25" w:rsidP="00CA43EF">
            <w:pPr>
              <w:jc w:val="right"/>
            </w:pPr>
            <w:r w:rsidRPr="009C2E25">
              <w:t>405,683</w:t>
            </w:r>
          </w:p>
        </w:tc>
      </w:tr>
      <w:tr w:rsidR="00FB433E" w:rsidTr="00CA43EF">
        <w:trPr>
          <w:trHeight w:val="250"/>
          <w:jc w:val="center"/>
        </w:trPr>
        <w:tc>
          <w:tcPr>
            <w:tcW w:w="1834" w:type="pct"/>
            <w:vAlign w:val="bottom"/>
          </w:tcPr>
          <w:p w:rsidR="00FB433E" w:rsidRPr="009D3C1A" w:rsidRDefault="00FB433E" w:rsidP="00CA43EF">
            <w:pPr>
              <w:rPr>
                <w:snapToGrid w:val="0"/>
                <w:color w:val="000000"/>
              </w:rPr>
            </w:pPr>
            <w:r w:rsidRPr="009D3C1A">
              <w:rPr>
                <w:snapToGrid w:val="0"/>
                <w:color w:val="000000"/>
              </w:rPr>
              <w:t xml:space="preserve">Special Revenue Fund (#) </w:t>
            </w:r>
          </w:p>
        </w:tc>
        <w:tc>
          <w:tcPr>
            <w:tcW w:w="1036" w:type="pct"/>
            <w:vAlign w:val="bottom"/>
          </w:tcPr>
          <w:p w:rsidR="00FB433E" w:rsidRDefault="00F93921" w:rsidP="00CA43EF">
            <w:pPr>
              <w:jc w:val="right"/>
            </w:pPr>
            <w:r>
              <w:t>0</w:t>
            </w:r>
          </w:p>
        </w:tc>
        <w:tc>
          <w:tcPr>
            <w:tcW w:w="1032" w:type="pct"/>
            <w:vAlign w:val="bottom"/>
          </w:tcPr>
          <w:p w:rsidR="00FB433E" w:rsidRDefault="00F93921" w:rsidP="00CF3360">
            <w:pPr>
              <w:jc w:val="right"/>
              <w:rPr>
                <w:color w:val="000000"/>
              </w:rPr>
            </w:pPr>
            <w:r>
              <w:rPr>
                <w:color w:val="000000"/>
              </w:rPr>
              <w:t>8</w:t>
            </w:r>
            <w:r w:rsidR="00CF3360">
              <w:rPr>
                <w:color w:val="000000"/>
              </w:rPr>
              <w:t>7</w:t>
            </w:r>
            <w:r>
              <w:rPr>
                <w:color w:val="000000"/>
              </w:rPr>
              <w:t>7,631</w:t>
            </w:r>
          </w:p>
        </w:tc>
        <w:tc>
          <w:tcPr>
            <w:tcW w:w="1098" w:type="pct"/>
            <w:vAlign w:val="bottom"/>
          </w:tcPr>
          <w:p w:rsidR="00FB433E" w:rsidRDefault="009C2E25" w:rsidP="00CF3360">
            <w:pPr>
              <w:jc w:val="right"/>
              <w:rPr>
                <w:color w:val="000000"/>
              </w:rPr>
            </w:pPr>
            <w:r>
              <w:rPr>
                <w:color w:val="000000"/>
              </w:rPr>
              <w:t>8</w:t>
            </w:r>
            <w:r w:rsidR="00CF3360">
              <w:rPr>
                <w:color w:val="000000"/>
              </w:rPr>
              <w:t>7</w:t>
            </w:r>
            <w:r>
              <w:rPr>
                <w:color w:val="000000"/>
              </w:rPr>
              <w:t>7,631</w:t>
            </w:r>
          </w:p>
        </w:tc>
      </w:tr>
      <w:tr w:rsidR="00FB433E" w:rsidTr="00CA43EF">
        <w:trPr>
          <w:trHeight w:val="250"/>
          <w:jc w:val="center"/>
        </w:trPr>
        <w:tc>
          <w:tcPr>
            <w:tcW w:w="1834" w:type="pct"/>
            <w:vAlign w:val="bottom"/>
          </w:tcPr>
          <w:p w:rsidR="00FB433E" w:rsidRPr="009D3C1A" w:rsidRDefault="00FB433E" w:rsidP="00CA43EF">
            <w:pPr>
              <w:rPr>
                <w:snapToGrid w:val="0"/>
                <w:color w:val="000000"/>
              </w:rPr>
            </w:pPr>
            <w:r w:rsidRPr="009D3C1A">
              <w:rPr>
                <w:snapToGrid w:val="0"/>
                <w:color w:val="000000"/>
              </w:rPr>
              <w:t xml:space="preserve">Capital Outlay Fund  </w:t>
            </w:r>
          </w:p>
        </w:tc>
        <w:tc>
          <w:tcPr>
            <w:tcW w:w="1036" w:type="pct"/>
            <w:vAlign w:val="bottom"/>
          </w:tcPr>
          <w:p w:rsidR="00FB433E" w:rsidRDefault="00F93921" w:rsidP="00CA43EF">
            <w:pPr>
              <w:jc w:val="right"/>
            </w:pPr>
            <w:r>
              <w:t>213,500</w:t>
            </w:r>
          </w:p>
        </w:tc>
        <w:tc>
          <w:tcPr>
            <w:tcW w:w="1032" w:type="pct"/>
            <w:vAlign w:val="bottom"/>
          </w:tcPr>
          <w:p w:rsidR="00FB433E" w:rsidRDefault="00F93921" w:rsidP="008632A1">
            <w:pPr>
              <w:jc w:val="right"/>
              <w:rPr>
                <w:color w:val="000000"/>
              </w:rPr>
            </w:pPr>
            <w:r>
              <w:rPr>
                <w:color w:val="000000"/>
              </w:rPr>
              <w:t>213,500</w:t>
            </w:r>
          </w:p>
        </w:tc>
        <w:tc>
          <w:tcPr>
            <w:tcW w:w="1098" w:type="pct"/>
            <w:vAlign w:val="bottom"/>
          </w:tcPr>
          <w:p w:rsidR="00FB433E" w:rsidRDefault="009C2E25" w:rsidP="00CA43EF">
            <w:pPr>
              <w:jc w:val="right"/>
              <w:rPr>
                <w:color w:val="000000"/>
              </w:rPr>
            </w:pPr>
            <w:r>
              <w:rPr>
                <w:color w:val="000000"/>
              </w:rPr>
              <w:t>0</w:t>
            </w:r>
          </w:p>
        </w:tc>
      </w:tr>
      <w:tr w:rsidR="00FB433E" w:rsidTr="00CA43EF">
        <w:trPr>
          <w:trHeight w:val="250"/>
          <w:jc w:val="center"/>
        </w:trPr>
        <w:tc>
          <w:tcPr>
            <w:tcW w:w="1834" w:type="pct"/>
            <w:vAlign w:val="bottom"/>
          </w:tcPr>
          <w:p w:rsidR="00FB433E" w:rsidRPr="009D3C1A" w:rsidRDefault="00FB433E" w:rsidP="00CA43EF">
            <w:pPr>
              <w:rPr>
                <w:snapToGrid w:val="0"/>
                <w:color w:val="000000"/>
              </w:rPr>
            </w:pPr>
            <w:r w:rsidRPr="009D3C1A">
              <w:rPr>
                <w:snapToGrid w:val="0"/>
                <w:color w:val="000000"/>
              </w:rPr>
              <w:t xml:space="preserve">Building Fund  </w:t>
            </w:r>
          </w:p>
        </w:tc>
        <w:tc>
          <w:tcPr>
            <w:tcW w:w="1036" w:type="pct"/>
            <w:vAlign w:val="bottom"/>
          </w:tcPr>
          <w:p w:rsidR="00FB433E" w:rsidRDefault="00F93921" w:rsidP="00CA43EF">
            <w:pPr>
              <w:jc w:val="right"/>
            </w:pPr>
            <w:r>
              <w:t>1,510,273</w:t>
            </w:r>
          </w:p>
        </w:tc>
        <w:tc>
          <w:tcPr>
            <w:tcW w:w="1032" w:type="pct"/>
            <w:vAlign w:val="bottom"/>
          </w:tcPr>
          <w:p w:rsidR="00FB433E" w:rsidRDefault="00F93921" w:rsidP="008632A1">
            <w:pPr>
              <w:jc w:val="right"/>
              <w:rPr>
                <w:color w:val="000000"/>
              </w:rPr>
            </w:pPr>
            <w:r>
              <w:rPr>
                <w:color w:val="000000"/>
              </w:rPr>
              <w:t>1,510,273</w:t>
            </w:r>
          </w:p>
        </w:tc>
        <w:tc>
          <w:tcPr>
            <w:tcW w:w="1098" w:type="pct"/>
            <w:vAlign w:val="bottom"/>
          </w:tcPr>
          <w:p w:rsidR="00FB433E" w:rsidRPr="009C2E25" w:rsidRDefault="009C2E25" w:rsidP="00CA43EF">
            <w:pPr>
              <w:jc w:val="right"/>
            </w:pPr>
            <w:r w:rsidRPr="009C2E25">
              <w:t>0</w:t>
            </w:r>
          </w:p>
        </w:tc>
      </w:tr>
      <w:tr w:rsidR="00FB433E" w:rsidTr="00FF1991">
        <w:trPr>
          <w:trHeight w:val="368"/>
          <w:jc w:val="center"/>
        </w:trPr>
        <w:tc>
          <w:tcPr>
            <w:tcW w:w="1834" w:type="pct"/>
            <w:vAlign w:val="bottom"/>
          </w:tcPr>
          <w:p w:rsidR="00FB433E" w:rsidRPr="009D3C1A" w:rsidRDefault="00FB433E" w:rsidP="00CA43EF">
            <w:pPr>
              <w:rPr>
                <w:snapToGrid w:val="0"/>
                <w:color w:val="000000"/>
              </w:rPr>
            </w:pPr>
            <w:r w:rsidRPr="009D3C1A">
              <w:rPr>
                <w:snapToGrid w:val="0"/>
                <w:color w:val="000000"/>
              </w:rPr>
              <w:t xml:space="preserve">Food Service Fund  </w:t>
            </w:r>
          </w:p>
        </w:tc>
        <w:tc>
          <w:tcPr>
            <w:tcW w:w="1036" w:type="pct"/>
            <w:vAlign w:val="bottom"/>
          </w:tcPr>
          <w:p w:rsidR="00FB433E" w:rsidRDefault="00F93921" w:rsidP="00CA43EF">
            <w:pPr>
              <w:jc w:val="right"/>
            </w:pPr>
            <w:r>
              <w:t>1,065,300</w:t>
            </w:r>
          </w:p>
        </w:tc>
        <w:tc>
          <w:tcPr>
            <w:tcW w:w="1032" w:type="pct"/>
            <w:vAlign w:val="bottom"/>
          </w:tcPr>
          <w:p w:rsidR="00FB433E" w:rsidRDefault="00F93921" w:rsidP="008632A1">
            <w:pPr>
              <w:jc w:val="right"/>
              <w:rPr>
                <w:color w:val="000000"/>
              </w:rPr>
            </w:pPr>
            <w:r>
              <w:rPr>
                <w:color w:val="000000"/>
              </w:rPr>
              <w:t>1,619,500</w:t>
            </w:r>
          </w:p>
        </w:tc>
        <w:tc>
          <w:tcPr>
            <w:tcW w:w="1098" w:type="pct"/>
            <w:vAlign w:val="bottom"/>
          </w:tcPr>
          <w:p w:rsidR="00FB433E" w:rsidRPr="009C2E25" w:rsidRDefault="009C2E25" w:rsidP="00CA43EF">
            <w:pPr>
              <w:jc w:val="right"/>
            </w:pPr>
            <w:r w:rsidRPr="009C2E25">
              <w:t>554,200</w:t>
            </w:r>
          </w:p>
        </w:tc>
      </w:tr>
      <w:tr w:rsidR="00D608F7" w:rsidTr="00CA43EF">
        <w:trPr>
          <w:trHeight w:val="264"/>
          <w:jc w:val="center"/>
        </w:trPr>
        <w:tc>
          <w:tcPr>
            <w:tcW w:w="1834" w:type="pct"/>
            <w:shd w:val="clear" w:color="auto" w:fill="D9D9D9"/>
            <w:vAlign w:val="bottom"/>
          </w:tcPr>
          <w:p w:rsidR="00D608F7" w:rsidRPr="00C63AC0" w:rsidRDefault="00D608F7" w:rsidP="00CA43EF">
            <w:pPr>
              <w:rPr>
                <w:b/>
                <w:snapToGrid w:val="0"/>
                <w:color w:val="000000"/>
              </w:rPr>
            </w:pPr>
            <w:r w:rsidRPr="00C63AC0">
              <w:rPr>
                <w:b/>
                <w:snapToGrid w:val="0"/>
                <w:color w:val="000000"/>
              </w:rPr>
              <w:t xml:space="preserve">Total All Funds </w:t>
            </w:r>
          </w:p>
        </w:tc>
        <w:tc>
          <w:tcPr>
            <w:tcW w:w="1036" w:type="pct"/>
            <w:shd w:val="clear" w:color="auto" w:fill="D9D9D9"/>
            <w:vAlign w:val="bottom"/>
          </w:tcPr>
          <w:p w:rsidR="00D608F7" w:rsidRDefault="009C2E25" w:rsidP="00CA43EF">
            <w:pPr>
              <w:jc w:val="right"/>
              <w:rPr>
                <w:b/>
                <w:bCs/>
              </w:rPr>
            </w:pPr>
            <w:r>
              <w:rPr>
                <w:b/>
                <w:bCs/>
              </w:rPr>
              <w:t>20,910,089</w:t>
            </w:r>
          </w:p>
        </w:tc>
        <w:tc>
          <w:tcPr>
            <w:tcW w:w="1032" w:type="pct"/>
            <w:shd w:val="clear" w:color="auto" w:fill="D9D9D9"/>
            <w:vAlign w:val="bottom"/>
          </w:tcPr>
          <w:p w:rsidR="00D608F7" w:rsidRDefault="009C2E25" w:rsidP="00CF3360">
            <w:pPr>
              <w:jc w:val="right"/>
              <w:rPr>
                <w:b/>
                <w:bCs/>
              </w:rPr>
            </w:pPr>
            <w:r>
              <w:rPr>
                <w:b/>
                <w:bCs/>
              </w:rPr>
              <w:t>22,</w:t>
            </w:r>
            <w:r w:rsidR="00CF3360">
              <w:rPr>
                <w:b/>
                <w:bCs/>
              </w:rPr>
              <w:t>74</w:t>
            </w:r>
            <w:r>
              <w:rPr>
                <w:b/>
                <w:bCs/>
              </w:rPr>
              <w:t>7,603</w:t>
            </w:r>
          </w:p>
        </w:tc>
        <w:tc>
          <w:tcPr>
            <w:tcW w:w="1098" w:type="pct"/>
            <w:shd w:val="clear" w:color="auto" w:fill="D9D9D9"/>
            <w:vAlign w:val="bottom"/>
          </w:tcPr>
          <w:p w:rsidR="00D608F7" w:rsidRPr="009C2E25" w:rsidRDefault="009C2E25" w:rsidP="00CF3360">
            <w:pPr>
              <w:jc w:val="right"/>
              <w:rPr>
                <w:b/>
                <w:bCs/>
              </w:rPr>
            </w:pPr>
            <w:r w:rsidRPr="009C2E25">
              <w:rPr>
                <w:b/>
                <w:bCs/>
              </w:rPr>
              <w:t>1,</w:t>
            </w:r>
            <w:r w:rsidR="00CF3360">
              <w:rPr>
                <w:b/>
                <w:bCs/>
              </w:rPr>
              <w:t>83</w:t>
            </w:r>
            <w:r w:rsidRPr="009C2E25">
              <w:rPr>
                <w:b/>
                <w:bCs/>
              </w:rPr>
              <w:t>7,514</w:t>
            </w:r>
          </w:p>
        </w:tc>
      </w:tr>
    </w:tbl>
    <w:p w:rsidR="00D608F7" w:rsidRDefault="00D608F7" w:rsidP="00A76267">
      <w:pPr>
        <w:rPr>
          <w:i/>
          <w:iCs/>
          <w:sz w:val="18"/>
        </w:rPr>
      </w:pPr>
    </w:p>
    <w:p w:rsidR="00D608F7" w:rsidRDefault="00D608F7">
      <w:pPr>
        <w:pStyle w:val="BodyText"/>
        <w:rPr>
          <w:color w:val="000000"/>
        </w:rPr>
      </w:pPr>
      <w:r>
        <w:rPr>
          <w:color w:val="000000"/>
        </w:rPr>
        <w:t xml:space="preserve">Due to uncertainty about Special Revenue funding, the district was not required to account for Special Revenue funds in the Draft Budget presented to the Board in January.  This Tentative Budget </w:t>
      </w:r>
      <w:r>
        <w:rPr>
          <w:b/>
          <w:color w:val="000000"/>
          <w:u w:val="single"/>
        </w:rPr>
        <w:t xml:space="preserve">includes a low </w:t>
      </w:r>
      <w:r w:rsidRPr="00A76267">
        <w:rPr>
          <w:b/>
          <w:color w:val="000000"/>
          <w:u w:val="single"/>
        </w:rPr>
        <w:t>estimate of these federal, state and local funds due to continued uncertainty</w:t>
      </w:r>
      <w:r>
        <w:rPr>
          <w:color w:val="000000"/>
        </w:rPr>
        <w:t>.</w:t>
      </w:r>
    </w:p>
    <w:p w:rsidR="00D608F7" w:rsidRDefault="00D608F7">
      <w:pPr>
        <w:pStyle w:val="BodyText"/>
        <w:rPr>
          <w:color w:val="000000"/>
        </w:rPr>
      </w:pPr>
    </w:p>
    <w:p w:rsidR="00D608F7" w:rsidRDefault="00D608F7" w:rsidP="00AE2676">
      <w:pPr>
        <w:rPr>
          <w:sz w:val="24"/>
        </w:rPr>
      </w:pPr>
    </w:p>
    <w:p w:rsidR="00D608F7" w:rsidRDefault="00D608F7" w:rsidP="00B921A4">
      <w:pPr>
        <w:rPr>
          <w:b/>
          <w:i/>
          <w:sz w:val="36"/>
          <w:u w:val="single"/>
        </w:rPr>
      </w:pPr>
      <w:r>
        <w:rPr>
          <w:sz w:val="24"/>
        </w:rPr>
        <w:br w:type="page"/>
      </w:r>
      <w:r>
        <w:rPr>
          <w:b/>
          <w:i/>
          <w:sz w:val="36"/>
          <w:u w:val="single"/>
        </w:rPr>
        <w:lastRenderedPageBreak/>
        <w:t>EXPENSES</w:t>
      </w:r>
    </w:p>
    <w:p w:rsidR="00D608F7" w:rsidRDefault="00D608F7">
      <w:pPr>
        <w:rPr>
          <w:sz w:val="24"/>
        </w:rPr>
      </w:pPr>
    </w:p>
    <w:p w:rsidR="00D608F7" w:rsidRDefault="00D608F7">
      <w:pPr>
        <w:pStyle w:val="BodyText"/>
      </w:pPr>
      <w:r>
        <w:t xml:space="preserve">Some basic considerations for </w:t>
      </w:r>
      <w:smartTag w:uri="urn:schemas-microsoft-com:office:smarttags" w:element="State">
        <w:smartTag w:uri="urn:schemas-microsoft-com:office:smarttags" w:element="place">
          <w:r>
            <w:t>Kentucky</w:t>
          </w:r>
        </w:smartTag>
      </w:smartTag>
      <w:r>
        <w:t xml:space="preserve"> local boards of education in determining expenditure allocations and how these concerns are addressed in this Tentative Budget are:</w:t>
      </w:r>
    </w:p>
    <w:p w:rsidR="00D608F7" w:rsidRDefault="00D608F7">
      <w:pPr>
        <w:rPr>
          <w:sz w:val="24"/>
        </w:rPr>
      </w:pPr>
    </w:p>
    <w:p w:rsidR="00D608F7" w:rsidRDefault="00D608F7">
      <w:pPr>
        <w:shd w:val="pct12" w:color="auto" w:fill="FFFFFF"/>
        <w:rPr>
          <w:b/>
          <w:sz w:val="24"/>
        </w:rPr>
      </w:pPr>
      <w:r>
        <w:rPr>
          <w:b/>
          <w:sz w:val="24"/>
        </w:rPr>
        <w:t>DEBT SERVICE</w:t>
      </w:r>
    </w:p>
    <w:p w:rsidR="00D608F7" w:rsidRDefault="00D608F7">
      <w:pPr>
        <w:rPr>
          <w:b/>
          <w:sz w:val="24"/>
        </w:rPr>
      </w:pPr>
    </w:p>
    <w:p w:rsidR="00D608F7" w:rsidRDefault="00D608F7">
      <w:pPr>
        <w:pStyle w:val="BodyText"/>
      </w:pPr>
      <w:r>
        <w:t xml:space="preserve">Does the proposed budget provide sufficient funds for debt service?  Table C shows the district’s required debt service payments and projected capital (restricted) revenues.  The total scheduled </w:t>
      </w:r>
      <w:r w:rsidR="009C2E25">
        <w:t>2012-13</w:t>
      </w:r>
      <w:r>
        <w:t xml:space="preserve"> debt service is $</w:t>
      </w:r>
      <w:r w:rsidR="009C2E25">
        <w:t>1,219,507</w:t>
      </w:r>
      <w:r>
        <w:t xml:space="preserve">.  This obligation is budgeted for payment from the Capital Outlay and Building Funds.  Projected </w:t>
      </w:r>
      <w:r w:rsidR="009C2E25">
        <w:t>2012-13</w:t>
      </w:r>
      <w:r>
        <w:t xml:space="preserve"> recurring revenue from the Capital Outlay and Building Funds is $</w:t>
      </w:r>
      <w:r w:rsidR="00EF663B">
        <w:t>1,</w:t>
      </w:r>
      <w:r w:rsidR="009C2E25">
        <w:t>723,773</w:t>
      </w:r>
      <w:r>
        <w:t xml:space="preserve"> (</w:t>
      </w:r>
      <w:r w:rsidRPr="00BA6AFA">
        <w:rPr>
          <w:i/>
          <w:sz w:val="20"/>
        </w:rPr>
        <w:t>interest excluded</w:t>
      </w:r>
      <w:r>
        <w:t>).  The district has sufficient projected capital (restricted) funds to pay the scheduled debt service with an uncommitted balance of $</w:t>
      </w:r>
      <w:r w:rsidR="009C2E25">
        <w:t>504,265</w:t>
      </w:r>
      <w:r>
        <w:t>.</w:t>
      </w:r>
    </w:p>
    <w:p w:rsidR="00D608F7" w:rsidRDefault="00D608F7">
      <w:pPr>
        <w:rPr>
          <w:b/>
          <w:sz w:val="24"/>
        </w:rPr>
      </w:pPr>
    </w:p>
    <w:p w:rsidR="00D608F7" w:rsidRDefault="00D608F7">
      <w:pPr>
        <w:pStyle w:val="Heading1"/>
        <w:rPr>
          <w:b/>
        </w:rPr>
      </w:pPr>
      <w:r>
        <w:rPr>
          <w:b/>
        </w:rPr>
        <w:t>Table C</w:t>
      </w:r>
    </w:p>
    <w:p w:rsidR="00D608F7" w:rsidRDefault="00D608F7">
      <w:pPr>
        <w:pStyle w:val="Heading5"/>
      </w:pPr>
      <w:r>
        <w:t xml:space="preserve">Projected Bonded Debt Payment </w:t>
      </w:r>
      <w:r w:rsidR="00FF1991">
        <w:t>–</w:t>
      </w:r>
      <w:r>
        <w:t xml:space="preserve"> </w:t>
      </w:r>
      <w:r w:rsidR="00FF1991">
        <w:t>2012-13</w:t>
      </w:r>
    </w:p>
    <w:p w:rsidR="00D608F7" w:rsidRDefault="00D608F7">
      <w:pPr>
        <w:rPr>
          <w:b/>
          <w:sz w:val="24"/>
        </w:rPr>
      </w:pP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40"/>
        <w:gridCol w:w="1710"/>
        <w:gridCol w:w="1169"/>
        <w:gridCol w:w="1531"/>
      </w:tblGrid>
      <w:tr w:rsidR="00D608F7" w:rsidTr="00FF1991">
        <w:trPr>
          <w:trHeight w:val="548"/>
          <w:jc w:val="center"/>
        </w:trPr>
        <w:tc>
          <w:tcPr>
            <w:tcW w:w="1872" w:type="pct"/>
            <w:shd w:val="clear" w:color="auto" w:fill="D9D9D9"/>
          </w:tcPr>
          <w:p w:rsidR="00D608F7" w:rsidRPr="00AE2676" w:rsidRDefault="00D608F7">
            <w:pPr>
              <w:jc w:val="center"/>
              <w:rPr>
                <w:snapToGrid w:val="0"/>
                <w:color w:val="000000"/>
              </w:rPr>
            </w:pPr>
          </w:p>
        </w:tc>
        <w:tc>
          <w:tcPr>
            <w:tcW w:w="1213" w:type="pct"/>
            <w:shd w:val="clear" w:color="auto" w:fill="D9D9D9"/>
          </w:tcPr>
          <w:p w:rsidR="00D608F7" w:rsidRDefault="00D608F7">
            <w:pPr>
              <w:jc w:val="center"/>
              <w:rPr>
                <w:b/>
                <w:i/>
                <w:snapToGrid w:val="0"/>
                <w:color w:val="000000"/>
              </w:rPr>
            </w:pPr>
            <w:r w:rsidRPr="00AE2676">
              <w:rPr>
                <w:b/>
                <w:i/>
                <w:snapToGrid w:val="0"/>
                <w:color w:val="000000"/>
              </w:rPr>
              <w:t xml:space="preserve">Total </w:t>
            </w:r>
          </w:p>
          <w:p w:rsidR="00D608F7" w:rsidRPr="00AE2676" w:rsidRDefault="00D608F7">
            <w:pPr>
              <w:jc w:val="center"/>
              <w:rPr>
                <w:b/>
                <w:i/>
                <w:snapToGrid w:val="0"/>
                <w:color w:val="000000"/>
              </w:rPr>
            </w:pPr>
            <w:r w:rsidRPr="00AE2676">
              <w:rPr>
                <w:b/>
                <w:i/>
                <w:snapToGrid w:val="0"/>
                <w:color w:val="000000"/>
              </w:rPr>
              <w:t>Debt Service</w:t>
            </w:r>
          </w:p>
        </w:tc>
        <w:tc>
          <w:tcPr>
            <w:tcW w:w="829" w:type="pct"/>
            <w:shd w:val="clear" w:color="auto" w:fill="D9D9D9"/>
          </w:tcPr>
          <w:p w:rsidR="00D608F7" w:rsidRDefault="00D608F7">
            <w:pPr>
              <w:jc w:val="center"/>
              <w:rPr>
                <w:b/>
                <w:i/>
                <w:snapToGrid w:val="0"/>
                <w:color w:val="000000"/>
              </w:rPr>
            </w:pPr>
            <w:r w:rsidRPr="00AE2676">
              <w:rPr>
                <w:b/>
                <w:i/>
                <w:snapToGrid w:val="0"/>
                <w:color w:val="000000"/>
              </w:rPr>
              <w:t xml:space="preserve">Building </w:t>
            </w:r>
          </w:p>
          <w:p w:rsidR="00D608F7" w:rsidRPr="00AE2676" w:rsidRDefault="00D608F7">
            <w:pPr>
              <w:jc w:val="center"/>
              <w:rPr>
                <w:b/>
                <w:i/>
                <w:snapToGrid w:val="0"/>
                <w:color w:val="000000"/>
              </w:rPr>
            </w:pPr>
            <w:r w:rsidRPr="00AE2676">
              <w:rPr>
                <w:b/>
                <w:i/>
                <w:snapToGrid w:val="0"/>
                <w:color w:val="000000"/>
              </w:rPr>
              <w:t>Fund</w:t>
            </w:r>
          </w:p>
        </w:tc>
        <w:tc>
          <w:tcPr>
            <w:tcW w:w="1086" w:type="pct"/>
            <w:shd w:val="clear" w:color="auto" w:fill="D9D9D9"/>
          </w:tcPr>
          <w:p w:rsidR="00D608F7" w:rsidRPr="00AE2676" w:rsidRDefault="00D608F7">
            <w:pPr>
              <w:jc w:val="center"/>
              <w:rPr>
                <w:b/>
                <w:i/>
                <w:snapToGrid w:val="0"/>
                <w:color w:val="000000"/>
              </w:rPr>
            </w:pPr>
            <w:r w:rsidRPr="00AE2676">
              <w:rPr>
                <w:b/>
                <w:i/>
                <w:snapToGrid w:val="0"/>
                <w:color w:val="000000"/>
              </w:rPr>
              <w:t>Capital Outlay</w:t>
            </w:r>
          </w:p>
          <w:p w:rsidR="00D608F7" w:rsidRPr="00AE2676" w:rsidRDefault="00D608F7">
            <w:pPr>
              <w:jc w:val="center"/>
              <w:rPr>
                <w:b/>
                <w:i/>
                <w:snapToGrid w:val="0"/>
                <w:color w:val="000000"/>
              </w:rPr>
            </w:pPr>
            <w:r w:rsidRPr="00AE2676">
              <w:rPr>
                <w:b/>
                <w:i/>
                <w:snapToGrid w:val="0"/>
                <w:color w:val="000000"/>
              </w:rPr>
              <w:t>Fund</w:t>
            </w:r>
          </w:p>
        </w:tc>
      </w:tr>
      <w:tr w:rsidR="00D608F7" w:rsidTr="00BA6AFA">
        <w:trPr>
          <w:trHeight w:val="250"/>
          <w:jc w:val="center"/>
        </w:trPr>
        <w:tc>
          <w:tcPr>
            <w:tcW w:w="1872" w:type="pct"/>
            <w:vAlign w:val="bottom"/>
          </w:tcPr>
          <w:p w:rsidR="00D608F7" w:rsidRPr="00AE2676" w:rsidRDefault="00D608F7">
            <w:pPr>
              <w:rPr>
                <w:snapToGrid w:val="0"/>
                <w:color w:val="000000"/>
              </w:rPr>
            </w:pPr>
            <w:r w:rsidRPr="00AE2676">
              <w:rPr>
                <w:snapToGrid w:val="0"/>
                <w:color w:val="000000"/>
              </w:rPr>
              <w:t>Principal</w:t>
            </w:r>
          </w:p>
        </w:tc>
        <w:tc>
          <w:tcPr>
            <w:tcW w:w="1213" w:type="pct"/>
            <w:vAlign w:val="bottom"/>
          </w:tcPr>
          <w:p w:rsidR="00D608F7" w:rsidRDefault="00D608F7" w:rsidP="009C2E25">
            <w:pPr>
              <w:jc w:val="center"/>
            </w:pPr>
            <w:r>
              <w:t>$</w:t>
            </w:r>
            <w:r w:rsidR="009C2E25">
              <w:t>732,450</w:t>
            </w:r>
            <w:r>
              <w:t xml:space="preserve"> </w:t>
            </w:r>
          </w:p>
        </w:tc>
        <w:tc>
          <w:tcPr>
            <w:tcW w:w="829" w:type="pct"/>
            <w:vAlign w:val="bottom"/>
          </w:tcPr>
          <w:p w:rsidR="00D608F7" w:rsidRDefault="00D608F7" w:rsidP="009C2E25">
            <w:pPr>
              <w:jc w:val="center"/>
            </w:pPr>
            <w:r>
              <w:t>$</w:t>
            </w:r>
            <w:r w:rsidR="009C2E25">
              <w:t>732,450</w:t>
            </w:r>
            <w:r>
              <w:t xml:space="preserve"> </w:t>
            </w:r>
          </w:p>
        </w:tc>
        <w:tc>
          <w:tcPr>
            <w:tcW w:w="1086" w:type="pct"/>
            <w:vAlign w:val="bottom"/>
          </w:tcPr>
          <w:p w:rsidR="00D608F7" w:rsidRDefault="00D608F7">
            <w:pPr>
              <w:jc w:val="center"/>
            </w:pPr>
            <w:r>
              <w:t xml:space="preserve">$0 </w:t>
            </w:r>
          </w:p>
        </w:tc>
      </w:tr>
      <w:tr w:rsidR="00D608F7" w:rsidTr="00BA6AFA">
        <w:trPr>
          <w:trHeight w:val="264"/>
          <w:jc w:val="center"/>
        </w:trPr>
        <w:tc>
          <w:tcPr>
            <w:tcW w:w="1872" w:type="pct"/>
            <w:vAlign w:val="bottom"/>
          </w:tcPr>
          <w:p w:rsidR="00D608F7" w:rsidRPr="00AE2676" w:rsidRDefault="00D608F7">
            <w:pPr>
              <w:rPr>
                <w:snapToGrid w:val="0"/>
                <w:color w:val="000000"/>
              </w:rPr>
            </w:pPr>
            <w:r w:rsidRPr="00AE2676">
              <w:rPr>
                <w:snapToGrid w:val="0"/>
                <w:color w:val="000000"/>
              </w:rPr>
              <w:t>Interest</w:t>
            </w:r>
          </w:p>
        </w:tc>
        <w:tc>
          <w:tcPr>
            <w:tcW w:w="1213" w:type="pct"/>
            <w:vAlign w:val="bottom"/>
          </w:tcPr>
          <w:p w:rsidR="00D608F7" w:rsidRDefault="00D608F7" w:rsidP="009C2E25">
            <w:pPr>
              <w:jc w:val="center"/>
            </w:pPr>
            <w:r>
              <w:t>$</w:t>
            </w:r>
            <w:r w:rsidR="009C2E25">
              <w:t>486,757</w:t>
            </w:r>
            <w:r>
              <w:t xml:space="preserve"> </w:t>
            </w:r>
          </w:p>
        </w:tc>
        <w:tc>
          <w:tcPr>
            <w:tcW w:w="829" w:type="pct"/>
            <w:vAlign w:val="bottom"/>
          </w:tcPr>
          <w:p w:rsidR="00D608F7" w:rsidRDefault="00D608F7" w:rsidP="009C2E25">
            <w:pPr>
              <w:jc w:val="center"/>
            </w:pPr>
            <w:r>
              <w:t>$</w:t>
            </w:r>
            <w:r w:rsidR="009C2E25">
              <w:t>486,757</w:t>
            </w:r>
            <w:r>
              <w:t xml:space="preserve"> </w:t>
            </w:r>
          </w:p>
        </w:tc>
        <w:tc>
          <w:tcPr>
            <w:tcW w:w="1086" w:type="pct"/>
            <w:vAlign w:val="bottom"/>
          </w:tcPr>
          <w:p w:rsidR="00D608F7" w:rsidRDefault="00D608F7">
            <w:pPr>
              <w:jc w:val="center"/>
            </w:pPr>
            <w:r>
              <w:t xml:space="preserve">$0 </w:t>
            </w:r>
          </w:p>
        </w:tc>
      </w:tr>
      <w:tr w:rsidR="00D608F7" w:rsidTr="00BA6AFA">
        <w:trPr>
          <w:trHeight w:val="278"/>
          <w:jc w:val="center"/>
        </w:trPr>
        <w:tc>
          <w:tcPr>
            <w:tcW w:w="1872" w:type="pct"/>
            <w:shd w:val="clear" w:color="auto" w:fill="D9D9D9"/>
            <w:vAlign w:val="bottom"/>
          </w:tcPr>
          <w:p w:rsidR="00D608F7" w:rsidRPr="00C63AC0" w:rsidRDefault="00D608F7">
            <w:pPr>
              <w:rPr>
                <w:b/>
                <w:snapToGrid w:val="0"/>
                <w:color w:val="000000"/>
              </w:rPr>
            </w:pPr>
            <w:r w:rsidRPr="00C63AC0">
              <w:rPr>
                <w:b/>
                <w:snapToGrid w:val="0"/>
                <w:color w:val="000000"/>
              </w:rPr>
              <w:t>Total</w:t>
            </w:r>
          </w:p>
        </w:tc>
        <w:tc>
          <w:tcPr>
            <w:tcW w:w="1213" w:type="pct"/>
            <w:shd w:val="clear" w:color="auto" w:fill="D9D9D9"/>
            <w:vAlign w:val="bottom"/>
          </w:tcPr>
          <w:p w:rsidR="00D608F7" w:rsidRDefault="00EF663B" w:rsidP="009C2E25">
            <w:pPr>
              <w:jc w:val="center"/>
              <w:rPr>
                <w:b/>
                <w:bCs/>
              </w:rPr>
            </w:pPr>
            <w:r>
              <w:rPr>
                <w:b/>
                <w:bCs/>
              </w:rPr>
              <w:t>$</w:t>
            </w:r>
            <w:r w:rsidR="009C2E25">
              <w:rPr>
                <w:b/>
                <w:bCs/>
              </w:rPr>
              <w:t>1.219.207</w:t>
            </w:r>
            <w:r w:rsidR="00D608F7">
              <w:rPr>
                <w:b/>
                <w:bCs/>
              </w:rPr>
              <w:t xml:space="preserve"> </w:t>
            </w:r>
          </w:p>
        </w:tc>
        <w:tc>
          <w:tcPr>
            <w:tcW w:w="829" w:type="pct"/>
            <w:shd w:val="clear" w:color="auto" w:fill="D9D9D9"/>
            <w:vAlign w:val="bottom"/>
          </w:tcPr>
          <w:p w:rsidR="00D608F7" w:rsidRDefault="00D608F7" w:rsidP="009C2E25">
            <w:pPr>
              <w:jc w:val="center"/>
              <w:rPr>
                <w:b/>
                <w:bCs/>
              </w:rPr>
            </w:pPr>
            <w:r>
              <w:rPr>
                <w:b/>
                <w:bCs/>
              </w:rPr>
              <w:t>$</w:t>
            </w:r>
            <w:r w:rsidR="009C2E25">
              <w:rPr>
                <w:b/>
                <w:bCs/>
              </w:rPr>
              <w:t>1,219,207</w:t>
            </w:r>
            <w:r>
              <w:rPr>
                <w:b/>
                <w:bCs/>
              </w:rPr>
              <w:t xml:space="preserve"> </w:t>
            </w:r>
          </w:p>
        </w:tc>
        <w:tc>
          <w:tcPr>
            <w:tcW w:w="1086" w:type="pct"/>
            <w:shd w:val="clear" w:color="auto" w:fill="D9D9D9"/>
            <w:vAlign w:val="bottom"/>
          </w:tcPr>
          <w:p w:rsidR="00D608F7" w:rsidRDefault="00D608F7">
            <w:pPr>
              <w:jc w:val="center"/>
              <w:rPr>
                <w:b/>
                <w:bCs/>
              </w:rPr>
            </w:pPr>
            <w:r>
              <w:rPr>
                <w:b/>
                <w:bCs/>
              </w:rPr>
              <w:t xml:space="preserve">$0 </w:t>
            </w:r>
          </w:p>
        </w:tc>
      </w:tr>
      <w:tr w:rsidR="00D608F7" w:rsidTr="00BA6AFA">
        <w:trPr>
          <w:trHeight w:val="250"/>
          <w:jc w:val="center"/>
        </w:trPr>
        <w:tc>
          <w:tcPr>
            <w:tcW w:w="1872" w:type="pct"/>
            <w:vAlign w:val="bottom"/>
          </w:tcPr>
          <w:p w:rsidR="00D608F7" w:rsidRPr="00AE2676" w:rsidRDefault="00D608F7">
            <w:pPr>
              <w:rPr>
                <w:snapToGrid w:val="0"/>
                <w:color w:val="000000"/>
              </w:rPr>
            </w:pPr>
            <w:r w:rsidRPr="00AE2676">
              <w:rPr>
                <w:snapToGrid w:val="0"/>
                <w:color w:val="000000"/>
              </w:rPr>
              <w:t>Projected Recurring Revenue</w:t>
            </w:r>
          </w:p>
        </w:tc>
        <w:tc>
          <w:tcPr>
            <w:tcW w:w="1213" w:type="pct"/>
            <w:vAlign w:val="bottom"/>
          </w:tcPr>
          <w:p w:rsidR="00D608F7" w:rsidRDefault="00D608F7" w:rsidP="009C2E25">
            <w:pPr>
              <w:jc w:val="center"/>
            </w:pPr>
            <w:r>
              <w:t>$</w:t>
            </w:r>
            <w:r w:rsidR="00EF663B">
              <w:t>1,</w:t>
            </w:r>
            <w:r w:rsidR="009C2E25">
              <w:t>723.773</w:t>
            </w:r>
            <w:r>
              <w:t xml:space="preserve"> </w:t>
            </w:r>
          </w:p>
        </w:tc>
        <w:tc>
          <w:tcPr>
            <w:tcW w:w="829" w:type="pct"/>
            <w:vAlign w:val="bottom"/>
          </w:tcPr>
          <w:p w:rsidR="00D608F7" w:rsidRDefault="00D608F7" w:rsidP="009C2E25">
            <w:pPr>
              <w:jc w:val="center"/>
            </w:pPr>
            <w:r>
              <w:t>$1</w:t>
            </w:r>
            <w:r w:rsidR="009C2E25">
              <w:t>,510,273</w:t>
            </w:r>
            <w:r>
              <w:t xml:space="preserve"> </w:t>
            </w:r>
          </w:p>
        </w:tc>
        <w:tc>
          <w:tcPr>
            <w:tcW w:w="1086" w:type="pct"/>
            <w:vAlign w:val="bottom"/>
          </w:tcPr>
          <w:p w:rsidR="00D608F7" w:rsidRDefault="00D608F7" w:rsidP="009C2E25">
            <w:pPr>
              <w:jc w:val="center"/>
            </w:pPr>
            <w:r>
              <w:t>$</w:t>
            </w:r>
            <w:r w:rsidR="009C2E25">
              <w:t>213,500</w:t>
            </w:r>
            <w:r>
              <w:t xml:space="preserve"> </w:t>
            </w:r>
          </w:p>
        </w:tc>
      </w:tr>
      <w:tr w:rsidR="00D608F7" w:rsidTr="00BA6AFA">
        <w:trPr>
          <w:trHeight w:val="250"/>
          <w:jc w:val="center"/>
        </w:trPr>
        <w:tc>
          <w:tcPr>
            <w:tcW w:w="1872" w:type="pct"/>
            <w:shd w:val="clear" w:color="auto" w:fill="D9D9D9"/>
            <w:vAlign w:val="bottom"/>
          </w:tcPr>
          <w:p w:rsidR="00D608F7" w:rsidRPr="00C63AC0" w:rsidRDefault="00D608F7">
            <w:pPr>
              <w:rPr>
                <w:b/>
                <w:snapToGrid w:val="0"/>
                <w:color w:val="000000"/>
              </w:rPr>
            </w:pPr>
            <w:r w:rsidRPr="00C63AC0">
              <w:rPr>
                <w:b/>
                <w:snapToGrid w:val="0"/>
                <w:color w:val="000000"/>
              </w:rPr>
              <w:t>Uncommitted</w:t>
            </w:r>
          </w:p>
        </w:tc>
        <w:tc>
          <w:tcPr>
            <w:tcW w:w="1213" w:type="pct"/>
            <w:shd w:val="clear" w:color="auto" w:fill="D9D9D9"/>
            <w:vAlign w:val="bottom"/>
          </w:tcPr>
          <w:p w:rsidR="00D608F7" w:rsidRDefault="00D608F7" w:rsidP="009C2E25">
            <w:pPr>
              <w:jc w:val="center"/>
              <w:rPr>
                <w:b/>
                <w:bCs/>
              </w:rPr>
            </w:pPr>
            <w:r>
              <w:rPr>
                <w:b/>
                <w:bCs/>
              </w:rPr>
              <w:t>$</w:t>
            </w:r>
            <w:r w:rsidR="009C2E25">
              <w:rPr>
                <w:b/>
                <w:bCs/>
              </w:rPr>
              <w:t>504,265</w:t>
            </w:r>
            <w:r>
              <w:rPr>
                <w:b/>
                <w:bCs/>
              </w:rPr>
              <w:t xml:space="preserve"> </w:t>
            </w:r>
          </w:p>
        </w:tc>
        <w:tc>
          <w:tcPr>
            <w:tcW w:w="829" w:type="pct"/>
            <w:shd w:val="clear" w:color="auto" w:fill="D9D9D9"/>
            <w:vAlign w:val="bottom"/>
          </w:tcPr>
          <w:p w:rsidR="00D608F7" w:rsidRDefault="00D608F7" w:rsidP="009C2E25">
            <w:pPr>
              <w:jc w:val="center"/>
              <w:rPr>
                <w:b/>
                <w:bCs/>
              </w:rPr>
            </w:pPr>
            <w:r>
              <w:rPr>
                <w:b/>
                <w:bCs/>
              </w:rPr>
              <w:t>$</w:t>
            </w:r>
            <w:r w:rsidR="009C2E25">
              <w:rPr>
                <w:b/>
                <w:bCs/>
              </w:rPr>
              <w:t>291,066</w:t>
            </w:r>
            <w:r>
              <w:rPr>
                <w:b/>
                <w:bCs/>
              </w:rPr>
              <w:t xml:space="preserve"> </w:t>
            </w:r>
          </w:p>
        </w:tc>
        <w:tc>
          <w:tcPr>
            <w:tcW w:w="1086" w:type="pct"/>
            <w:shd w:val="clear" w:color="auto" w:fill="D9D9D9"/>
            <w:vAlign w:val="bottom"/>
          </w:tcPr>
          <w:p w:rsidR="00D608F7" w:rsidRDefault="00D608F7" w:rsidP="009C2E25">
            <w:pPr>
              <w:jc w:val="center"/>
              <w:rPr>
                <w:b/>
                <w:bCs/>
              </w:rPr>
            </w:pPr>
            <w:r>
              <w:rPr>
                <w:b/>
                <w:bCs/>
              </w:rPr>
              <w:t>$</w:t>
            </w:r>
            <w:r w:rsidR="009C2E25">
              <w:rPr>
                <w:b/>
                <w:bCs/>
              </w:rPr>
              <w:t>213,500</w:t>
            </w:r>
            <w:r>
              <w:rPr>
                <w:b/>
                <w:bCs/>
              </w:rPr>
              <w:t xml:space="preserve"> </w:t>
            </w:r>
          </w:p>
        </w:tc>
      </w:tr>
    </w:tbl>
    <w:p w:rsidR="00D608F7" w:rsidRDefault="00D608F7">
      <w:pPr>
        <w:rPr>
          <w:b/>
          <w:sz w:val="24"/>
        </w:rPr>
      </w:pPr>
    </w:p>
    <w:p w:rsidR="00D608F7" w:rsidRDefault="00D608F7">
      <w:pPr>
        <w:shd w:val="pct12" w:color="auto" w:fill="FFFFFF"/>
        <w:rPr>
          <w:sz w:val="24"/>
        </w:rPr>
      </w:pPr>
      <w:r>
        <w:rPr>
          <w:b/>
          <w:sz w:val="24"/>
        </w:rPr>
        <w:t>OTHER OBLIGATIONS</w:t>
      </w:r>
    </w:p>
    <w:p w:rsidR="00D608F7" w:rsidRDefault="00D608F7">
      <w:pPr>
        <w:rPr>
          <w:sz w:val="24"/>
        </w:rPr>
      </w:pPr>
    </w:p>
    <w:p w:rsidR="00D608F7" w:rsidRDefault="00D608F7" w:rsidP="00B46CDD">
      <w:r>
        <w:rPr>
          <w:sz w:val="24"/>
        </w:rPr>
        <w:t>Does the proposed budget provide for all known obligations for the fiscal budget year, such as salary improvements for additional experience or fringe benefits costs such as accumulated sick leave at retirement?  The cost of advancing all personnel in all funds for an additional year of experience was included in the Draft Budget</w:t>
      </w:r>
      <w:r w:rsidRPr="00B46CDD">
        <w:rPr>
          <w:sz w:val="24"/>
          <w:szCs w:val="24"/>
        </w:rPr>
        <w:t>.  The Tentative Budget includes all certified and classified positions allocated to school councils approved in February.</w:t>
      </w:r>
      <w:r>
        <w:t xml:space="preserve">  </w:t>
      </w:r>
    </w:p>
    <w:p w:rsidR="00D608F7" w:rsidRDefault="00D608F7">
      <w:pPr>
        <w:rPr>
          <w:sz w:val="24"/>
        </w:rPr>
      </w:pPr>
    </w:p>
    <w:p w:rsidR="00D608F7" w:rsidRDefault="00D608F7">
      <w:pPr>
        <w:shd w:val="pct12" w:color="auto" w:fill="FFFFFF"/>
        <w:rPr>
          <w:b/>
          <w:sz w:val="24"/>
        </w:rPr>
      </w:pPr>
      <w:r>
        <w:rPr>
          <w:b/>
          <w:sz w:val="24"/>
        </w:rPr>
        <w:t>ALLOCATIONS TO COUNCILS</w:t>
      </w:r>
    </w:p>
    <w:p w:rsidR="00D608F7" w:rsidRDefault="00D608F7">
      <w:pPr>
        <w:rPr>
          <w:b/>
          <w:sz w:val="24"/>
        </w:rPr>
      </w:pPr>
    </w:p>
    <w:p w:rsidR="00D608F7" w:rsidRDefault="00D608F7">
      <w:pPr>
        <w:pStyle w:val="BodyText"/>
      </w:pPr>
      <w:r>
        <w:t>Has the board allocated sufficient funds to school councils to meet the staffing and other requirements of 702 KAR 3:245?  The allocation approved by the board in February exceeded the minimum requirements of the state regulation on allocations to school councils.  The salary schedule improvements enacted by the board are automatically incorporated into the allocation to school councils.</w:t>
      </w:r>
    </w:p>
    <w:p w:rsidR="00D608F7" w:rsidRDefault="00D608F7">
      <w:pPr>
        <w:pStyle w:val="BodyText"/>
      </w:pPr>
    </w:p>
    <w:p w:rsidR="00D608F7" w:rsidRDefault="00D608F7">
      <w:pPr>
        <w:pStyle w:val="BodyText"/>
      </w:pPr>
      <w:r>
        <w:t xml:space="preserve">The Tentative Budget does not include any funding through Section 7 of the SBDM state regulation.  The next adjustment to council allocations will be in September (if more or </w:t>
      </w:r>
      <w:r>
        <w:lastRenderedPageBreak/>
        <w:t>less students enroll) and in October, at the end of the second school month (material, travel and supplies allocations will be adjusted based on the first two (2) months actual FTE-ADA).</w:t>
      </w:r>
    </w:p>
    <w:p w:rsidR="00D608F7" w:rsidRDefault="00D608F7">
      <w:pPr>
        <w:pStyle w:val="BodyText"/>
      </w:pPr>
    </w:p>
    <w:p w:rsidR="00D608F7" w:rsidRDefault="00D608F7">
      <w:pPr>
        <w:pStyle w:val="BodyText"/>
      </w:pPr>
      <w:r>
        <w:t>The Tentative Budget does not include line item changes directed by school councils.  All funds allocated for teaching supplies and materials are located in one (1) line item of the budget at each school.  As funds are actually expended the expense is posted to the appropriate object code.</w:t>
      </w:r>
    </w:p>
    <w:p w:rsidR="00D608F7" w:rsidRDefault="00D608F7">
      <w:pPr>
        <w:rPr>
          <w:sz w:val="24"/>
        </w:rPr>
      </w:pPr>
    </w:p>
    <w:p w:rsidR="00D608F7" w:rsidRDefault="00D608F7">
      <w:pPr>
        <w:shd w:val="pct12" w:color="auto" w:fill="FFFFFF"/>
        <w:rPr>
          <w:b/>
          <w:sz w:val="24"/>
        </w:rPr>
      </w:pPr>
      <w:r>
        <w:rPr>
          <w:b/>
          <w:sz w:val="24"/>
        </w:rPr>
        <w:t>SALARY SCHEDULE IMPROVEMENTS</w:t>
      </w:r>
    </w:p>
    <w:p w:rsidR="00D608F7" w:rsidRDefault="00D608F7">
      <w:pPr>
        <w:rPr>
          <w:b/>
          <w:sz w:val="24"/>
        </w:rPr>
      </w:pPr>
    </w:p>
    <w:p w:rsidR="00D608F7" w:rsidRPr="003E070B" w:rsidRDefault="00495BE6">
      <w:pPr>
        <w:pStyle w:val="BodyText"/>
        <w:rPr>
          <w:bCs/>
          <w:color w:val="000000"/>
        </w:rPr>
      </w:pPr>
      <w:r>
        <w:rPr>
          <w:color w:val="000000"/>
        </w:rPr>
        <w:t>S</w:t>
      </w:r>
      <w:r w:rsidR="00D608F7">
        <w:rPr>
          <w:color w:val="000000"/>
        </w:rPr>
        <w:t>alary schedule improvement</w:t>
      </w:r>
      <w:r>
        <w:rPr>
          <w:color w:val="000000"/>
        </w:rPr>
        <w:t>s</w:t>
      </w:r>
      <w:r w:rsidR="00D608F7">
        <w:rPr>
          <w:color w:val="000000"/>
        </w:rPr>
        <w:t xml:space="preserve"> for </w:t>
      </w:r>
      <w:r w:rsidR="003E070B">
        <w:rPr>
          <w:color w:val="000000"/>
        </w:rPr>
        <w:t>2012-13</w:t>
      </w:r>
      <w:r w:rsidR="00D608F7">
        <w:rPr>
          <w:color w:val="000000"/>
        </w:rPr>
        <w:t xml:space="preserve"> </w:t>
      </w:r>
      <w:r>
        <w:rPr>
          <w:color w:val="000000"/>
        </w:rPr>
        <w:t>are</w:t>
      </w:r>
      <w:r w:rsidR="00D608F7">
        <w:rPr>
          <w:color w:val="000000"/>
        </w:rPr>
        <w:t xml:space="preserve"> included in the Tentative Budget.  This budget reflects </w:t>
      </w:r>
      <w:r w:rsidR="003E070B">
        <w:rPr>
          <w:color w:val="000000"/>
        </w:rPr>
        <w:t xml:space="preserve">experience steps for </w:t>
      </w:r>
      <w:r w:rsidR="00D608F7">
        <w:rPr>
          <w:color w:val="000000"/>
        </w:rPr>
        <w:t xml:space="preserve">certified and classified staff.  </w:t>
      </w:r>
      <w:r w:rsidR="00D608F7" w:rsidRPr="003E070B">
        <w:rPr>
          <w:bCs/>
          <w:color w:val="000000"/>
        </w:rPr>
        <w:t>It is important to note that approximately 8</w:t>
      </w:r>
      <w:r w:rsidRPr="003E070B">
        <w:rPr>
          <w:bCs/>
          <w:color w:val="000000"/>
        </w:rPr>
        <w:t>3</w:t>
      </w:r>
      <w:r w:rsidR="00D608F7" w:rsidRPr="003E070B">
        <w:rPr>
          <w:bCs/>
          <w:color w:val="000000"/>
        </w:rPr>
        <w:t>% of the General Fund is dedicated to personnel expense.</w:t>
      </w:r>
    </w:p>
    <w:p w:rsidR="00D608F7" w:rsidRDefault="00D608F7">
      <w:pPr>
        <w:pStyle w:val="BodyText"/>
        <w:rPr>
          <w:b/>
          <w:bCs/>
          <w:color w:val="000000"/>
        </w:rPr>
      </w:pPr>
    </w:p>
    <w:p w:rsidR="00D608F7" w:rsidRDefault="00D608F7">
      <w:pPr>
        <w:pStyle w:val="BodyText"/>
      </w:pPr>
      <w:r>
        <w:t>A summary of personnel and benefits as a portion of the General Fund, excluding accumulated sick leave, for the last thre</w:t>
      </w:r>
      <w:r w:rsidR="003E070B">
        <w:t xml:space="preserve">e (3) years is in Table D.  The </w:t>
      </w:r>
      <w:r>
        <w:t xml:space="preserve">% projected increase in </w:t>
      </w:r>
      <w:r w:rsidR="003E070B">
        <w:t>2012-13</w:t>
      </w:r>
      <w:r>
        <w:t xml:space="preserve"> General Fund personnel salaries and benefits includes the cost of experience advancement</w:t>
      </w:r>
      <w:r w:rsidR="00A26661">
        <w:t xml:space="preserve">, </w:t>
      </w:r>
      <w:r>
        <w:t xml:space="preserve">but is overstated due to return of GF personnel that were paid from Fund 2 in </w:t>
      </w:r>
      <w:r w:rsidR="003E070B">
        <w:t>2011-12</w:t>
      </w:r>
      <w:r>
        <w:t xml:space="preserve"> with federal stimulus funds.</w:t>
      </w:r>
    </w:p>
    <w:p w:rsidR="00D608F7" w:rsidRDefault="00D608F7">
      <w:pPr>
        <w:rPr>
          <w:sz w:val="24"/>
        </w:rPr>
      </w:pPr>
    </w:p>
    <w:p w:rsidR="00D608F7" w:rsidRDefault="00D608F7">
      <w:pPr>
        <w:pStyle w:val="Heading1"/>
        <w:rPr>
          <w:b/>
        </w:rPr>
      </w:pPr>
      <w:r>
        <w:rPr>
          <w:b/>
        </w:rPr>
        <w:t>Table D</w:t>
      </w:r>
    </w:p>
    <w:p w:rsidR="00D608F7" w:rsidRDefault="00D608F7">
      <w:pPr>
        <w:pStyle w:val="Heading5"/>
      </w:pPr>
      <w:r>
        <w:t xml:space="preserve">Summary of Projected Personnel Expense </w:t>
      </w:r>
      <w:r w:rsidR="00FF1991">
        <w:t>–</w:t>
      </w:r>
      <w:r>
        <w:t xml:space="preserve"> </w:t>
      </w:r>
      <w:r w:rsidR="00FF1991">
        <w:t>2012-13</w:t>
      </w:r>
      <w:r>
        <w:t xml:space="preserve"> Tentative Budget</w:t>
      </w:r>
    </w:p>
    <w:p w:rsidR="00D608F7" w:rsidRDefault="00D608F7">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51"/>
        <w:gridCol w:w="1338"/>
        <w:gridCol w:w="1202"/>
        <w:gridCol w:w="1296"/>
        <w:gridCol w:w="1296"/>
        <w:gridCol w:w="1110"/>
        <w:gridCol w:w="1107"/>
      </w:tblGrid>
      <w:tr w:rsidR="00D608F7" w:rsidTr="00CA43EF">
        <w:trPr>
          <w:trHeight w:val="250"/>
        </w:trPr>
        <w:tc>
          <w:tcPr>
            <w:tcW w:w="776" w:type="pct"/>
            <w:tcBorders>
              <w:bottom w:val="nil"/>
              <w:right w:val="nil"/>
            </w:tcBorders>
            <w:shd w:val="clear" w:color="auto" w:fill="D9D9D9"/>
          </w:tcPr>
          <w:p w:rsidR="00D608F7" w:rsidRPr="0024712D" w:rsidRDefault="00D608F7">
            <w:pPr>
              <w:jc w:val="right"/>
              <w:rPr>
                <w:snapToGrid w:val="0"/>
                <w:color w:val="000000"/>
              </w:rPr>
            </w:pPr>
          </w:p>
        </w:tc>
        <w:tc>
          <w:tcPr>
            <w:tcW w:w="769" w:type="pct"/>
            <w:tcBorders>
              <w:left w:val="nil"/>
              <w:bottom w:val="nil"/>
            </w:tcBorders>
            <w:shd w:val="clear" w:color="auto" w:fill="D9D9D9"/>
          </w:tcPr>
          <w:p w:rsidR="00D608F7" w:rsidRPr="0024712D" w:rsidRDefault="00D608F7">
            <w:pPr>
              <w:jc w:val="right"/>
              <w:rPr>
                <w:snapToGrid w:val="0"/>
                <w:color w:val="000000"/>
              </w:rPr>
            </w:pPr>
          </w:p>
        </w:tc>
        <w:tc>
          <w:tcPr>
            <w:tcW w:w="691" w:type="pct"/>
            <w:tcBorders>
              <w:bottom w:val="nil"/>
            </w:tcBorders>
            <w:shd w:val="clear" w:color="auto" w:fill="D9D9D9"/>
          </w:tcPr>
          <w:p w:rsidR="00D608F7" w:rsidRPr="0024712D" w:rsidRDefault="00D608F7">
            <w:pPr>
              <w:jc w:val="center"/>
              <w:rPr>
                <w:b/>
                <w:i/>
                <w:snapToGrid w:val="0"/>
                <w:color w:val="000000"/>
              </w:rPr>
            </w:pPr>
            <w:r w:rsidRPr="0024712D">
              <w:rPr>
                <w:b/>
                <w:i/>
                <w:snapToGrid w:val="0"/>
                <w:color w:val="000000"/>
              </w:rPr>
              <w:t>Actual</w:t>
            </w:r>
          </w:p>
        </w:tc>
        <w:tc>
          <w:tcPr>
            <w:tcW w:w="745" w:type="pct"/>
            <w:tcBorders>
              <w:bottom w:val="nil"/>
            </w:tcBorders>
            <w:shd w:val="clear" w:color="auto" w:fill="D9D9D9"/>
          </w:tcPr>
          <w:p w:rsidR="00D608F7" w:rsidRPr="0024712D" w:rsidRDefault="00D608F7">
            <w:pPr>
              <w:jc w:val="center"/>
              <w:rPr>
                <w:b/>
                <w:i/>
                <w:snapToGrid w:val="0"/>
                <w:color w:val="000000"/>
              </w:rPr>
            </w:pPr>
            <w:r w:rsidRPr="0024712D">
              <w:rPr>
                <w:b/>
                <w:i/>
                <w:snapToGrid w:val="0"/>
                <w:color w:val="000000"/>
              </w:rPr>
              <w:t>Budgeted</w:t>
            </w:r>
          </w:p>
        </w:tc>
        <w:tc>
          <w:tcPr>
            <w:tcW w:w="745" w:type="pct"/>
            <w:tcBorders>
              <w:bottom w:val="nil"/>
            </w:tcBorders>
            <w:shd w:val="clear" w:color="auto" w:fill="D9D9D9"/>
          </w:tcPr>
          <w:p w:rsidR="00D608F7" w:rsidRPr="0024712D" w:rsidRDefault="00D608F7">
            <w:pPr>
              <w:jc w:val="center"/>
              <w:rPr>
                <w:b/>
                <w:i/>
                <w:snapToGrid w:val="0"/>
                <w:color w:val="000000"/>
              </w:rPr>
            </w:pPr>
            <w:r w:rsidRPr="0024712D">
              <w:rPr>
                <w:b/>
                <w:i/>
                <w:snapToGrid w:val="0"/>
                <w:color w:val="000000"/>
              </w:rPr>
              <w:t>Projected</w:t>
            </w:r>
          </w:p>
        </w:tc>
        <w:tc>
          <w:tcPr>
            <w:tcW w:w="638" w:type="pct"/>
            <w:tcBorders>
              <w:bottom w:val="nil"/>
            </w:tcBorders>
            <w:shd w:val="clear" w:color="auto" w:fill="D9D9D9"/>
          </w:tcPr>
          <w:p w:rsidR="00D608F7" w:rsidRPr="0024712D" w:rsidRDefault="00D608F7" w:rsidP="0024712D">
            <w:pPr>
              <w:jc w:val="center"/>
              <w:rPr>
                <w:b/>
                <w:i/>
                <w:snapToGrid w:val="0"/>
                <w:color w:val="000000"/>
              </w:rPr>
            </w:pPr>
            <w:r w:rsidRPr="0024712D">
              <w:rPr>
                <w:b/>
                <w:i/>
                <w:snapToGrid w:val="0"/>
                <w:color w:val="000000"/>
              </w:rPr>
              <w:t>$</w:t>
            </w:r>
          </w:p>
        </w:tc>
        <w:tc>
          <w:tcPr>
            <w:tcW w:w="636" w:type="pct"/>
            <w:tcBorders>
              <w:bottom w:val="nil"/>
            </w:tcBorders>
            <w:shd w:val="clear" w:color="auto" w:fill="D9D9D9"/>
          </w:tcPr>
          <w:p w:rsidR="00D608F7" w:rsidRPr="0024712D" w:rsidRDefault="00D608F7" w:rsidP="0024712D">
            <w:pPr>
              <w:jc w:val="center"/>
              <w:rPr>
                <w:b/>
                <w:i/>
                <w:snapToGrid w:val="0"/>
                <w:color w:val="000000"/>
              </w:rPr>
            </w:pPr>
            <w:r w:rsidRPr="0024712D">
              <w:rPr>
                <w:b/>
                <w:i/>
                <w:snapToGrid w:val="0"/>
                <w:color w:val="000000"/>
              </w:rPr>
              <w:t xml:space="preserve">% </w:t>
            </w:r>
          </w:p>
        </w:tc>
      </w:tr>
      <w:tr w:rsidR="00D608F7" w:rsidTr="00CA43EF">
        <w:trPr>
          <w:trHeight w:val="264"/>
        </w:trPr>
        <w:tc>
          <w:tcPr>
            <w:tcW w:w="776" w:type="pct"/>
            <w:tcBorders>
              <w:top w:val="nil"/>
              <w:right w:val="nil"/>
            </w:tcBorders>
            <w:shd w:val="clear" w:color="auto" w:fill="D9D9D9"/>
          </w:tcPr>
          <w:p w:rsidR="00D608F7" w:rsidRPr="0024712D" w:rsidRDefault="00D608F7">
            <w:pPr>
              <w:jc w:val="right"/>
              <w:rPr>
                <w:snapToGrid w:val="0"/>
                <w:color w:val="000000"/>
              </w:rPr>
            </w:pPr>
          </w:p>
        </w:tc>
        <w:tc>
          <w:tcPr>
            <w:tcW w:w="769" w:type="pct"/>
            <w:tcBorders>
              <w:top w:val="nil"/>
              <w:left w:val="nil"/>
            </w:tcBorders>
            <w:shd w:val="clear" w:color="auto" w:fill="D9D9D9"/>
          </w:tcPr>
          <w:p w:rsidR="00D608F7" w:rsidRPr="0024712D" w:rsidRDefault="00D608F7">
            <w:pPr>
              <w:jc w:val="right"/>
              <w:rPr>
                <w:snapToGrid w:val="0"/>
                <w:color w:val="000000"/>
              </w:rPr>
            </w:pPr>
          </w:p>
        </w:tc>
        <w:tc>
          <w:tcPr>
            <w:tcW w:w="691" w:type="pct"/>
            <w:tcBorders>
              <w:top w:val="nil"/>
            </w:tcBorders>
            <w:shd w:val="clear" w:color="auto" w:fill="D9D9D9"/>
          </w:tcPr>
          <w:p w:rsidR="00D608F7" w:rsidRPr="0024712D" w:rsidRDefault="00FF1991">
            <w:pPr>
              <w:jc w:val="center"/>
              <w:rPr>
                <w:b/>
                <w:i/>
                <w:snapToGrid w:val="0"/>
                <w:color w:val="000000"/>
              </w:rPr>
            </w:pPr>
            <w:r>
              <w:rPr>
                <w:b/>
                <w:i/>
                <w:snapToGrid w:val="0"/>
                <w:color w:val="000000"/>
              </w:rPr>
              <w:t>2010-11</w:t>
            </w:r>
          </w:p>
        </w:tc>
        <w:tc>
          <w:tcPr>
            <w:tcW w:w="745" w:type="pct"/>
            <w:tcBorders>
              <w:top w:val="nil"/>
            </w:tcBorders>
            <w:shd w:val="clear" w:color="auto" w:fill="D9D9D9"/>
          </w:tcPr>
          <w:p w:rsidR="00D608F7" w:rsidRPr="0024712D" w:rsidRDefault="00FF1991">
            <w:pPr>
              <w:jc w:val="center"/>
              <w:rPr>
                <w:b/>
                <w:i/>
                <w:snapToGrid w:val="0"/>
                <w:color w:val="000000"/>
              </w:rPr>
            </w:pPr>
            <w:r>
              <w:rPr>
                <w:b/>
                <w:i/>
                <w:snapToGrid w:val="0"/>
                <w:color w:val="000000"/>
              </w:rPr>
              <w:t>2011-12</w:t>
            </w:r>
          </w:p>
        </w:tc>
        <w:tc>
          <w:tcPr>
            <w:tcW w:w="745" w:type="pct"/>
            <w:tcBorders>
              <w:top w:val="nil"/>
            </w:tcBorders>
            <w:shd w:val="clear" w:color="auto" w:fill="D9D9D9"/>
          </w:tcPr>
          <w:p w:rsidR="00D608F7" w:rsidRPr="0024712D" w:rsidRDefault="00FF1991">
            <w:pPr>
              <w:jc w:val="center"/>
              <w:rPr>
                <w:b/>
                <w:i/>
                <w:snapToGrid w:val="0"/>
                <w:color w:val="000000"/>
              </w:rPr>
            </w:pPr>
            <w:r>
              <w:rPr>
                <w:b/>
                <w:i/>
                <w:snapToGrid w:val="0"/>
                <w:color w:val="000000"/>
              </w:rPr>
              <w:t>2012-13</w:t>
            </w:r>
          </w:p>
        </w:tc>
        <w:tc>
          <w:tcPr>
            <w:tcW w:w="638" w:type="pct"/>
            <w:tcBorders>
              <w:top w:val="nil"/>
            </w:tcBorders>
            <w:shd w:val="clear" w:color="auto" w:fill="D9D9D9"/>
          </w:tcPr>
          <w:p w:rsidR="00D608F7" w:rsidRPr="0024712D" w:rsidRDefault="00D608F7">
            <w:pPr>
              <w:jc w:val="center"/>
              <w:rPr>
                <w:b/>
                <w:i/>
                <w:snapToGrid w:val="0"/>
                <w:color w:val="000000"/>
              </w:rPr>
            </w:pPr>
            <w:r w:rsidRPr="0024712D">
              <w:rPr>
                <w:b/>
                <w:i/>
                <w:snapToGrid w:val="0"/>
                <w:color w:val="000000"/>
              </w:rPr>
              <w:t>Chang</w:t>
            </w:r>
            <w:r>
              <w:rPr>
                <w:b/>
                <w:i/>
                <w:snapToGrid w:val="0"/>
                <w:color w:val="000000"/>
              </w:rPr>
              <w:t>e</w:t>
            </w:r>
          </w:p>
        </w:tc>
        <w:tc>
          <w:tcPr>
            <w:tcW w:w="636" w:type="pct"/>
            <w:tcBorders>
              <w:top w:val="nil"/>
            </w:tcBorders>
            <w:shd w:val="clear" w:color="auto" w:fill="D9D9D9"/>
          </w:tcPr>
          <w:p w:rsidR="00D608F7" w:rsidRPr="0024712D" w:rsidRDefault="00D608F7">
            <w:pPr>
              <w:jc w:val="center"/>
              <w:rPr>
                <w:b/>
                <w:i/>
                <w:snapToGrid w:val="0"/>
                <w:color w:val="000000"/>
              </w:rPr>
            </w:pPr>
            <w:r w:rsidRPr="0024712D">
              <w:rPr>
                <w:b/>
                <w:i/>
                <w:snapToGrid w:val="0"/>
                <w:color w:val="000000"/>
              </w:rPr>
              <w:t>Change</w:t>
            </w:r>
          </w:p>
        </w:tc>
      </w:tr>
      <w:tr w:rsidR="00D608F7" w:rsidTr="00CA43EF">
        <w:trPr>
          <w:trHeight w:val="250"/>
        </w:trPr>
        <w:tc>
          <w:tcPr>
            <w:tcW w:w="1545" w:type="pct"/>
            <w:gridSpan w:val="2"/>
            <w:vAlign w:val="bottom"/>
          </w:tcPr>
          <w:p w:rsidR="00D608F7" w:rsidRPr="0024712D" w:rsidRDefault="00D608F7">
            <w:pPr>
              <w:rPr>
                <w:snapToGrid w:val="0"/>
                <w:color w:val="000000"/>
              </w:rPr>
            </w:pPr>
            <w:r w:rsidRPr="0024712D">
              <w:rPr>
                <w:snapToGrid w:val="0"/>
                <w:color w:val="000000"/>
              </w:rPr>
              <w:t>Salaries GF Personnel</w:t>
            </w:r>
          </w:p>
        </w:tc>
        <w:tc>
          <w:tcPr>
            <w:tcW w:w="691" w:type="pct"/>
            <w:vAlign w:val="bottom"/>
          </w:tcPr>
          <w:p w:rsidR="00D608F7" w:rsidRPr="00CA43EF" w:rsidRDefault="000E2090">
            <w:pPr>
              <w:jc w:val="right"/>
              <w:rPr>
                <w:rFonts w:cs="Arial"/>
                <w:szCs w:val="16"/>
              </w:rPr>
            </w:pPr>
            <w:r>
              <w:rPr>
                <w:rFonts w:cs="Arial"/>
                <w:szCs w:val="16"/>
              </w:rPr>
              <w:t>$</w:t>
            </w:r>
            <w:r w:rsidR="00420E04">
              <w:rPr>
                <w:rFonts w:cs="Arial"/>
                <w:szCs w:val="16"/>
              </w:rPr>
              <w:t>10,159,213</w:t>
            </w:r>
          </w:p>
        </w:tc>
        <w:tc>
          <w:tcPr>
            <w:tcW w:w="745" w:type="pct"/>
            <w:vAlign w:val="bottom"/>
          </w:tcPr>
          <w:p w:rsidR="00D608F7" w:rsidRPr="00CA43EF" w:rsidRDefault="000E2090">
            <w:pPr>
              <w:jc w:val="right"/>
              <w:rPr>
                <w:rFonts w:cs="Arial"/>
                <w:szCs w:val="16"/>
              </w:rPr>
            </w:pPr>
            <w:r>
              <w:rPr>
                <w:rFonts w:cs="Arial"/>
                <w:szCs w:val="16"/>
              </w:rPr>
              <w:t>$</w:t>
            </w:r>
            <w:r w:rsidR="00420E04">
              <w:rPr>
                <w:rFonts w:cs="Arial"/>
                <w:szCs w:val="16"/>
              </w:rPr>
              <w:t>11,049,608</w:t>
            </w:r>
          </w:p>
        </w:tc>
        <w:tc>
          <w:tcPr>
            <w:tcW w:w="745" w:type="pct"/>
            <w:vAlign w:val="bottom"/>
          </w:tcPr>
          <w:p w:rsidR="00D608F7" w:rsidRPr="00CA43EF" w:rsidRDefault="000E2090">
            <w:pPr>
              <w:jc w:val="right"/>
              <w:rPr>
                <w:rFonts w:cs="Arial"/>
                <w:szCs w:val="16"/>
              </w:rPr>
            </w:pPr>
            <w:r>
              <w:rPr>
                <w:rFonts w:cs="Arial"/>
                <w:szCs w:val="16"/>
              </w:rPr>
              <w:t>$</w:t>
            </w:r>
            <w:r w:rsidR="00420E04">
              <w:rPr>
                <w:rFonts w:cs="Arial"/>
                <w:szCs w:val="16"/>
              </w:rPr>
              <w:t>11,445,792</w:t>
            </w:r>
          </w:p>
        </w:tc>
        <w:tc>
          <w:tcPr>
            <w:tcW w:w="638" w:type="pct"/>
            <w:vAlign w:val="bottom"/>
          </w:tcPr>
          <w:p w:rsidR="00D608F7" w:rsidRPr="00CA43EF" w:rsidRDefault="000E2090">
            <w:pPr>
              <w:jc w:val="right"/>
              <w:rPr>
                <w:rFonts w:cs="Arial"/>
                <w:szCs w:val="16"/>
              </w:rPr>
            </w:pPr>
            <w:r>
              <w:rPr>
                <w:rFonts w:cs="Arial"/>
                <w:szCs w:val="16"/>
              </w:rPr>
              <w:t>$</w:t>
            </w:r>
            <w:r w:rsidR="00420E04">
              <w:rPr>
                <w:rFonts w:cs="Arial"/>
                <w:szCs w:val="16"/>
              </w:rPr>
              <w:t>396,184</w:t>
            </w:r>
          </w:p>
        </w:tc>
        <w:tc>
          <w:tcPr>
            <w:tcW w:w="636" w:type="pct"/>
            <w:vAlign w:val="bottom"/>
          </w:tcPr>
          <w:p w:rsidR="00D608F7" w:rsidRPr="00CA43EF" w:rsidRDefault="00420E04">
            <w:pPr>
              <w:jc w:val="right"/>
              <w:rPr>
                <w:rFonts w:cs="Arial"/>
                <w:szCs w:val="16"/>
              </w:rPr>
            </w:pPr>
            <w:r>
              <w:rPr>
                <w:rFonts w:cs="Arial"/>
                <w:szCs w:val="16"/>
              </w:rPr>
              <w:t>3.6%</w:t>
            </w:r>
          </w:p>
        </w:tc>
      </w:tr>
      <w:tr w:rsidR="00D608F7" w:rsidTr="00CA43EF">
        <w:trPr>
          <w:trHeight w:val="250"/>
        </w:trPr>
        <w:tc>
          <w:tcPr>
            <w:tcW w:w="1545" w:type="pct"/>
            <w:gridSpan w:val="2"/>
            <w:vAlign w:val="bottom"/>
          </w:tcPr>
          <w:p w:rsidR="00D608F7" w:rsidRPr="0024712D" w:rsidRDefault="00D608F7">
            <w:pPr>
              <w:rPr>
                <w:snapToGrid w:val="0"/>
                <w:color w:val="000000"/>
              </w:rPr>
            </w:pPr>
            <w:r w:rsidRPr="0024712D">
              <w:rPr>
                <w:snapToGrid w:val="0"/>
                <w:color w:val="000000"/>
              </w:rPr>
              <w:t>Percent General Fund</w:t>
            </w:r>
          </w:p>
        </w:tc>
        <w:tc>
          <w:tcPr>
            <w:tcW w:w="691" w:type="pct"/>
            <w:vAlign w:val="bottom"/>
          </w:tcPr>
          <w:p w:rsidR="00D608F7" w:rsidRPr="00CA43EF" w:rsidRDefault="00420E04">
            <w:pPr>
              <w:jc w:val="right"/>
              <w:rPr>
                <w:rFonts w:cs="Arial"/>
                <w:szCs w:val="16"/>
              </w:rPr>
            </w:pPr>
            <w:r>
              <w:rPr>
                <w:rFonts w:cs="Arial"/>
                <w:szCs w:val="16"/>
              </w:rPr>
              <w:t>79.5</w:t>
            </w:r>
          </w:p>
        </w:tc>
        <w:tc>
          <w:tcPr>
            <w:tcW w:w="745" w:type="pct"/>
            <w:vAlign w:val="bottom"/>
          </w:tcPr>
          <w:p w:rsidR="00D608F7" w:rsidRPr="00CA43EF" w:rsidRDefault="00420E04">
            <w:pPr>
              <w:jc w:val="right"/>
              <w:rPr>
                <w:rFonts w:cs="Arial"/>
                <w:szCs w:val="16"/>
              </w:rPr>
            </w:pPr>
            <w:r>
              <w:rPr>
                <w:rFonts w:cs="Arial"/>
                <w:szCs w:val="16"/>
              </w:rPr>
              <w:t>77.3</w:t>
            </w:r>
          </w:p>
        </w:tc>
        <w:tc>
          <w:tcPr>
            <w:tcW w:w="745" w:type="pct"/>
            <w:vAlign w:val="bottom"/>
          </w:tcPr>
          <w:p w:rsidR="00D608F7" w:rsidRPr="00CA43EF" w:rsidRDefault="00420E04">
            <w:pPr>
              <w:jc w:val="right"/>
              <w:rPr>
                <w:rFonts w:cs="Arial"/>
                <w:szCs w:val="16"/>
              </w:rPr>
            </w:pPr>
            <w:r>
              <w:rPr>
                <w:rFonts w:cs="Arial"/>
                <w:szCs w:val="16"/>
              </w:rPr>
              <w:t>77.7</w:t>
            </w:r>
          </w:p>
        </w:tc>
        <w:tc>
          <w:tcPr>
            <w:tcW w:w="638" w:type="pct"/>
            <w:vAlign w:val="bottom"/>
          </w:tcPr>
          <w:p w:rsidR="00D608F7" w:rsidRPr="00CA43EF" w:rsidRDefault="00D608F7">
            <w:pPr>
              <w:rPr>
                <w:rFonts w:cs="Arial"/>
                <w:szCs w:val="16"/>
              </w:rPr>
            </w:pPr>
          </w:p>
        </w:tc>
        <w:tc>
          <w:tcPr>
            <w:tcW w:w="636" w:type="pct"/>
            <w:vAlign w:val="bottom"/>
          </w:tcPr>
          <w:p w:rsidR="00D608F7" w:rsidRPr="00CA43EF" w:rsidRDefault="00D608F7">
            <w:pPr>
              <w:rPr>
                <w:rFonts w:cs="Arial"/>
                <w:szCs w:val="16"/>
              </w:rPr>
            </w:pPr>
          </w:p>
        </w:tc>
      </w:tr>
      <w:tr w:rsidR="00D608F7" w:rsidTr="00CA43EF">
        <w:trPr>
          <w:trHeight w:val="250"/>
        </w:trPr>
        <w:tc>
          <w:tcPr>
            <w:tcW w:w="1545" w:type="pct"/>
            <w:gridSpan w:val="2"/>
            <w:vAlign w:val="bottom"/>
          </w:tcPr>
          <w:p w:rsidR="00D608F7" w:rsidRPr="0024712D" w:rsidRDefault="00D608F7">
            <w:pPr>
              <w:rPr>
                <w:snapToGrid w:val="0"/>
                <w:color w:val="000000"/>
              </w:rPr>
            </w:pPr>
            <w:r w:rsidRPr="0024712D">
              <w:rPr>
                <w:snapToGrid w:val="0"/>
                <w:color w:val="000000"/>
              </w:rPr>
              <w:t xml:space="preserve">Benefits </w:t>
            </w:r>
            <w:r w:rsidRPr="0024712D">
              <w:rPr>
                <w:i/>
                <w:snapToGrid w:val="0"/>
                <w:color w:val="000000"/>
              </w:rPr>
              <w:t>excl. accum. sk. Lv. (*)</w:t>
            </w:r>
          </w:p>
        </w:tc>
        <w:tc>
          <w:tcPr>
            <w:tcW w:w="691" w:type="pct"/>
            <w:vAlign w:val="bottom"/>
          </w:tcPr>
          <w:p w:rsidR="00D608F7" w:rsidRPr="00CA43EF" w:rsidRDefault="000E2090">
            <w:pPr>
              <w:jc w:val="right"/>
              <w:rPr>
                <w:rFonts w:cs="Arial"/>
                <w:szCs w:val="16"/>
              </w:rPr>
            </w:pPr>
            <w:r>
              <w:rPr>
                <w:rFonts w:cs="Arial"/>
                <w:szCs w:val="16"/>
              </w:rPr>
              <w:t>$</w:t>
            </w:r>
            <w:r w:rsidR="00420E04">
              <w:rPr>
                <w:rFonts w:cs="Arial"/>
                <w:szCs w:val="16"/>
              </w:rPr>
              <w:t>663,467</w:t>
            </w:r>
          </w:p>
        </w:tc>
        <w:tc>
          <w:tcPr>
            <w:tcW w:w="745" w:type="pct"/>
            <w:vAlign w:val="bottom"/>
          </w:tcPr>
          <w:p w:rsidR="00D608F7" w:rsidRPr="00CA43EF" w:rsidRDefault="000E2090">
            <w:pPr>
              <w:jc w:val="right"/>
              <w:rPr>
                <w:rFonts w:cs="Arial"/>
                <w:szCs w:val="16"/>
              </w:rPr>
            </w:pPr>
            <w:r>
              <w:rPr>
                <w:rFonts w:cs="Arial"/>
                <w:szCs w:val="16"/>
              </w:rPr>
              <w:t>$</w:t>
            </w:r>
            <w:r w:rsidR="00420E04">
              <w:rPr>
                <w:rFonts w:cs="Arial"/>
                <w:szCs w:val="16"/>
              </w:rPr>
              <w:t>765,310</w:t>
            </w:r>
          </w:p>
        </w:tc>
        <w:tc>
          <w:tcPr>
            <w:tcW w:w="745" w:type="pct"/>
            <w:vAlign w:val="bottom"/>
          </w:tcPr>
          <w:p w:rsidR="00D608F7" w:rsidRPr="00CA43EF" w:rsidRDefault="000E2090">
            <w:pPr>
              <w:jc w:val="right"/>
              <w:rPr>
                <w:rFonts w:cs="Arial"/>
                <w:szCs w:val="16"/>
              </w:rPr>
            </w:pPr>
            <w:r>
              <w:rPr>
                <w:rFonts w:cs="Arial"/>
                <w:szCs w:val="16"/>
              </w:rPr>
              <w:t>$</w:t>
            </w:r>
            <w:r w:rsidR="00420E04">
              <w:rPr>
                <w:rFonts w:cs="Arial"/>
                <w:szCs w:val="16"/>
              </w:rPr>
              <w:t>807,373</w:t>
            </w:r>
          </w:p>
        </w:tc>
        <w:tc>
          <w:tcPr>
            <w:tcW w:w="638" w:type="pct"/>
            <w:vAlign w:val="bottom"/>
          </w:tcPr>
          <w:p w:rsidR="00D608F7" w:rsidRPr="00CA43EF" w:rsidRDefault="000E2090">
            <w:pPr>
              <w:jc w:val="right"/>
              <w:rPr>
                <w:rFonts w:cs="Arial"/>
                <w:szCs w:val="16"/>
              </w:rPr>
            </w:pPr>
            <w:r>
              <w:rPr>
                <w:rFonts w:cs="Arial"/>
                <w:szCs w:val="16"/>
              </w:rPr>
              <w:t>$</w:t>
            </w:r>
            <w:r w:rsidR="00420E04">
              <w:rPr>
                <w:rFonts w:cs="Arial"/>
                <w:szCs w:val="16"/>
              </w:rPr>
              <w:t>42,063</w:t>
            </w:r>
          </w:p>
        </w:tc>
        <w:tc>
          <w:tcPr>
            <w:tcW w:w="636" w:type="pct"/>
            <w:vAlign w:val="bottom"/>
          </w:tcPr>
          <w:p w:rsidR="00D608F7" w:rsidRPr="00CA43EF" w:rsidRDefault="00420E04">
            <w:pPr>
              <w:jc w:val="right"/>
              <w:rPr>
                <w:rFonts w:cs="Arial"/>
                <w:szCs w:val="16"/>
              </w:rPr>
            </w:pPr>
            <w:r>
              <w:rPr>
                <w:rFonts w:cs="Arial"/>
                <w:szCs w:val="16"/>
              </w:rPr>
              <w:t>5.5%</w:t>
            </w:r>
          </w:p>
        </w:tc>
      </w:tr>
      <w:tr w:rsidR="00D608F7" w:rsidTr="00CA43EF">
        <w:trPr>
          <w:trHeight w:val="264"/>
        </w:trPr>
        <w:tc>
          <w:tcPr>
            <w:tcW w:w="1545" w:type="pct"/>
            <w:gridSpan w:val="2"/>
            <w:vAlign w:val="bottom"/>
          </w:tcPr>
          <w:p w:rsidR="00D608F7" w:rsidRPr="0024712D" w:rsidRDefault="00D608F7">
            <w:pPr>
              <w:rPr>
                <w:snapToGrid w:val="0"/>
                <w:color w:val="000000"/>
              </w:rPr>
            </w:pPr>
            <w:r w:rsidRPr="0024712D">
              <w:rPr>
                <w:snapToGrid w:val="0"/>
                <w:color w:val="000000"/>
              </w:rPr>
              <w:t>Percent General Fund</w:t>
            </w:r>
          </w:p>
        </w:tc>
        <w:tc>
          <w:tcPr>
            <w:tcW w:w="691" w:type="pct"/>
            <w:vAlign w:val="bottom"/>
          </w:tcPr>
          <w:p w:rsidR="00D608F7" w:rsidRPr="00CA43EF" w:rsidRDefault="00420E04">
            <w:pPr>
              <w:jc w:val="right"/>
              <w:rPr>
                <w:rFonts w:cs="Arial"/>
                <w:szCs w:val="16"/>
              </w:rPr>
            </w:pPr>
            <w:r>
              <w:rPr>
                <w:rFonts w:cs="Arial"/>
                <w:szCs w:val="16"/>
              </w:rPr>
              <w:t>5.2</w:t>
            </w:r>
          </w:p>
        </w:tc>
        <w:tc>
          <w:tcPr>
            <w:tcW w:w="745" w:type="pct"/>
            <w:vAlign w:val="bottom"/>
          </w:tcPr>
          <w:p w:rsidR="00D608F7" w:rsidRPr="00CA43EF" w:rsidRDefault="00420E04">
            <w:pPr>
              <w:jc w:val="right"/>
              <w:rPr>
                <w:rFonts w:cs="Arial"/>
                <w:szCs w:val="16"/>
              </w:rPr>
            </w:pPr>
            <w:r>
              <w:rPr>
                <w:rFonts w:cs="Arial"/>
                <w:szCs w:val="16"/>
              </w:rPr>
              <w:t>5.4</w:t>
            </w:r>
          </w:p>
        </w:tc>
        <w:tc>
          <w:tcPr>
            <w:tcW w:w="745" w:type="pct"/>
            <w:vAlign w:val="bottom"/>
          </w:tcPr>
          <w:p w:rsidR="00D608F7" w:rsidRPr="00CA43EF" w:rsidRDefault="00420E04">
            <w:pPr>
              <w:jc w:val="right"/>
              <w:rPr>
                <w:rFonts w:cs="Arial"/>
                <w:szCs w:val="16"/>
              </w:rPr>
            </w:pPr>
            <w:r>
              <w:rPr>
                <w:rFonts w:cs="Arial"/>
                <w:szCs w:val="16"/>
              </w:rPr>
              <w:t>5.5</w:t>
            </w:r>
          </w:p>
        </w:tc>
        <w:tc>
          <w:tcPr>
            <w:tcW w:w="638" w:type="pct"/>
            <w:vAlign w:val="bottom"/>
          </w:tcPr>
          <w:p w:rsidR="00D608F7" w:rsidRPr="00CA43EF" w:rsidRDefault="00D608F7">
            <w:pPr>
              <w:rPr>
                <w:rFonts w:cs="Arial"/>
                <w:szCs w:val="16"/>
              </w:rPr>
            </w:pPr>
          </w:p>
        </w:tc>
        <w:tc>
          <w:tcPr>
            <w:tcW w:w="636" w:type="pct"/>
            <w:vAlign w:val="bottom"/>
          </w:tcPr>
          <w:p w:rsidR="00D608F7" w:rsidRPr="00CA43EF" w:rsidRDefault="00D608F7">
            <w:pPr>
              <w:rPr>
                <w:rFonts w:cs="Arial"/>
                <w:szCs w:val="16"/>
              </w:rPr>
            </w:pPr>
          </w:p>
        </w:tc>
      </w:tr>
      <w:tr w:rsidR="00D608F7" w:rsidTr="00CA43EF">
        <w:trPr>
          <w:trHeight w:val="250"/>
        </w:trPr>
        <w:tc>
          <w:tcPr>
            <w:tcW w:w="1545" w:type="pct"/>
            <w:gridSpan w:val="2"/>
            <w:shd w:val="clear" w:color="auto" w:fill="D9D9D9"/>
            <w:vAlign w:val="bottom"/>
          </w:tcPr>
          <w:p w:rsidR="00D608F7" w:rsidRPr="00C63AC0" w:rsidRDefault="00D608F7">
            <w:pPr>
              <w:rPr>
                <w:b/>
                <w:snapToGrid w:val="0"/>
                <w:color w:val="000000"/>
              </w:rPr>
            </w:pPr>
            <w:r w:rsidRPr="00C63AC0">
              <w:rPr>
                <w:b/>
                <w:snapToGrid w:val="0"/>
                <w:color w:val="000000"/>
              </w:rPr>
              <w:t>Total Salaries &amp; Benefits</w:t>
            </w:r>
          </w:p>
        </w:tc>
        <w:tc>
          <w:tcPr>
            <w:tcW w:w="691" w:type="pct"/>
            <w:shd w:val="clear" w:color="auto" w:fill="D9D9D9"/>
            <w:vAlign w:val="bottom"/>
          </w:tcPr>
          <w:p w:rsidR="00D608F7" w:rsidRPr="00CA43EF" w:rsidRDefault="000E2090">
            <w:pPr>
              <w:jc w:val="right"/>
              <w:rPr>
                <w:rFonts w:cs="Arial"/>
                <w:b/>
                <w:szCs w:val="16"/>
              </w:rPr>
            </w:pPr>
            <w:r>
              <w:rPr>
                <w:rFonts w:cs="Arial"/>
                <w:b/>
                <w:szCs w:val="16"/>
              </w:rPr>
              <w:t>$</w:t>
            </w:r>
            <w:r w:rsidR="00420E04">
              <w:rPr>
                <w:rFonts w:cs="Arial"/>
                <w:b/>
                <w:szCs w:val="16"/>
              </w:rPr>
              <w:t>10,822,680</w:t>
            </w:r>
          </w:p>
        </w:tc>
        <w:tc>
          <w:tcPr>
            <w:tcW w:w="745" w:type="pct"/>
            <w:shd w:val="clear" w:color="auto" w:fill="D9D9D9"/>
            <w:vAlign w:val="bottom"/>
          </w:tcPr>
          <w:p w:rsidR="00D608F7" w:rsidRPr="00CA43EF" w:rsidRDefault="000E2090">
            <w:pPr>
              <w:jc w:val="right"/>
              <w:rPr>
                <w:rFonts w:cs="Arial"/>
                <w:b/>
                <w:szCs w:val="16"/>
              </w:rPr>
            </w:pPr>
            <w:r>
              <w:rPr>
                <w:rFonts w:cs="Arial"/>
                <w:b/>
                <w:szCs w:val="16"/>
              </w:rPr>
              <w:t>$</w:t>
            </w:r>
            <w:r w:rsidR="00420E04">
              <w:rPr>
                <w:rFonts w:cs="Arial"/>
                <w:b/>
                <w:szCs w:val="16"/>
              </w:rPr>
              <w:t>11,814,918</w:t>
            </w:r>
          </w:p>
        </w:tc>
        <w:tc>
          <w:tcPr>
            <w:tcW w:w="745" w:type="pct"/>
            <w:shd w:val="clear" w:color="auto" w:fill="D9D9D9"/>
            <w:vAlign w:val="bottom"/>
          </w:tcPr>
          <w:p w:rsidR="00D608F7" w:rsidRPr="00CA43EF" w:rsidRDefault="000E2090">
            <w:pPr>
              <w:jc w:val="right"/>
              <w:rPr>
                <w:rFonts w:cs="Arial"/>
                <w:b/>
                <w:szCs w:val="16"/>
              </w:rPr>
            </w:pPr>
            <w:r>
              <w:rPr>
                <w:rFonts w:cs="Arial"/>
                <w:b/>
                <w:szCs w:val="16"/>
              </w:rPr>
              <w:t>$</w:t>
            </w:r>
            <w:r w:rsidR="00420E04">
              <w:rPr>
                <w:rFonts w:cs="Arial"/>
                <w:b/>
                <w:szCs w:val="16"/>
              </w:rPr>
              <w:t>12,253,165</w:t>
            </w:r>
          </w:p>
        </w:tc>
        <w:tc>
          <w:tcPr>
            <w:tcW w:w="638" w:type="pct"/>
            <w:shd w:val="clear" w:color="auto" w:fill="D9D9D9"/>
            <w:vAlign w:val="bottom"/>
          </w:tcPr>
          <w:p w:rsidR="00D608F7" w:rsidRPr="00CA43EF" w:rsidRDefault="000E2090">
            <w:pPr>
              <w:jc w:val="right"/>
              <w:rPr>
                <w:rFonts w:cs="Arial"/>
                <w:b/>
                <w:szCs w:val="16"/>
              </w:rPr>
            </w:pPr>
            <w:r>
              <w:rPr>
                <w:rFonts w:cs="Arial"/>
                <w:b/>
                <w:szCs w:val="16"/>
              </w:rPr>
              <w:t>$</w:t>
            </w:r>
            <w:r w:rsidR="00420E04">
              <w:rPr>
                <w:rFonts w:cs="Arial"/>
                <w:b/>
                <w:szCs w:val="16"/>
              </w:rPr>
              <w:t>438,247</w:t>
            </w:r>
          </w:p>
        </w:tc>
        <w:tc>
          <w:tcPr>
            <w:tcW w:w="636" w:type="pct"/>
            <w:shd w:val="clear" w:color="auto" w:fill="D9D9D9"/>
            <w:vAlign w:val="bottom"/>
          </w:tcPr>
          <w:p w:rsidR="00D608F7" w:rsidRPr="00CA43EF" w:rsidRDefault="00420E04">
            <w:pPr>
              <w:jc w:val="right"/>
              <w:rPr>
                <w:rFonts w:cs="Arial"/>
                <w:b/>
                <w:szCs w:val="16"/>
              </w:rPr>
            </w:pPr>
            <w:r>
              <w:rPr>
                <w:rFonts w:cs="Arial"/>
                <w:b/>
                <w:szCs w:val="16"/>
              </w:rPr>
              <w:t>3.71%</w:t>
            </w:r>
          </w:p>
        </w:tc>
      </w:tr>
      <w:tr w:rsidR="00D608F7" w:rsidTr="00CA43EF">
        <w:trPr>
          <w:trHeight w:val="264"/>
        </w:trPr>
        <w:tc>
          <w:tcPr>
            <w:tcW w:w="1545" w:type="pct"/>
            <w:gridSpan w:val="2"/>
            <w:vAlign w:val="bottom"/>
          </w:tcPr>
          <w:p w:rsidR="00D608F7" w:rsidRPr="0024712D" w:rsidRDefault="00D608F7">
            <w:pPr>
              <w:rPr>
                <w:snapToGrid w:val="0"/>
                <w:color w:val="000000"/>
              </w:rPr>
            </w:pPr>
            <w:r w:rsidRPr="0024712D">
              <w:rPr>
                <w:snapToGrid w:val="0"/>
                <w:color w:val="000000"/>
              </w:rPr>
              <w:t>Percent General Fund</w:t>
            </w:r>
          </w:p>
        </w:tc>
        <w:tc>
          <w:tcPr>
            <w:tcW w:w="691" w:type="pct"/>
            <w:vAlign w:val="bottom"/>
          </w:tcPr>
          <w:p w:rsidR="00D608F7" w:rsidRPr="00CA43EF" w:rsidRDefault="00420E04">
            <w:pPr>
              <w:jc w:val="right"/>
              <w:rPr>
                <w:rFonts w:cs="Arial"/>
                <w:szCs w:val="16"/>
              </w:rPr>
            </w:pPr>
            <w:r>
              <w:rPr>
                <w:rFonts w:cs="Arial"/>
                <w:szCs w:val="16"/>
              </w:rPr>
              <w:t>84.7</w:t>
            </w:r>
          </w:p>
        </w:tc>
        <w:tc>
          <w:tcPr>
            <w:tcW w:w="745" w:type="pct"/>
            <w:vAlign w:val="bottom"/>
          </w:tcPr>
          <w:p w:rsidR="00D608F7" w:rsidRPr="00CA43EF" w:rsidRDefault="00420E04">
            <w:pPr>
              <w:jc w:val="right"/>
              <w:rPr>
                <w:rFonts w:cs="Arial"/>
                <w:szCs w:val="16"/>
              </w:rPr>
            </w:pPr>
            <w:r>
              <w:rPr>
                <w:rFonts w:cs="Arial"/>
                <w:szCs w:val="16"/>
              </w:rPr>
              <w:t>82.7</w:t>
            </w:r>
          </w:p>
        </w:tc>
        <w:tc>
          <w:tcPr>
            <w:tcW w:w="745" w:type="pct"/>
            <w:vAlign w:val="bottom"/>
          </w:tcPr>
          <w:p w:rsidR="00D608F7" w:rsidRPr="00CA43EF" w:rsidRDefault="00420E04">
            <w:pPr>
              <w:jc w:val="right"/>
              <w:rPr>
                <w:rFonts w:cs="Arial"/>
                <w:szCs w:val="16"/>
              </w:rPr>
            </w:pPr>
            <w:r>
              <w:rPr>
                <w:rFonts w:cs="Arial"/>
                <w:szCs w:val="16"/>
              </w:rPr>
              <w:t>83.2</w:t>
            </w:r>
          </w:p>
        </w:tc>
        <w:tc>
          <w:tcPr>
            <w:tcW w:w="638" w:type="pct"/>
            <w:vAlign w:val="bottom"/>
          </w:tcPr>
          <w:p w:rsidR="00D608F7" w:rsidRPr="00CA43EF" w:rsidRDefault="00D608F7">
            <w:pPr>
              <w:rPr>
                <w:rFonts w:cs="Arial"/>
                <w:szCs w:val="16"/>
              </w:rPr>
            </w:pPr>
          </w:p>
        </w:tc>
        <w:tc>
          <w:tcPr>
            <w:tcW w:w="636" w:type="pct"/>
            <w:vAlign w:val="bottom"/>
          </w:tcPr>
          <w:p w:rsidR="00D608F7" w:rsidRPr="00CA43EF" w:rsidRDefault="00D608F7">
            <w:pPr>
              <w:rPr>
                <w:rFonts w:cs="Arial"/>
                <w:szCs w:val="16"/>
              </w:rPr>
            </w:pPr>
          </w:p>
        </w:tc>
      </w:tr>
    </w:tbl>
    <w:p w:rsidR="00D608F7" w:rsidRDefault="00D608F7">
      <w:pPr>
        <w:rPr>
          <w:i/>
          <w:iCs/>
          <w:sz w:val="18"/>
        </w:rPr>
      </w:pPr>
      <w:r>
        <w:rPr>
          <w:i/>
          <w:iCs/>
          <w:sz w:val="18"/>
        </w:rPr>
        <w:t>* “Actual” excludes state payments on-behalf of the school district, which are unbudgeted as per state instructions.</w:t>
      </w:r>
    </w:p>
    <w:p w:rsidR="00D608F7" w:rsidRDefault="00D608F7">
      <w:pPr>
        <w:rPr>
          <w:sz w:val="24"/>
        </w:rPr>
      </w:pPr>
    </w:p>
    <w:p w:rsidR="00D608F7" w:rsidRDefault="00D608F7">
      <w:pPr>
        <w:rPr>
          <w:sz w:val="24"/>
        </w:rPr>
      </w:pPr>
      <w:r>
        <w:rPr>
          <w:sz w:val="24"/>
        </w:rPr>
        <w:br w:type="page"/>
      </w:r>
    </w:p>
    <w:p w:rsidR="00D608F7" w:rsidRDefault="00D608F7">
      <w:pPr>
        <w:shd w:val="pct12" w:color="auto" w:fill="FFFFFF"/>
        <w:rPr>
          <w:b/>
          <w:sz w:val="24"/>
        </w:rPr>
      </w:pPr>
      <w:r>
        <w:rPr>
          <w:b/>
          <w:sz w:val="24"/>
        </w:rPr>
        <w:lastRenderedPageBreak/>
        <w:t>SUMMARY OF GF PROJECTED EXPENSES</w:t>
      </w:r>
    </w:p>
    <w:p w:rsidR="00D608F7" w:rsidRDefault="00D608F7">
      <w:pPr>
        <w:rPr>
          <w:b/>
          <w:sz w:val="24"/>
        </w:rPr>
      </w:pPr>
    </w:p>
    <w:p w:rsidR="00D608F7" w:rsidRDefault="00D608F7">
      <w:pPr>
        <w:pStyle w:val="BodyText"/>
      </w:pPr>
      <w:r>
        <w:t xml:space="preserve">Proposed expenses as approved by the Board earlier this spring are detailed in the attached </w:t>
      </w:r>
      <w:r w:rsidR="00427C26">
        <w:t>2012-13</w:t>
      </w:r>
      <w:r>
        <w:t xml:space="preserve"> Tentative Budget.  The totals for each fund are equal to the projected revenues plus the fund balance for each fund.  Table E provides an overview of all proposed general fund expenses and changes made since the January review of projected expenses.</w:t>
      </w:r>
    </w:p>
    <w:p w:rsidR="00D608F7" w:rsidRDefault="00D608F7">
      <w:pPr>
        <w:pStyle w:val="BodyText"/>
      </w:pPr>
    </w:p>
    <w:p w:rsidR="00D608F7" w:rsidRPr="00D636FB" w:rsidRDefault="00D608F7">
      <w:pPr>
        <w:pStyle w:val="BodyText"/>
      </w:pPr>
      <w:r w:rsidRPr="00D636FB">
        <w:rPr>
          <w:bCs/>
        </w:rPr>
        <w:t xml:space="preserve">Projected certified and classified salary schedule improvements are also included in Table E.  </w:t>
      </w:r>
      <w:r w:rsidRPr="00D636FB">
        <w:t>Appendix A (see page 9) contains brief descriptions of the object codes utilized in Table E.</w:t>
      </w:r>
    </w:p>
    <w:p w:rsidR="00D608F7" w:rsidRDefault="00D608F7">
      <w:pPr>
        <w:pStyle w:val="BodyText"/>
      </w:pPr>
    </w:p>
    <w:p w:rsidR="00D608F7" w:rsidRDefault="00D608F7">
      <w:pPr>
        <w:pStyle w:val="Heading1"/>
        <w:rPr>
          <w:b/>
        </w:rPr>
      </w:pPr>
      <w:r>
        <w:rPr>
          <w:b/>
        </w:rPr>
        <w:t>Table E</w:t>
      </w:r>
    </w:p>
    <w:p w:rsidR="00D608F7" w:rsidRDefault="00D608F7">
      <w:pPr>
        <w:pStyle w:val="Heading5"/>
      </w:pPr>
      <w:r>
        <w:t xml:space="preserve">Summary of Projected GF Expense - </w:t>
      </w:r>
      <w:r w:rsidR="00A149B7">
        <w:t>2011-12</w:t>
      </w:r>
      <w:r>
        <w:t xml:space="preserve"> Tentative Budget</w:t>
      </w:r>
    </w:p>
    <w:p w:rsidR="00D608F7" w:rsidRDefault="00D608F7">
      <w:pPr>
        <w:rPr>
          <w:b/>
          <w:sz w:val="24"/>
        </w:rPr>
      </w:pPr>
    </w:p>
    <w:tbl>
      <w:tblPr>
        <w:tblW w:w="5595" w:type="pct"/>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908"/>
        <w:gridCol w:w="3405"/>
        <w:gridCol w:w="1162"/>
        <w:gridCol w:w="1162"/>
        <w:gridCol w:w="1240"/>
        <w:gridCol w:w="1007"/>
        <w:gridCol w:w="851"/>
      </w:tblGrid>
      <w:tr w:rsidR="000E4D10" w:rsidTr="004F0094">
        <w:trPr>
          <w:trHeight w:val="245"/>
          <w:jc w:val="center"/>
        </w:trPr>
        <w:tc>
          <w:tcPr>
            <w:tcW w:w="466" w:type="pct"/>
            <w:tcBorders>
              <w:bottom w:val="nil"/>
              <w:right w:val="nil"/>
            </w:tcBorders>
            <w:shd w:val="clear" w:color="auto" w:fill="D9D9D9"/>
          </w:tcPr>
          <w:p w:rsidR="00D608F7" w:rsidRPr="00B921A4" w:rsidRDefault="00D608F7">
            <w:pPr>
              <w:jc w:val="center"/>
              <w:rPr>
                <w:b/>
                <w:i/>
                <w:snapToGrid w:val="0"/>
                <w:color w:val="000000"/>
              </w:rPr>
            </w:pPr>
            <w:r w:rsidRPr="00B921A4">
              <w:rPr>
                <w:b/>
                <w:i/>
                <w:snapToGrid w:val="0"/>
                <w:color w:val="000000"/>
              </w:rPr>
              <w:t>Object</w:t>
            </w:r>
          </w:p>
        </w:tc>
        <w:tc>
          <w:tcPr>
            <w:tcW w:w="1749" w:type="pct"/>
            <w:tcBorders>
              <w:left w:val="nil"/>
              <w:bottom w:val="nil"/>
            </w:tcBorders>
            <w:shd w:val="clear" w:color="auto" w:fill="D9D9D9"/>
          </w:tcPr>
          <w:p w:rsidR="00D608F7" w:rsidRPr="00B921A4" w:rsidRDefault="00D608F7">
            <w:pPr>
              <w:rPr>
                <w:b/>
                <w:i/>
                <w:snapToGrid w:val="0"/>
                <w:color w:val="000000"/>
              </w:rPr>
            </w:pPr>
            <w:r w:rsidRPr="00B921A4">
              <w:rPr>
                <w:b/>
                <w:i/>
                <w:snapToGrid w:val="0"/>
                <w:color w:val="000000"/>
              </w:rPr>
              <w:t>Description</w:t>
            </w:r>
          </w:p>
        </w:tc>
        <w:tc>
          <w:tcPr>
            <w:tcW w:w="597" w:type="pct"/>
            <w:tcBorders>
              <w:bottom w:val="nil"/>
            </w:tcBorders>
            <w:shd w:val="clear" w:color="auto" w:fill="D9D9D9"/>
          </w:tcPr>
          <w:p w:rsidR="00D608F7" w:rsidRPr="00B921A4" w:rsidRDefault="00D608F7" w:rsidP="004332AB">
            <w:pPr>
              <w:jc w:val="center"/>
              <w:rPr>
                <w:b/>
                <w:i/>
                <w:snapToGrid w:val="0"/>
                <w:color w:val="000000"/>
              </w:rPr>
            </w:pPr>
            <w:r>
              <w:rPr>
                <w:b/>
                <w:i/>
                <w:snapToGrid w:val="0"/>
                <w:color w:val="000000"/>
              </w:rPr>
              <w:t>Budgeted</w:t>
            </w:r>
          </w:p>
        </w:tc>
        <w:tc>
          <w:tcPr>
            <w:tcW w:w="597" w:type="pct"/>
            <w:tcBorders>
              <w:bottom w:val="nil"/>
            </w:tcBorders>
            <w:shd w:val="clear" w:color="auto" w:fill="D9D9D9"/>
          </w:tcPr>
          <w:p w:rsidR="00D608F7" w:rsidRPr="00B921A4" w:rsidRDefault="00D608F7" w:rsidP="004332AB">
            <w:pPr>
              <w:jc w:val="center"/>
              <w:rPr>
                <w:b/>
                <w:i/>
                <w:snapToGrid w:val="0"/>
                <w:color w:val="000000"/>
              </w:rPr>
            </w:pPr>
            <w:r w:rsidRPr="00B921A4">
              <w:rPr>
                <w:b/>
                <w:i/>
                <w:snapToGrid w:val="0"/>
                <w:color w:val="000000"/>
              </w:rPr>
              <w:t>Draft</w:t>
            </w:r>
          </w:p>
        </w:tc>
        <w:tc>
          <w:tcPr>
            <w:tcW w:w="637" w:type="pct"/>
            <w:tcBorders>
              <w:bottom w:val="nil"/>
            </w:tcBorders>
            <w:shd w:val="clear" w:color="auto" w:fill="D9D9D9"/>
          </w:tcPr>
          <w:p w:rsidR="00D608F7" w:rsidRPr="00B921A4" w:rsidRDefault="00D608F7" w:rsidP="004332AB">
            <w:pPr>
              <w:jc w:val="center"/>
              <w:rPr>
                <w:b/>
                <w:i/>
                <w:snapToGrid w:val="0"/>
                <w:color w:val="000000"/>
              </w:rPr>
            </w:pPr>
            <w:r w:rsidRPr="00B921A4">
              <w:rPr>
                <w:b/>
                <w:i/>
                <w:snapToGrid w:val="0"/>
                <w:color w:val="000000"/>
              </w:rPr>
              <w:t>Projected</w:t>
            </w:r>
          </w:p>
        </w:tc>
        <w:tc>
          <w:tcPr>
            <w:tcW w:w="517" w:type="pct"/>
            <w:tcBorders>
              <w:bottom w:val="nil"/>
            </w:tcBorders>
            <w:shd w:val="clear" w:color="auto" w:fill="D9D9D9"/>
          </w:tcPr>
          <w:p w:rsidR="00D608F7" w:rsidRPr="00B921A4" w:rsidRDefault="00D608F7" w:rsidP="004332AB">
            <w:pPr>
              <w:jc w:val="center"/>
              <w:rPr>
                <w:b/>
                <w:i/>
                <w:snapToGrid w:val="0"/>
                <w:color w:val="000000"/>
              </w:rPr>
            </w:pPr>
            <w:r w:rsidRPr="00B921A4">
              <w:rPr>
                <w:b/>
                <w:i/>
                <w:snapToGrid w:val="0"/>
                <w:color w:val="000000"/>
              </w:rPr>
              <w:t>$</w:t>
            </w:r>
          </w:p>
        </w:tc>
        <w:tc>
          <w:tcPr>
            <w:tcW w:w="437" w:type="pct"/>
            <w:tcBorders>
              <w:bottom w:val="nil"/>
            </w:tcBorders>
            <w:shd w:val="clear" w:color="auto" w:fill="D9D9D9"/>
          </w:tcPr>
          <w:p w:rsidR="00D608F7" w:rsidRPr="00B921A4" w:rsidRDefault="00D608F7" w:rsidP="004332AB">
            <w:pPr>
              <w:jc w:val="center"/>
              <w:rPr>
                <w:b/>
                <w:i/>
                <w:snapToGrid w:val="0"/>
                <w:color w:val="000000"/>
              </w:rPr>
            </w:pPr>
            <w:r w:rsidRPr="00B921A4">
              <w:rPr>
                <w:b/>
                <w:i/>
                <w:snapToGrid w:val="0"/>
                <w:color w:val="000000"/>
              </w:rPr>
              <w:t>%</w:t>
            </w:r>
          </w:p>
        </w:tc>
      </w:tr>
      <w:tr w:rsidR="000E4D10" w:rsidTr="004F0094">
        <w:trPr>
          <w:trHeight w:val="288"/>
          <w:jc w:val="center"/>
        </w:trPr>
        <w:tc>
          <w:tcPr>
            <w:tcW w:w="466" w:type="pct"/>
            <w:tcBorders>
              <w:top w:val="nil"/>
              <w:right w:val="nil"/>
            </w:tcBorders>
            <w:shd w:val="clear" w:color="auto" w:fill="D9D9D9"/>
          </w:tcPr>
          <w:p w:rsidR="00D608F7" w:rsidRPr="00B921A4" w:rsidRDefault="00D608F7">
            <w:pPr>
              <w:jc w:val="center"/>
              <w:rPr>
                <w:b/>
                <w:i/>
                <w:snapToGrid w:val="0"/>
                <w:color w:val="000000"/>
              </w:rPr>
            </w:pPr>
          </w:p>
        </w:tc>
        <w:tc>
          <w:tcPr>
            <w:tcW w:w="1749" w:type="pct"/>
            <w:tcBorders>
              <w:top w:val="nil"/>
              <w:left w:val="nil"/>
            </w:tcBorders>
            <w:shd w:val="clear" w:color="auto" w:fill="D9D9D9"/>
          </w:tcPr>
          <w:p w:rsidR="00D608F7" w:rsidRPr="00B921A4" w:rsidRDefault="00D608F7">
            <w:pPr>
              <w:pStyle w:val="Heading6"/>
              <w:rPr>
                <w:i/>
                <w:sz w:val="20"/>
              </w:rPr>
            </w:pPr>
          </w:p>
        </w:tc>
        <w:tc>
          <w:tcPr>
            <w:tcW w:w="597" w:type="pct"/>
            <w:tcBorders>
              <w:top w:val="nil"/>
            </w:tcBorders>
            <w:shd w:val="clear" w:color="auto" w:fill="D9D9D9"/>
          </w:tcPr>
          <w:p w:rsidR="00D608F7" w:rsidRPr="00B921A4" w:rsidRDefault="00427C26" w:rsidP="004332AB">
            <w:pPr>
              <w:jc w:val="center"/>
              <w:rPr>
                <w:b/>
                <w:i/>
                <w:snapToGrid w:val="0"/>
                <w:color w:val="000000"/>
              </w:rPr>
            </w:pPr>
            <w:r>
              <w:rPr>
                <w:b/>
                <w:i/>
                <w:snapToGrid w:val="0"/>
                <w:color w:val="000000"/>
              </w:rPr>
              <w:t>2011-12</w:t>
            </w:r>
          </w:p>
        </w:tc>
        <w:tc>
          <w:tcPr>
            <w:tcW w:w="597" w:type="pct"/>
            <w:tcBorders>
              <w:top w:val="nil"/>
            </w:tcBorders>
            <w:shd w:val="clear" w:color="auto" w:fill="D9D9D9"/>
          </w:tcPr>
          <w:p w:rsidR="00D608F7" w:rsidRPr="00B921A4" w:rsidRDefault="00427C26" w:rsidP="004332AB">
            <w:pPr>
              <w:jc w:val="center"/>
              <w:rPr>
                <w:b/>
                <w:i/>
                <w:snapToGrid w:val="0"/>
                <w:color w:val="000000"/>
              </w:rPr>
            </w:pPr>
            <w:r>
              <w:rPr>
                <w:b/>
                <w:i/>
                <w:snapToGrid w:val="0"/>
                <w:color w:val="000000"/>
              </w:rPr>
              <w:t>2012-13</w:t>
            </w:r>
          </w:p>
        </w:tc>
        <w:tc>
          <w:tcPr>
            <w:tcW w:w="637" w:type="pct"/>
            <w:tcBorders>
              <w:top w:val="nil"/>
            </w:tcBorders>
            <w:shd w:val="clear" w:color="auto" w:fill="D9D9D9"/>
          </w:tcPr>
          <w:p w:rsidR="00D608F7" w:rsidRPr="00B921A4" w:rsidRDefault="00427C26" w:rsidP="004332AB">
            <w:pPr>
              <w:jc w:val="center"/>
              <w:rPr>
                <w:b/>
                <w:i/>
                <w:snapToGrid w:val="0"/>
                <w:color w:val="000000"/>
              </w:rPr>
            </w:pPr>
            <w:r>
              <w:rPr>
                <w:b/>
                <w:i/>
                <w:snapToGrid w:val="0"/>
                <w:color w:val="000000"/>
              </w:rPr>
              <w:t>2012-13</w:t>
            </w:r>
          </w:p>
        </w:tc>
        <w:tc>
          <w:tcPr>
            <w:tcW w:w="517" w:type="pct"/>
            <w:tcBorders>
              <w:top w:val="nil"/>
            </w:tcBorders>
            <w:shd w:val="clear" w:color="auto" w:fill="D9D9D9"/>
          </w:tcPr>
          <w:p w:rsidR="00D608F7" w:rsidRPr="00B921A4" w:rsidRDefault="00D608F7" w:rsidP="004332AB">
            <w:pPr>
              <w:jc w:val="center"/>
              <w:rPr>
                <w:b/>
                <w:i/>
                <w:snapToGrid w:val="0"/>
                <w:color w:val="000000"/>
              </w:rPr>
            </w:pPr>
            <w:r w:rsidRPr="00B921A4">
              <w:rPr>
                <w:b/>
                <w:i/>
                <w:snapToGrid w:val="0"/>
                <w:color w:val="000000"/>
              </w:rPr>
              <w:t>Change</w:t>
            </w:r>
          </w:p>
        </w:tc>
        <w:tc>
          <w:tcPr>
            <w:tcW w:w="437" w:type="pct"/>
            <w:tcBorders>
              <w:top w:val="nil"/>
            </w:tcBorders>
            <w:shd w:val="clear" w:color="auto" w:fill="D9D9D9"/>
          </w:tcPr>
          <w:p w:rsidR="00D608F7" w:rsidRPr="00B921A4" w:rsidRDefault="00D608F7" w:rsidP="004332AB">
            <w:pPr>
              <w:jc w:val="center"/>
              <w:rPr>
                <w:b/>
                <w:i/>
                <w:snapToGrid w:val="0"/>
                <w:color w:val="000000"/>
              </w:rPr>
            </w:pPr>
            <w:r w:rsidRPr="00B921A4">
              <w:rPr>
                <w:b/>
                <w:i/>
                <w:snapToGrid w:val="0"/>
                <w:color w:val="000000"/>
              </w:rPr>
              <w:t>Change</w:t>
            </w:r>
          </w:p>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0100</w:t>
            </w:r>
          </w:p>
        </w:tc>
        <w:tc>
          <w:tcPr>
            <w:tcW w:w="1749" w:type="pct"/>
            <w:vAlign w:val="bottom"/>
          </w:tcPr>
          <w:p w:rsidR="00D608F7" w:rsidRPr="004740E5" w:rsidRDefault="00D608F7">
            <w:pPr>
              <w:rPr>
                <w:snapToGrid w:val="0"/>
                <w:color w:val="000000"/>
              </w:rPr>
            </w:pPr>
            <w:r w:rsidRPr="004740E5">
              <w:rPr>
                <w:snapToGrid w:val="0"/>
                <w:color w:val="000000"/>
              </w:rPr>
              <w:t>SALARIES PERSONNEL SERVICES</w:t>
            </w:r>
          </w:p>
        </w:tc>
        <w:tc>
          <w:tcPr>
            <w:tcW w:w="597" w:type="pct"/>
            <w:vAlign w:val="bottom"/>
          </w:tcPr>
          <w:p w:rsidR="00D608F7" w:rsidRPr="004F0094" w:rsidRDefault="00084DFB">
            <w:pPr>
              <w:jc w:val="right"/>
            </w:pPr>
            <w:r>
              <w:t>$</w:t>
            </w:r>
            <w:r w:rsidR="00427C26">
              <w:t>10,159,213</w:t>
            </w:r>
          </w:p>
        </w:tc>
        <w:tc>
          <w:tcPr>
            <w:tcW w:w="597" w:type="pct"/>
            <w:vAlign w:val="bottom"/>
          </w:tcPr>
          <w:p w:rsidR="00D608F7" w:rsidRPr="004F0094" w:rsidRDefault="00084DFB">
            <w:pPr>
              <w:jc w:val="right"/>
            </w:pPr>
            <w:r>
              <w:t>$</w:t>
            </w:r>
            <w:r w:rsidR="00427C26">
              <w:t>11,049,608</w:t>
            </w:r>
          </w:p>
        </w:tc>
        <w:tc>
          <w:tcPr>
            <w:tcW w:w="637" w:type="pct"/>
            <w:vAlign w:val="bottom"/>
          </w:tcPr>
          <w:p w:rsidR="00D608F7" w:rsidRPr="004F0094" w:rsidRDefault="00084DFB">
            <w:pPr>
              <w:jc w:val="right"/>
            </w:pPr>
            <w:r>
              <w:t>$</w:t>
            </w:r>
            <w:r w:rsidR="00427C26">
              <w:t>11,445,792</w:t>
            </w:r>
          </w:p>
        </w:tc>
        <w:tc>
          <w:tcPr>
            <w:tcW w:w="517" w:type="pct"/>
            <w:vAlign w:val="bottom"/>
          </w:tcPr>
          <w:p w:rsidR="00D608F7" w:rsidRPr="004F0094" w:rsidRDefault="00084DFB">
            <w:pPr>
              <w:jc w:val="right"/>
            </w:pPr>
            <w:r>
              <w:t>$</w:t>
            </w:r>
            <w:r w:rsidR="00427C26">
              <w:t>396,184</w:t>
            </w:r>
          </w:p>
        </w:tc>
        <w:tc>
          <w:tcPr>
            <w:tcW w:w="437" w:type="pct"/>
            <w:vAlign w:val="bottom"/>
          </w:tcPr>
          <w:p w:rsidR="00D608F7" w:rsidRPr="004F0094" w:rsidRDefault="00427C26">
            <w:pPr>
              <w:jc w:val="right"/>
            </w:pPr>
            <w:r>
              <w:t>3.6</w:t>
            </w:r>
          </w:p>
        </w:tc>
      </w:tr>
      <w:tr w:rsidR="000E4D10" w:rsidTr="004F0094">
        <w:trPr>
          <w:trHeight w:val="24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427C26">
            <w:pPr>
              <w:jc w:val="right"/>
            </w:pPr>
            <w:r>
              <w:t>79.5</w:t>
            </w:r>
          </w:p>
        </w:tc>
        <w:tc>
          <w:tcPr>
            <w:tcW w:w="597" w:type="pct"/>
            <w:vAlign w:val="bottom"/>
          </w:tcPr>
          <w:p w:rsidR="00D608F7" w:rsidRPr="004F0094" w:rsidRDefault="00427C26">
            <w:pPr>
              <w:jc w:val="right"/>
            </w:pPr>
            <w:r>
              <w:t>77.3</w:t>
            </w:r>
          </w:p>
        </w:tc>
        <w:tc>
          <w:tcPr>
            <w:tcW w:w="637" w:type="pct"/>
            <w:vAlign w:val="bottom"/>
          </w:tcPr>
          <w:p w:rsidR="00D608F7" w:rsidRPr="004F0094" w:rsidRDefault="00427C26">
            <w:pPr>
              <w:jc w:val="right"/>
            </w:pPr>
            <w:r>
              <w:t>77.7</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0200</w:t>
            </w:r>
          </w:p>
        </w:tc>
        <w:tc>
          <w:tcPr>
            <w:tcW w:w="1749" w:type="pct"/>
            <w:vAlign w:val="bottom"/>
          </w:tcPr>
          <w:p w:rsidR="00D608F7" w:rsidRPr="004740E5" w:rsidRDefault="00D608F7">
            <w:pPr>
              <w:rPr>
                <w:snapToGrid w:val="0"/>
                <w:color w:val="000000"/>
              </w:rPr>
            </w:pPr>
            <w:r w:rsidRPr="004740E5">
              <w:rPr>
                <w:snapToGrid w:val="0"/>
                <w:color w:val="000000"/>
              </w:rPr>
              <w:t>EMPLOYEE BENEFITS (*)</w:t>
            </w:r>
          </w:p>
        </w:tc>
        <w:tc>
          <w:tcPr>
            <w:tcW w:w="597" w:type="pct"/>
            <w:vAlign w:val="bottom"/>
          </w:tcPr>
          <w:p w:rsidR="00D608F7" w:rsidRPr="004F0094" w:rsidRDefault="00084DFB">
            <w:pPr>
              <w:jc w:val="right"/>
            </w:pPr>
            <w:r>
              <w:t>$</w:t>
            </w:r>
            <w:r w:rsidR="00427C26">
              <w:t>663,467</w:t>
            </w:r>
          </w:p>
        </w:tc>
        <w:tc>
          <w:tcPr>
            <w:tcW w:w="597" w:type="pct"/>
            <w:vAlign w:val="bottom"/>
          </w:tcPr>
          <w:p w:rsidR="00D608F7" w:rsidRPr="004F0094" w:rsidRDefault="00084DFB">
            <w:pPr>
              <w:jc w:val="right"/>
            </w:pPr>
            <w:r>
              <w:t>$</w:t>
            </w:r>
            <w:r w:rsidR="00427C26">
              <w:t>765,310</w:t>
            </w:r>
          </w:p>
        </w:tc>
        <w:tc>
          <w:tcPr>
            <w:tcW w:w="637" w:type="pct"/>
            <w:vAlign w:val="bottom"/>
          </w:tcPr>
          <w:p w:rsidR="00D608F7" w:rsidRPr="004F0094" w:rsidRDefault="00084DFB">
            <w:pPr>
              <w:jc w:val="right"/>
            </w:pPr>
            <w:r>
              <w:t>$</w:t>
            </w:r>
            <w:r w:rsidR="00427C26">
              <w:t>807,373</w:t>
            </w:r>
          </w:p>
        </w:tc>
        <w:tc>
          <w:tcPr>
            <w:tcW w:w="517" w:type="pct"/>
            <w:vAlign w:val="bottom"/>
          </w:tcPr>
          <w:p w:rsidR="00D608F7" w:rsidRPr="004F0094" w:rsidRDefault="00084DFB">
            <w:pPr>
              <w:jc w:val="right"/>
            </w:pPr>
            <w:r>
              <w:t>$</w:t>
            </w:r>
            <w:r w:rsidR="00427C26">
              <w:t>42,063</w:t>
            </w:r>
          </w:p>
        </w:tc>
        <w:tc>
          <w:tcPr>
            <w:tcW w:w="437" w:type="pct"/>
            <w:vAlign w:val="bottom"/>
          </w:tcPr>
          <w:p w:rsidR="00D608F7" w:rsidRPr="004F0094" w:rsidRDefault="00427C26">
            <w:pPr>
              <w:jc w:val="right"/>
            </w:pPr>
            <w:r>
              <w:t>5.5</w:t>
            </w:r>
          </w:p>
        </w:tc>
      </w:tr>
      <w:tr w:rsidR="000E4D10" w:rsidTr="004F0094">
        <w:trPr>
          <w:trHeight w:val="24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427C26">
            <w:pPr>
              <w:jc w:val="right"/>
            </w:pPr>
            <w:r>
              <w:t>5.2</w:t>
            </w:r>
          </w:p>
        </w:tc>
        <w:tc>
          <w:tcPr>
            <w:tcW w:w="597" w:type="pct"/>
            <w:vAlign w:val="bottom"/>
          </w:tcPr>
          <w:p w:rsidR="00D608F7" w:rsidRPr="004F0094" w:rsidRDefault="00427C26">
            <w:pPr>
              <w:jc w:val="right"/>
            </w:pPr>
            <w:r>
              <w:t>5.4</w:t>
            </w:r>
          </w:p>
        </w:tc>
        <w:tc>
          <w:tcPr>
            <w:tcW w:w="637" w:type="pct"/>
            <w:vAlign w:val="bottom"/>
          </w:tcPr>
          <w:p w:rsidR="00D608F7" w:rsidRPr="004F0094" w:rsidRDefault="00427C26">
            <w:pPr>
              <w:jc w:val="right"/>
            </w:pPr>
            <w:r>
              <w:t>5.5</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0300</w:t>
            </w:r>
          </w:p>
        </w:tc>
        <w:tc>
          <w:tcPr>
            <w:tcW w:w="1749" w:type="pct"/>
            <w:vAlign w:val="bottom"/>
          </w:tcPr>
          <w:p w:rsidR="00D608F7" w:rsidRPr="004740E5" w:rsidRDefault="00D608F7" w:rsidP="004F0094">
            <w:pPr>
              <w:rPr>
                <w:snapToGrid w:val="0"/>
                <w:color w:val="000000"/>
              </w:rPr>
            </w:pPr>
            <w:r w:rsidRPr="004740E5">
              <w:rPr>
                <w:snapToGrid w:val="0"/>
                <w:color w:val="000000"/>
              </w:rPr>
              <w:t>PURCHASED PROF &amp; TECH SER</w:t>
            </w:r>
            <w:r>
              <w:rPr>
                <w:snapToGrid w:val="0"/>
                <w:color w:val="000000"/>
              </w:rPr>
              <w:t>.</w:t>
            </w:r>
          </w:p>
        </w:tc>
        <w:tc>
          <w:tcPr>
            <w:tcW w:w="597" w:type="pct"/>
            <w:vAlign w:val="bottom"/>
          </w:tcPr>
          <w:p w:rsidR="00D608F7" w:rsidRPr="004F0094" w:rsidRDefault="00084DFB">
            <w:pPr>
              <w:jc w:val="right"/>
            </w:pPr>
            <w:r>
              <w:t>$</w:t>
            </w:r>
            <w:r w:rsidR="00427C26">
              <w:t>147,390</w:t>
            </w:r>
          </w:p>
        </w:tc>
        <w:tc>
          <w:tcPr>
            <w:tcW w:w="597" w:type="pct"/>
            <w:vAlign w:val="bottom"/>
          </w:tcPr>
          <w:p w:rsidR="00D608F7" w:rsidRPr="004F0094" w:rsidRDefault="00084DFB">
            <w:pPr>
              <w:jc w:val="right"/>
            </w:pPr>
            <w:r>
              <w:t>$</w:t>
            </w:r>
            <w:r w:rsidR="00427C26">
              <w:t>189,401</w:t>
            </w:r>
          </w:p>
        </w:tc>
        <w:tc>
          <w:tcPr>
            <w:tcW w:w="637" w:type="pct"/>
            <w:vAlign w:val="bottom"/>
          </w:tcPr>
          <w:p w:rsidR="00D608F7" w:rsidRPr="004F0094" w:rsidRDefault="00084DFB">
            <w:pPr>
              <w:jc w:val="right"/>
            </w:pPr>
            <w:r>
              <w:t>$</w:t>
            </w:r>
            <w:r w:rsidR="00427C26">
              <w:t>189,519</w:t>
            </w:r>
          </w:p>
        </w:tc>
        <w:tc>
          <w:tcPr>
            <w:tcW w:w="517" w:type="pct"/>
            <w:vAlign w:val="bottom"/>
          </w:tcPr>
          <w:p w:rsidR="00D608F7" w:rsidRPr="004F0094" w:rsidRDefault="00084DFB">
            <w:pPr>
              <w:jc w:val="right"/>
            </w:pPr>
            <w:r>
              <w:t>$</w:t>
            </w:r>
            <w:r w:rsidR="00427C26">
              <w:t>118</w:t>
            </w:r>
          </w:p>
        </w:tc>
        <w:tc>
          <w:tcPr>
            <w:tcW w:w="437" w:type="pct"/>
            <w:vAlign w:val="bottom"/>
          </w:tcPr>
          <w:p w:rsidR="00D608F7" w:rsidRPr="004F0094" w:rsidRDefault="00427C26">
            <w:pPr>
              <w:jc w:val="right"/>
            </w:pPr>
            <w:r>
              <w:t>.01</w:t>
            </w:r>
          </w:p>
        </w:tc>
      </w:tr>
      <w:tr w:rsidR="000E4D10" w:rsidTr="00427C26">
        <w:trPr>
          <w:trHeight w:val="30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427C26">
            <w:pPr>
              <w:jc w:val="right"/>
            </w:pPr>
            <w:r>
              <w:t>1.2</w:t>
            </w:r>
          </w:p>
        </w:tc>
        <w:tc>
          <w:tcPr>
            <w:tcW w:w="597" w:type="pct"/>
            <w:vAlign w:val="bottom"/>
          </w:tcPr>
          <w:p w:rsidR="00D608F7" w:rsidRPr="004F0094" w:rsidRDefault="00427C26">
            <w:pPr>
              <w:jc w:val="right"/>
            </w:pPr>
            <w:r>
              <w:t>1.3</w:t>
            </w:r>
          </w:p>
        </w:tc>
        <w:tc>
          <w:tcPr>
            <w:tcW w:w="637" w:type="pct"/>
            <w:vAlign w:val="bottom"/>
          </w:tcPr>
          <w:p w:rsidR="00D608F7" w:rsidRPr="004F0094" w:rsidRDefault="00427C26">
            <w:pPr>
              <w:jc w:val="right"/>
            </w:pPr>
            <w:r>
              <w:t>1.3</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0400</w:t>
            </w:r>
          </w:p>
        </w:tc>
        <w:tc>
          <w:tcPr>
            <w:tcW w:w="1749" w:type="pct"/>
            <w:vAlign w:val="bottom"/>
          </w:tcPr>
          <w:p w:rsidR="00D608F7" w:rsidRPr="004740E5" w:rsidRDefault="00D608F7">
            <w:pPr>
              <w:rPr>
                <w:snapToGrid w:val="0"/>
                <w:color w:val="000000"/>
              </w:rPr>
            </w:pPr>
            <w:r w:rsidRPr="004740E5">
              <w:rPr>
                <w:snapToGrid w:val="0"/>
                <w:color w:val="000000"/>
              </w:rPr>
              <w:t>PURCHASED PROPERTY SERVICES</w:t>
            </w:r>
          </w:p>
        </w:tc>
        <w:tc>
          <w:tcPr>
            <w:tcW w:w="597" w:type="pct"/>
            <w:vAlign w:val="bottom"/>
          </w:tcPr>
          <w:p w:rsidR="00D608F7" w:rsidRPr="004F0094" w:rsidRDefault="00084DFB">
            <w:pPr>
              <w:jc w:val="right"/>
            </w:pPr>
            <w:r>
              <w:t>$</w:t>
            </w:r>
            <w:r w:rsidR="00427C26">
              <w:t>295,431</w:t>
            </w:r>
          </w:p>
        </w:tc>
        <w:tc>
          <w:tcPr>
            <w:tcW w:w="597" w:type="pct"/>
            <w:vAlign w:val="bottom"/>
          </w:tcPr>
          <w:p w:rsidR="00D608F7" w:rsidRPr="004F0094" w:rsidRDefault="00084DFB">
            <w:pPr>
              <w:jc w:val="right"/>
            </w:pPr>
            <w:r>
              <w:t>$</w:t>
            </w:r>
            <w:r w:rsidR="00427C26">
              <w:t>313,275</w:t>
            </w:r>
          </w:p>
        </w:tc>
        <w:tc>
          <w:tcPr>
            <w:tcW w:w="637" w:type="pct"/>
            <w:vAlign w:val="bottom"/>
          </w:tcPr>
          <w:p w:rsidR="00D608F7" w:rsidRPr="004F0094" w:rsidRDefault="00084DFB" w:rsidP="00427C26">
            <w:pPr>
              <w:jc w:val="right"/>
            </w:pPr>
            <w:r>
              <w:t>$</w:t>
            </w:r>
            <w:r w:rsidR="00427C26">
              <w:t>311,275</w:t>
            </w:r>
          </w:p>
        </w:tc>
        <w:tc>
          <w:tcPr>
            <w:tcW w:w="517" w:type="pct"/>
            <w:vAlign w:val="bottom"/>
          </w:tcPr>
          <w:p w:rsidR="00D608F7" w:rsidRPr="004F0094" w:rsidRDefault="00427C26">
            <w:pPr>
              <w:jc w:val="right"/>
            </w:pPr>
            <w:r>
              <w:t>(</w:t>
            </w:r>
            <w:r w:rsidR="00084DFB">
              <w:t>$</w:t>
            </w:r>
            <w:r>
              <w:t>2,000)</w:t>
            </w:r>
          </w:p>
        </w:tc>
        <w:tc>
          <w:tcPr>
            <w:tcW w:w="437" w:type="pct"/>
            <w:vAlign w:val="bottom"/>
          </w:tcPr>
          <w:p w:rsidR="00D608F7" w:rsidRPr="004F0094" w:rsidRDefault="00427C26">
            <w:pPr>
              <w:jc w:val="right"/>
            </w:pPr>
            <w:r>
              <w:t>-.06</w:t>
            </w:r>
          </w:p>
        </w:tc>
      </w:tr>
      <w:tr w:rsidR="000E4D10" w:rsidTr="004F0094">
        <w:trPr>
          <w:trHeight w:val="24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427C26">
            <w:pPr>
              <w:jc w:val="right"/>
            </w:pPr>
            <w:r>
              <w:t>2.3</w:t>
            </w:r>
          </w:p>
        </w:tc>
        <w:tc>
          <w:tcPr>
            <w:tcW w:w="597" w:type="pct"/>
            <w:vAlign w:val="bottom"/>
          </w:tcPr>
          <w:p w:rsidR="00D608F7" w:rsidRPr="004F0094" w:rsidRDefault="00427C26">
            <w:pPr>
              <w:jc w:val="right"/>
            </w:pPr>
            <w:r>
              <w:t>2.2</w:t>
            </w:r>
          </w:p>
        </w:tc>
        <w:tc>
          <w:tcPr>
            <w:tcW w:w="637" w:type="pct"/>
            <w:vAlign w:val="bottom"/>
          </w:tcPr>
          <w:p w:rsidR="00D608F7" w:rsidRPr="004F0094" w:rsidRDefault="00427C26">
            <w:pPr>
              <w:jc w:val="right"/>
            </w:pPr>
            <w:r>
              <w:t>2.1</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0500</w:t>
            </w:r>
          </w:p>
        </w:tc>
        <w:tc>
          <w:tcPr>
            <w:tcW w:w="1749" w:type="pct"/>
            <w:vAlign w:val="bottom"/>
          </w:tcPr>
          <w:p w:rsidR="00D608F7" w:rsidRPr="004740E5" w:rsidRDefault="00D608F7">
            <w:pPr>
              <w:rPr>
                <w:snapToGrid w:val="0"/>
                <w:color w:val="000000"/>
              </w:rPr>
            </w:pPr>
            <w:r w:rsidRPr="004740E5">
              <w:rPr>
                <w:snapToGrid w:val="0"/>
                <w:color w:val="000000"/>
              </w:rPr>
              <w:t>OTHER PURCHASED SERVICES</w:t>
            </w:r>
          </w:p>
        </w:tc>
        <w:tc>
          <w:tcPr>
            <w:tcW w:w="597" w:type="pct"/>
            <w:vAlign w:val="bottom"/>
          </w:tcPr>
          <w:p w:rsidR="00D608F7" w:rsidRPr="004F0094" w:rsidRDefault="00084DFB">
            <w:pPr>
              <w:jc w:val="right"/>
            </w:pPr>
            <w:r>
              <w:t>$</w:t>
            </w:r>
            <w:r w:rsidR="00D636FB">
              <w:t>161,766</w:t>
            </w:r>
          </w:p>
        </w:tc>
        <w:tc>
          <w:tcPr>
            <w:tcW w:w="597" w:type="pct"/>
            <w:vAlign w:val="bottom"/>
          </w:tcPr>
          <w:p w:rsidR="00D608F7" w:rsidRPr="004F0094" w:rsidRDefault="00084DFB">
            <w:pPr>
              <w:jc w:val="right"/>
            </w:pPr>
            <w:r>
              <w:t>$</w:t>
            </w:r>
            <w:r w:rsidR="00D636FB">
              <w:t>253,214</w:t>
            </w:r>
          </w:p>
        </w:tc>
        <w:tc>
          <w:tcPr>
            <w:tcW w:w="637" w:type="pct"/>
            <w:vAlign w:val="bottom"/>
          </w:tcPr>
          <w:p w:rsidR="00D608F7" w:rsidRPr="004F0094" w:rsidRDefault="00084DFB">
            <w:pPr>
              <w:jc w:val="right"/>
            </w:pPr>
            <w:r>
              <w:t>$</w:t>
            </w:r>
            <w:r w:rsidR="00D636FB">
              <w:t>257,217</w:t>
            </w:r>
          </w:p>
        </w:tc>
        <w:tc>
          <w:tcPr>
            <w:tcW w:w="517" w:type="pct"/>
            <w:vAlign w:val="bottom"/>
          </w:tcPr>
          <w:p w:rsidR="00D608F7" w:rsidRPr="004F0094" w:rsidRDefault="00084DFB">
            <w:pPr>
              <w:jc w:val="right"/>
            </w:pPr>
            <w:r>
              <w:t>$</w:t>
            </w:r>
            <w:r w:rsidR="00D636FB">
              <w:t>4,003</w:t>
            </w:r>
          </w:p>
        </w:tc>
        <w:tc>
          <w:tcPr>
            <w:tcW w:w="437" w:type="pct"/>
            <w:vAlign w:val="bottom"/>
          </w:tcPr>
          <w:p w:rsidR="00D608F7" w:rsidRPr="004F0094" w:rsidRDefault="00D636FB">
            <w:pPr>
              <w:jc w:val="right"/>
            </w:pPr>
            <w:r>
              <w:t>1.6</w:t>
            </w:r>
          </w:p>
        </w:tc>
      </w:tr>
      <w:tr w:rsidR="000E4D10" w:rsidTr="004F0094">
        <w:trPr>
          <w:trHeight w:val="24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D636FB">
            <w:pPr>
              <w:jc w:val="right"/>
            </w:pPr>
            <w:r>
              <w:t>1.3</w:t>
            </w:r>
          </w:p>
        </w:tc>
        <w:tc>
          <w:tcPr>
            <w:tcW w:w="597" w:type="pct"/>
            <w:vAlign w:val="bottom"/>
          </w:tcPr>
          <w:p w:rsidR="00D608F7" w:rsidRPr="004F0094" w:rsidRDefault="00D636FB">
            <w:pPr>
              <w:jc w:val="right"/>
            </w:pPr>
            <w:r>
              <w:t>1.8</w:t>
            </w:r>
          </w:p>
        </w:tc>
        <w:tc>
          <w:tcPr>
            <w:tcW w:w="637" w:type="pct"/>
            <w:vAlign w:val="bottom"/>
          </w:tcPr>
          <w:p w:rsidR="00D608F7" w:rsidRPr="004F0094" w:rsidRDefault="00D636FB">
            <w:pPr>
              <w:jc w:val="right"/>
            </w:pPr>
            <w:r>
              <w:t>1.7</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0600</w:t>
            </w:r>
          </w:p>
        </w:tc>
        <w:tc>
          <w:tcPr>
            <w:tcW w:w="1749" w:type="pct"/>
            <w:vAlign w:val="bottom"/>
          </w:tcPr>
          <w:p w:rsidR="00D608F7" w:rsidRPr="004740E5" w:rsidRDefault="00D608F7">
            <w:pPr>
              <w:rPr>
                <w:snapToGrid w:val="0"/>
                <w:color w:val="000000"/>
              </w:rPr>
            </w:pPr>
            <w:r w:rsidRPr="004740E5">
              <w:rPr>
                <w:snapToGrid w:val="0"/>
                <w:color w:val="000000"/>
              </w:rPr>
              <w:t>SUPPLIES &amp; MATERIALS</w:t>
            </w:r>
          </w:p>
        </w:tc>
        <w:tc>
          <w:tcPr>
            <w:tcW w:w="597" w:type="pct"/>
            <w:vAlign w:val="bottom"/>
          </w:tcPr>
          <w:p w:rsidR="00D608F7" w:rsidRPr="004F0094" w:rsidRDefault="00084DFB">
            <w:pPr>
              <w:jc w:val="right"/>
            </w:pPr>
            <w:r>
              <w:t>$</w:t>
            </w:r>
            <w:r w:rsidR="00D636FB">
              <w:t>1,126,361</w:t>
            </w:r>
          </w:p>
        </w:tc>
        <w:tc>
          <w:tcPr>
            <w:tcW w:w="597" w:type="pct"/>
            <w:vAlign w:val="bottom"/>
          </w:tcPr>
          <w:p w:rsidR="00D608F7" w:rsidRPr="004F0094" w:rsidRDefault="00084DFB">
            <w:pPr>
              <w:jc w:val="right"/>
            </w:pPr>
            <w:r>
              <w:t>$</w:t>
            </w:r>
            <w:r w:rsidR="00D636FB">
              <w:t>1,293,226</w:t>
            </w:r>
          </w:p>
        </w:tc>
        <w:tc>
          <w:tcPr>
            <w:tcW w:w="637" w:type="pct"/>
            <w:vAlign w:val="bottom"/>
          </w:tcPr>
          <w:p w:rsidR="00D608F7" w:rsidRPr="004F0094" w:rsidRDefault="00084DFB">
            <w:pPr>
              <w:jc w:val="right"/>
            </w:pPr>
            <w:r>
              <w:t>$</w:t>
            </w:r>
            <w:r w:rsidR="00D636FB">
              <w:t>1,429,576</w:t>
            </w:r>
          </w:p>
        </w:tc>
        <w:tc>
          <w:tcPr>
            <w:tcW w:w="517" w:type="pct"/>
            <w:vAlign w:val="bottom"/>
          </w:tcPr>
          <w:p w:rsidR="00D608F7" w:rsidRPr="004F0094" w:rsidRDefault="00084DFB">
            <w:pPr>
              <w:jc w:val="right"/>
            </w:pPr>
            <w:r>
              <w:t>$</w:t>
            </w:r>
            <w:r w:rsidR="00D636FB">
              <w:t>136,351</w:t>
            </w:r>
          </w:p>
        </w:tc>
        <w:tc>
          <w:tcPr>
            <w:tcW w:w="437" w:type="pct"/>
            <w:vAlign w:val="bottom"/>
          </w:tcPr>
          <w:p w:rsidR="00D608F7" w:rsidRPr="004F0094" w:rsidRDefault="00D636FB">
            <w:pPr>
              <w:jc w:val="right"/>
            </w:pPr>
            <w:r>
              <w:t>10.5</w:t>
            </w:r>
          </w:p>
        </w:tc>
      </w:tr>
      <w:tr w:rsidR="000E4D10" w:rsidTr="004F0094">
        <w:trPr>
          <w:trHeight w:val="24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D636FB">
            <w:pPr>
              <w:jc w:val="right"/>
            </w:pPr>
            <w:r>
              <w:t>8.8</w:t>
            </w:r>
          </w:p>
        </w:tc>
        <w:tc>
          <w:tcPr>
            <w:tcW w:w="597" w:type="pct"/>
            <w:vAlign w:val="bottom"/>
          </w:tcPr>
          <w:p w:rsidR="00D608F7" w:rsidRPr="004F0094" w:rsidRDefault="00D636FB">
            <w:pPr>
              <w:jc w:val="right"/>
            </w:pPr>
            <w:r>
              <w:t>9.0</w:t>
            </w:r>
          </w:p>
        </w:tc>
        <w:tc>
          <w:tcPr>
            <w:tcW w:w="637" w:type="pct"/>
            <w:vAlign w:val="bottom"/>
          </w:tcPr>
          <w:p w:rsidR="00D608F7" w:rsidRPr="004F0094" w:rsidRDefault="00D636FB">
            <w:pPr>
              <w:jc w:val="right"/>
            </w:pPr>
            <w:r>
              <w:t>9.7</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0700</w:t>
            </w:r>
          </w:p>
        </w:tc>
        <w:tc>
          <w:tcPr>
            <w:tcW w:w="1749" w:type="pct"/>
            <w:vAlign w:val="bottom"/>
          </w:tcPr>
          <w:p w:rsidR="00D608F7" w:rsidRPr="004740E5" w:rsidRDefault="00D608F7">
            <w:pPr>
              <w:rPr>
                <w:snapToGrid w:val="0"/>
                <w:color w:val="000000"/>
              </w:rPr>
            </w:pPr>
            <w:r w:rsidRPr="004740E5">
              <w:rPr>
                <w:snapToGrid w:val="0"/>
                <w:color w:val="000000"/>
              </w:rPr>
              <w:t>PROPERTY</w:t>
            </w:r>
          </w:p>
        </w:tc>
        <w:tc>
          <w:tcPr>
            <w:tcW w:w="597" w:type="pct"/>
            <w:vAlign w:val="bottom"/>
          </w:tcPr>
          <w:p w:rsidR="00D608F7" w:rsidRPr="004F0094" w:rsidRDefault="00084DFB">
            <w:pPr>
              <w:jc w:val="right"/>
            </w:pPr>
            <w:r>
              <w:t>$</w:t>
            </w:r>
            <w:r w:rsidR="00D636FB">
              <w:t>118,199</w:t>
            </w:r>
          </w:p>
        </w:tc>
        <w:tc>
          <w:tcPr>
            <w:tcW w:w="597" w:type="pct"/>
            <w:vAlign w:val="bottom"/>
          </w:tcPr>
          <w:p w:rsidR="00D608F7" w:rsidRPr="004F0094" w:rsidRDefault="00084DFB">
            <w:pPr>
              <w:jc w:val="right"/>
            </w:pPr>
            <w:r>
              <w:t>$</w:t>
            </w:r>
            <w:r w:rsidR="00D636FB">
              <w:t>260,200</w:t>
            </w:r>
          </w:p>
        </w:tc>
        <w:tc>
          <w:tcPr>
            <w:tcW w:w="637" w:type="pct"/>
            <w:vAlign w:val="bottom"/>
          </w:tcPr>
          <w:p w:rsidR="00D608F7" w:rsidRPr="004F0094" w:rsidRDefault="00084DFB">
            <w:pPr>
              <w:jc w:val="right"/>
            </w:pPr>
            <w:r>
              <w:t>$</w:t>
            </w:r>
            <w:r w:rsidR="00D636FB">
              <w:t>118,200</w:t>
            </w:r>
          </w:p>
        </w:tc>
        <w:tc>
          <w:tcPr>
            <w:tcW w:w="517" w:type="pct"/>
            <w:vAlign w:val="bottom"/>
          </w:tcPr>
          <w:p w:rsidR="00D608F7" w:rsidRPr="004F0094" w:rsidRDefault="00D636FB">
            <w:pPr>
              <w:jc w:val="right"/>
            </w:pPr>
            <w:r>
              <w:t>(</w:t>
            </w:r>
            <w:r w:rsidR="00084DFB">
              <w:t>$</w:t>
            </w:r>
            <w:r>
              <w:t>142,000)</w:t>
            </w:r>
          </w:p>
        </w:tc>
        <w:tc>
          <w:tcPr>
            <w:tcW w:w="437" w:type="pct"/>
            <w:vAlign w:val="bottom"/>
          </w:tcPr>
          <w:p w:rsidR="00D608F7" w:rsidRPr="004F0094" w:rsidRDefault="00D636FB" w:rsidP="00D636FB">
            <w:pPr>
              <w:jc w:val="right"/>
            </w:pPr>
            <w:r>
              <w:t>-54.6</w:t>
            </w:r>
          </w:p>
        </w:tc>
      </w:tr>
      <w:tr w:rsidR="000E4D10" w:rsidTr="004F0094">
        <w:trPr>
          <w:trHeight w:val="24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D636FB">
            <w:pPr>
              <w:jc w:val="right"/>
            </w:pPr>
            <w:r>
              <w:t>.9</w:t>
            </w:r>
          </w:p>
        </w:tc>
        <w:tc>
          <w:tcPr>
            <w:tcW w:w="597" w:type="pct"/>
            <w:vAlign w:val="bottom"/>
          </w:tcPr>
          <w:p w:rsidR="00D608F7" w:rsidRPr="004F0094" w:rsidRDefault="00D636FB">
            <w:pPr>
              <w:jc w:val="right"/>
            </w:pPr>
            <w:r>
              <w:t>1.8</w:t>
            </w:r>
          </w:p>
        </w:tc>
        <w:tc>
          <w:tcPr>
            <w:tcW w:w="637" w:type="pct"/>
            <w:vAlign w:val="bottom"/>
          </w:tcPr>
          <w:p w:rsidR="00D608F7" w:rsidRPr="004F0094" w:rsidRDefault="00D636FB">
            <w:pPr>
              <w:jc w:val="right"/>
            </w:pPr>
            <w:r>
              <w:t>.8</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0800</w:t>
            </w:r>
          </w:p>
        </w:tc>
        <w:tc>
          <w:tcPr>
            <w:tcW w:w="1749" w:type="pct"/>
            <w:vAlign w:val="bottom"/>
          </w:tcPr>
          <w:p w:rsidR="00D608F7" w:rsidRPr="004740E5" w:rsidRDefault="00D608F7">
            <w:pPr>
              <w:rPr>
                <w:snapToGrid w:val="0"/>
                <w:color w:val="000000"/>
              </w:rPr>
            </w:pPr>
            <w:r w:rsidRPr="004740E5">
              <w:rPr>
                <w:snapToGrid w:val="0"/>
                <w:color w:val="000000"/>
              </w:rPr>
              <w:t>MISCELLANEOUS</w:t>
            </w:r>
          </w:p>
        </w:tc>
        <w:tc>
          <w:tcPr>
            <w:tcW w:w="597" w:type="pct"/>
            <w:vAlign w:val="bottom"/>
          </w:tcPr>
          <w:p w:rsidR="00D608F7" w:rsidRPr="004F0094" w:rsidRDefault="00084DFB">
            <w:pPr>
              <w:jc w:val="right"/>
            </w:pPr>
            <w:r>
              <w:t>$</w:t>
            </w:r>
            <w:r w:rsidR="00D636FB">
              <w:t>64,688</w:t>
            </w:r>
          </w:p>
        </w:tc>
        <w:tc>
          <w:tcPr>
            <w:tcW w:w="597" w:type="pct"/>
            <w:vAlign w:val="bottom"/>
          </w:tcPr>
          <w:p w:rsidR="00D608F7" w:rsidRPr="004F0094" w:rsidRDefault="00084DFB">
            <w:pPr>
              <w:jc w:val="right"/>
            </w:pPr>
            <w:r>
              <w:t>$</w:t>
            </w:r>
            <w:r w:rsidR="00D636FB">
              <w:t>121,629</w:t>
            </w:r>
          </w:p>
        </w:tc>
        <w:tc>
          <w:tcPr>
            <w:tcW w:w="637" w:type="pct"/>
            <w:vAlign w:val="bottom"/>
          </w:tcPr>
          <w:p w:rsidR="00D608F7" w:rsidRPr="004F0094" w:rsidRDefault="00084DFB">
            <w:pPr>
              <w:jc w:val="right"/>
            </w:pPr>
            <w:r>
              <w:t>$</w:t>
            </w:r>
            <w:r w:rsidR="00D636FB">
              <w:t>130,070</w:t>
            </w:r>
          </w:p>
        </w:tc>
        <w:tc>
          <w:tcPr>
            <w:tcW w:w="517" w:type="pct"/>
            <w:vAlign w:val="bottom"/>
          </w:tcPr>
          <w:p w:rsidR="00D608F7" w:rsidRPr="004F0094" w:rsidRDefault="00084DFB">
            <w:pPr>
              <w:jc w:val="right"/>
            </w:pPr>
            <w:r>
              <w:t>$</w:t>
            </w:r>
            <w:r w:rsidR="00D636FB">
              <w:t>8,441</w:t>
            </w:r>
          </w:p>
        </w:tc>
        <w:tc>
          <w:tcPr>
            <w:tcW w:w="437" w:type="pct"/>
            <w:vAlign w:val="bottom"/>
          </w:tcPr>
          <w:p w:rsidR="00D608F7" w:rsidRPr="004F0094" w:rsidRDefault="00D636FB">
            <w:pPr>
              <w:jc w:val="right"/>
            </w:pPr>
            <w:r>
              <w:t>6.9</w:t>
            </w:r>
          </w:p>
        </w:tc>
      </w:tr>
      <w:tr w:rsidR="000E4D10" w:rsidTr="004F0094">
        <w:trPr>
          <w:trHeight w:val="245"/>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D636FB">
            <w:pPr>
              <w:jc w:val="right"/>
            </w:pPr>
            <w:r>
              <w:t>0.5</w:t>
            </w:r>
          </w:p>
        </w:tc>
        <w:tc>
          <w:tcPr>
            <w:tcW w:w="597" w:type="pct"/>
            <w:vAlign w:val="bottom"/>
          </w:tcPr>
          <w:p w:rsidR="00D608F7" w:rsidRPr="004F0094" w:rsidRDefault="00D636FB">
            <w:pPr>
              <w:jc w:val="right"/>
            </w:pPr>
            <w:r>
              <w:t>0.9</w:t>
            </w:r>
          </w:p>
        </w:tc>
        <w:tc>
          <w:tcPr>
            <w:tcW w:w="637" w:type="pct"/>
            <w:vAlign w:val="bottom"/>
          </w:tcPr>
          <w:p w:rsidR="00D608F7" w:rsidRPr="004F0094" w:rsidRDefault="00D636FB">
            <w:pPr>
              <w:jc w:val="right"/>
            </w:pPr>
            <w:r>
              <w:t>0.9</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0900</w:t>
            </w:r>
          </w:p>
        </w:tc>
        <w:tc>
          <w:tcPr>
            <w:tcW w:w="1749" w:type="pct"/>
            <w:vAlign w:val="bottom"/>
          </w:tcPr>
          <w:p w:rsidR="00D608F7" w:rsidRPr="004740E5" w:rsidRDefault="00D608F7">
            <w:pPr>
              <w:rPr>
                <w:snapToGrid w:val="0"/>
                <w:color w:val="000000"/>
              </w:rPr>
            </w:pPr>
            <w:r w:rsidRPr="004740E5">
              <w:rPr>
                <w:snapToGrid w:val="0"/>
                <w:color w:val="000000"/>
              </w:rPr>
              <w:t>OTHER USES OF FUNDS</w:t>
            </w:r>
          </w:p>
        </w:tc>
        <w:tc>
          <w:tcPr>
            <w:tcW w:w="597" w:type="pct"/>
            <w:vAlign w:val="bottom"/>
          </w:tcPr>
          <w:p w:rsidR="00D608F7" w:rsidRPr="004F0094" w:rsidRDefault="00084DFB">
            <w:pPr>
              <w:jc w:val="right"/>
            </w:pPr>
            <w:r>
              <w:t>$</w:t>
            </w:r>
            <w:r w:rsidR="00D636FB">
              <w:t>50,252</w:t>
            </w:r>
          </w:p>
        </w:tc>
        <w:tc>
          <w:tcPr>
            <w:tcW w:w="597" w:type="pct"/>
            <w:vAlign w:val="bottom"/>
          </w:tcPr>
          <w:p w:rsidR="00D608F7" w:rsidRPr="004F0094" w:rsidRDefault="00084DFB">
            <w:pPr>
              <w:jc w:val="right"/>
            </w:pPr>
            <w:r>
              <w:t>$</w:t>
            </w:r>
            <w:r w:rsidR="00D636FB">
              <w:t>50,000</w:t>
            </w:r>
          </w:p>
        </w:tc>
        <w:tc>
          <w:tcPr>
            <w:tcW w:w="637" w:type="pct"/>
            <w:vAlign w:val="bottom"/>
          </w:tcPr>
          <w:p w:rsidR="00D608F7" w:rsidRPr="004F0094" w:rsidRDefault="00084DFB">
            <w:pPr>
              <w:jc w:val="right"/>
            </w:pPr>
            <w:r>
              <w:t>$</w:t>
            </w:r>
            <w:r w:rsidR="00D636FB">
              <w:t>50,000</w:t>
            </w:r>
          </w:p>
        </w:tc>
        <w:tc>
          <w:tcPr>
            <w:tcW w:w="517" w:type="pct"/>
            <w:vAlign w:val="bottom"/>
          </w:tcPr>
          <w:p w:rsidR="00D608F7" w:rsidRPr="004F0094" w:rsidRDefault="00084DFB">
            <w:pPr>
              <w:jc w:val="right"/>
            </w:pPr>
            <w:r>
              <w:t>$</w:t>
            </w:r>
            <w:r w:rsidR="00D636FB">
              <w:t>0</w:t>
            </w:r>
          </w:p>
        </w:tc>
        <w:tc>
          <w:tcPr>
            <w:tcW w:w="437" w:type="pct"/>
            <w:vAlign w:val="bottom"/>
          </w:tcPr>
          <w:p w:rsidR="00D608F7" w:rsidRPr="004F0094" w:rsidRDefault="00D636FB">
            <w:pPr>
              <w:jc w:val="right"/>
            </w:pPr>
            <w:r>
              <w:t>0.0</w:t>
            </w:r>
          </w:p>
        </w:tc>
      </w:tr>
      <w:tr w:rsidR="000E4D10" w:rsidTr="004F0094">
        <w:trPr>
          <w:trHeight w:val="259"/>
          <w:jc w:val="center"/>
        </w:trPr>
        <w:tc>
          <w:tcPr>
            <w:tcW w:w="466" w:type="pct"/>
          </w:tcPr>
          <w:p w:rsidR="00D608F7" w:rsidRPr="004740E5" w:rsidRDefault="00D608F7">
            <w:pPr>
              <w:jc w:val="center"/>
              <w:rPr>
                <w:snapToGrid w:val="0"/>
                <w:color w:val="000000"/>
              </w:rPr>
            </w:pPr>
          </w:p>
        </w:tc>
        <w:tc>
          <w:tcPr>
            <w:tcW w:w="1749" w:type="pct"/>
            <w:vAlign w:val="bottom"/>
          </w:tcPr>
          <w:p w:rsidR="00D608F7" w:rsidRPr="004740E5" w:rsidRDefault="00D608F7">
            <w:pPr>
              <w:rPr>
                <w:i/>
                <w:snapToGrid w:val="0"/>
                <w:color w:val="000000"/>
              </w:rPr>
            </w:pPr>
            <w:r w:rsidRPr="004740E5">
              <w:rPr>
                <w:i/>
                <w:snapToGrid w:val="0"/>
                <w:color w:val="000000"/>
              </w:rPr>
              <w:t>Percent of General Fund Expense</w:t>
            </w:r>
          </w:p>
        </w:tc>
        <w:tc>
          <w:tcPr>
            <w:tcW w:w="597" w:type="pct"/>
            <w:vAlign w:val="bottom"/>
          </w:tcPr>
          <w:p w:rsidR="00D608F7" w:rsidRPr="004F0094" w:rsidRDefault="00D636FB">
            <w:pPr>
              <w:jc w:val="right"/>
            </w:pPr>
            <w:r>
              <w:t>0.4</w:t>
            </w:r>
          </w:p>
        </w:tc>
        <w:tc>
          <w:tcPr>
            <w:tcW w:w="597" w:type="pct"/>
            <w:vAlign w:val="bottom"/>
          </w:tcPr>
          <w:p w:rsidR="00D608F7" w:rsidRPr="004F0094" w:rsidRDefault="00D636FB">
            <w:pPr>
              <w:jc w:val="right"/>
            </w:pPr>
            <w:r>
              <w:t>0.3</w:t>
            </w:r>
          </w:p>
        </w:tc>
        <w:tc>
          <w:tcPr>
            <w:tcW w:w="637" w:type="pct"/>
            <w:vAlign w:val="bottom"/>
          </w:tcPr>
          <w:p w:rsidR="00D608F7" w:rsidRPr="004F0094" w:rsidRDefault="00D636FB">
            <w:pPr>
              <w:jc w:val="right"/>
            </w:pPr>
            <w:r>
              <w:t>0.3</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59"/>
          <w:jc w:val="center"/>
        </w:trPr>
        <w:tc>
          <w:tcPr>
            <w:tcW w:w="466" w:type="pct"/>
            <w:shd w:val="clear" w:color="auto" w:fill="D9D9D9"/>
          </w:tcPr>
          <w:p w:rsidR="00D608F7" w:rsidRPr="004740E5" w:rsidRDefault="00D608F7">
            <w:pPr>
              <w:jc w:val="center"/>
              <w:rPr>
                <w:snapToGrid w:val="0"/>
                <w:color w:val="000000"/>
              </w:rPr>
            </w:pPr>
          </w:p>
        </w:tc>
        <w:tc>
          <w:tcPr>
            <w:tcW w:w="1749" w:type="pct"/>
            <w:shd w:val="clear" w:color="auto" w:fill="D9D9D9"/>
            <w:vAlign w:val="bottom"/>
          </w:tcPr>
          <w:p w:rsidR="00D608F7" w:rsidRPr="004740E5" w:rsidRDefault="00D608F7">
            <w:pPr>
              <w:rPr>
                <w:b/>
                <w:snapToGrid w:val="0"/>
                <w:color w:val="000000"/>
              </w:rPr>
            </w:pPr>
            <w:r w:rsidRPr="004740E5">
              <w:rPr>
                <w:b/>
                <w:snapToGrid w:val="0"/>
                <w:color w:val="000000"/>
              </w:rPr>
              <w:t>Subtotal for General Fund</w:t>
            </w:r>
          </w:p>
        </w:tc>
        <w:tc>
          <w:tcPr>
            <w:tcW w:w="597" w:type="pct"/>
            <w:shd w:val="clear" w:color="auto" w:fill="D9D9D9"/>
            <w:vAlign w:val="bottom"/>
          </w:tcPr>
          <w:p w:rsidR="00D608F7" w:rsidRPr="004F0094" w:rsidRDefault="00084DFB">
            <w:pPr>
              <w:jc w:val="right"/>
              <w:rPr>
                <w:b/>
              </w:rPr>
            </w:pPr>
            <w:r>
              <w:rPr>
                <w:b/>
              </w:rPr>
              <w:t>$</w:t>
            </w:r>
            <w:r w:rsidR="00D636FB">
              <w:rPr>
                <w:b/>
              </w:rPr>
              <w:t>12,786,766</w:t>
            </w:r>
          </w:p>
        </w:tc>
        <w:tc>
          <w:tcPr>
            <w:tcW w:w="597" w:type="pct"/>
            <w:shd w:val="clear" w:color="auto" w:fill="D9D9D9"/>
            <w:vAlign w:val="bottom"/>
          </w:tcPr>
          <w:p w:rsidR="00D608F7" w:rsidRPr="004F0094" w:rsidRDefault="00084DFB">
            <w:pPr>
              <w:jc w:val="right"/>
              <w:rPr>
                <w:b/>
              </w:rPr>
            </w:pPr>
            <w:r>
              <w:rPr>
                <w:b/>
              </w:rPr>
              <w:t>$</w:t>
            </w:r>
            <w:r w:rsidR="00D636FB">
              <w:rPr>
                <w:b/>
              </w:rPr>
              <w:t>14,295,863</w:t>
            </w:r>
          </w:p>
        </w:tc>
        <w:tc>
          <w:tcPr>
            <w:tcW w:w="637" w:type="pct"/>
            <w:shd w:val="clear" w:color="auto" w:fill="D9D9D9"/>
            <w:vAlign w:val="bottom"/>
          </w:tcPr>
          <w:p w:rsidR="00D608F7" w:rsidRPr="004F0094" w:rsidRDefault="00084DFB">
            <w:pPr>
              <w:jc w:val="right"/>
              <w:rPr>
                <w:b/>
              </w:rPr>
            </w:pPr>
            <w:r>
              <w:rPr>
                <w:b/>
              </w:rPr>
              <w:t>$</w:t>
            </w:r>
            <w:r w:rsidR="00D636FB">
              <w:rPr>
                <w:b/>
              </w:rPr>
              <w:t>14,739,022</w:t>
            </w:r>
          </w:p>
        </w:tc>
        <w:tc>
          <w:tcPr>
            <w:tcW w:w="517" w:type="pct"/>
            <w:shd w:val="clear" w:color="auto" w:fill="D9D9D9"/>
            <w:vAlign w:val="bottom"/>
          </w:tcPr>
          <w:p w:rsidR="00D608F7" w:rsidRPr="004F0094" w:rsidRDefault="00084DFB">
            <w:pPr>
              <w:jc w:val="right"/>
              <w:rPr>
                <w:b/>
              </w:rPr>
            </w:pPr>
            <w:r>
              <w:rPr>
                <w:b/>
              </w:rPr>
              <w:t>$</w:t>
            </w:r>
            <w:r w:rsidR="00D636FB">
              <w:rPr>
                <w:b/>
              </w:rPr>
              <w:t>443,159</w:t>
            </w:r>
          </w:p>
        </w:tc>
        <w:tc>
          <w:tcPr>
            <w:tcW w:w="437" w:type="pct"/>
            <w:shd w:val="clear" w:color="auto" w:fill="D9D9D9"/>
            <w:vAlign w:val="bottom"/>
          </w:tcPr>
          <w:p w:rsidR="00D608F7" w:rsidRPr="004F0094" w:rsidRDefault="00D636FB">
            <w:pPr>
              <w:jc w:val="right"/>
              <w:rPr>
                <w:b/>
              </w:rPr>
            </w:pPr>
            <w:r>
              <w:rPr>
                <w:b/>
              </w:rPr>
              <w:t>3.1</w:t>
            </w:r>
          </w:p>
        </w:tc>
      </w:tr>
      <w:tr w:rsidR="000E4D10" w:rsidTr="004F0094">
        <w:trPr>
          <w:trHeight w:val="245"/>
          <w:jc w:val="center"/>
        </w:trPr>
        <w:tc>
          <w:tcPr>
            <w:tcW w:w="466" w:type="pct"/>
          </w:tcPr>
          <w:p w:rsidR="00D608F7" w:rsidRPr="004740E5" w:rsidRDefault="00D608F7">
            <w:pPr>
              <w:jc w:val="center"/>
              <w:rPr>
                <w:snapToGrid w:val="0"/>
                <w:color w:val="000000"/>
              </w:rPr>
            </w:pPr>
            <w:r w:rsidRPr="004740E5">
              <w:rPr>
                <w:snapToGrid w:val="0"/>
                <w:color w:val="000000"/>
              </w:rPr>
              <w:t>0840</w:t>
            </w:r>
          </w:p>
        </w:tc>
        <w:tc>
          <w:tcPr>
            <w:tcW w:w="1749" w:type="pct"/>
            <w:vAlign w:val="bottom"/>
          </w:tcPr>
          <w:p w:rsidR="00D608F7" w:rsidRPr="004740E5" w:rsidRDefault="00D608F7" w:rsidP="00680BBE">
            <w:pPr>
              <w:autoSpaceDE w:val="0"/>
              <w:autoSpaceDN w:val="0"/>
              <w:adjustRightInd w:val="0"/>
              <w:rPr>
                <w:color w:val="000000"/>
              </w:rPr>
            </w:pPr>
            <w:r w:rsidRPr="004740E5">
              <w:rPr>
                <w:color w:val="000000"/>
              </w:rPr>
              <w:t>CONTINGENCY</w:t>
            </w:r>
            <w:r>
              <w:rPr>
                <w:color w:val="000000"/>
              </w:rPr>
              <w:t xml:space="preserve"> </w:t>
            </w:r>
          </w:p>
        </w:tc>
        <w:tc>
          <w:tcPr>
            <w:tcW w:w="597" w:type="pct"/>
            <w:vAlign w:val="bottom"/>
          </w:tcPr>
          <w:p w:rsidR="00D608F7" w:rsidRPr="004F0094" w:rsidRDefault="00D636FB">
            <w:pPr>
              <w:jc w:val="right"/>
            </w:pPr>
            <w:r>
              <w:t>0</w:t>
            </w:r>
          </w:p>
        </w:tc>
        <w:tc>
          <w:tcPr>
            <w:tcW w:w="597" w:type="pct"/>
            <w:vAlign w:val="bottom"/>
          </w:tcPr>
          <w:p w:rsidR="00D608F7" w:rsidRPr="004F0094" w:rsidRDefault="00084DFB">
            <w:pPr>
              <w:jc w:val="right"/>
            </w:pPr>
            <w:r>
              <w:t>$</w:t>
            </w:r>
            <w:r w:rsidR="00D636FB">
              <w:t>4,445,408</w:t>
            </w:r>
          </w:p>
        </w:tc>
        <w:tc>
          <w:tcPr>
            <w:tcW w:w="637" w:type="pct"/>
            <w:vAlign w:val="bottom"/>
          </w:tcPr>
          <w:p w:rsidR="00D608F7" w:rsidRPr="004F0094" w:rsidRDefault="00084DFB">
            <w:pPr>
              <w:jc w:val="right"/>
            </w:pPr>
            <w:r>
              <w:t>$</w:t>
            </w:r>
            <w:r w:rsidR="00D636FB">
              <w:t>3,787,678</w:t>
            </w:r>
          </w:p>
        </w:tc>
        <w:tc>
          <w:tcPr>
            <w:tcW w:w="517" w:type="pct"/>
            <w:vAlign w:val="bottom"/>
          </w:tcPr>
          <w:p w:rsidR="00D608F7" w:rsidRPr="004F0094" w:rsidRDefault="00D636FB">
            <w:pPr>
              <w:jc w:val="right"/>
            </w:pPr>
            <w:r>
              <w:t>(</w:t>
            </w:r>
            <w:r w:rsidR="00084DFB">
              <w:t>$</w:t>
            </w:r>
            <w:r>
              <w:t>657,730)</w:t>
            </w:r>
          </w:p>
        </w:tc>
        <w:tc>
          <w:tcPr>
            <w:tcW w:w="437" w:type="pct"/>
            <w:vAlign w:val="bottom"/>
          </w:tcPr>
          <w:p w:rsidR="00D608F7" w:rsidRPr="004F0094" w:rsidRDefault="00D636FB">
            <w:pPr>
              <w:jc w:val="right"/>
            </w:pPr>
            <w:r>
              <w:t>-14.8</w:t>
            </w:r>
          </w:p>
        </w:tc>
      </w:tr>
      <w:tr w:rsidR="000E4D10" w:rsidTr="004F0094">
        <w:trPr>
          <w:trHeight w:val="259"/>
          <w:jc w:val="center"/>
        </w:trPr>
        <w:tc>
          <w:tcPr>
            <w:tcW w:w="466" w:type="pct"/>
            <w:vAlign w:val="bottom"/>
          </w:tcPr>
          <w:p w:rsidR="00D608F7" w:rsidRPr="004740E5" w:rsidRDefault="00D608F7">
            <w:pPr>
              <w:jc w:val="right"/>
              <w:rPr>
                <w:snapToGrid w:val="0"/>
                <w:color w:val="000000"/>
              </w:rPr>
            </w:pPr>
          </w:p>
        </w:tc>
        <w:tc>
          <w:tcPr>
            <w:tcW w:w="1749" w:type="pct"/>
            <w:vAlign w:val="bottom"/>
          </w:tcPr>
          <w:p w:rsidR="00D608F7" w:rsidRPr="004740E5" w:rsidRDefault="00D608F7">
            <w:pPr>
              <w:autoSpaceDE w:val="0"/>
              <w:autoSpaceDN w:val="0"/>
              <w:adjustRightInd w:val="0"/>
              <w:rPr>
                <w:color w:val="000000"/>
              </w:rPr>
            </w:pPr>
            <w:r w:rsidRPr="004740E5">
              <w:rPr>
                <w:i/>
                <w:snapToGrid w:val="0"/>
                <w:color w:val="000000"/>
              </w:rPr>
              <w:t>Percent of General Fund Expense</w:t>
            </w:r>
          </w:p>
        </w:tc>
        <w:tc>
          <w:tcPr>
            <w:tcW w:w="597" w:type="pct"/>
            <w:vAlign w:val="bottom"/>
          </w:tcPr>
          <w:p w:rsidR="00D608F7" w:rsidRPr="004F0094" w:rsidRDefault="00D636FB">
            <w:pPr>
              <w:jc w:val="right"/>
            </w:pPr>
            <w:r>
              <w:t>0</w:t>
            </w:r>
          </w:p>
        </w:tc>
        <w:tc>
          <w:tcPr>
            <w:tcW w:w="597" w:type="pct"/>
            <w:vAlign w:val="bottom"/>
          </w:tcPr>
          <w:p w:rsidR="00D608F7" w:rsidRPr="004F0094" w:rsidRDefault="00D636FB">
            <w:pPr>
              <w:jc w:val="right"/>
            </w:pPr>
            <w:r>
              <w:t>31.1</w:t>
            </w:r>
          </w:p>
        </w:tc>
        <w:tc>
          <w:tcPr>
            <w:tcW w:w="637" w:type="pct"/>
            <w:vAlign w:val="bottom"/>
          </w:tcPr>
          <w:p w:rsidR="00D608F7" w:rsidRPr="004F0094" w:rsidRDefault="00D636FB">
            <w:pPr>
              <w:jc w:val="right"/>
            </w:pPr>
            <w:r>
              <w:t>25.7</w:t>
            </w:r>
          </w:p>
        </w:tc>
        <w:tc>
          <w:tcPr>
            <w:tcW w:w="517" w:type="pct"/>
            <w:vAlign w:val="bottom"/>
          </w:tcPr>
          <w:p w:rsidR="00D608F7" w:rsidRPr="004F0094" w:rsidRDefault="00D608F7"/>
        </w:tc>
        <w:tc>
          <w:tcPr>
            <w:tcW w:w="437" w:type="pct"/>
            <w:vAlign w:val="bottom"/>
          </w:tcPr>
          <w:p w:rsidR="00D608F7" w:rsidRPr="004F0094" w:rsidRDefault="00D608F7"/>
        </w:tc>
      </w:tr>
      <w:tr w:rsidR="000E4D10" w:rsidTr="004F0094">
        <w:trPr>
          <w:trHeight w:val="259"/>
          <w:jc w:val="center"/>
        </w:trPr>
        <w:tc>
          <w:tcPr>
            <w:tcW w:w="466" w:type="pct"/>
            <w:shd w:val="clear" w:color="auto" w:fill="D9D9D9"/>
          </w:tcPr>
          <w:p w:rsidR="00D608F7" w:rsidRPr="004740E5" w:rsidRDefault="00D608F7">
            <w:pPr>
              <w:jc w:val="right"/>
              <w:rPr>
                <w:snapToGrid w:val="0"/>
                <w:color w:val="000000"/>
              </w:rPr>
            </w:pPr>
          </w:p>
        </w:tc>
        <w:tc>
          <w:tcPr>
            <w:tcW w:w="1749" w:type="pct"/>
            <w:shd w:val="clear" w:color="auto" w:fill="D9D9D9"/>
          </w:tcPr>
          <w:p w:rsidR="00D608F7" w:rsidRPr="004740E5" w:rsidRDefault="00D608F7">
            <w:pPr>
              <w:autoSpaceDE w:val="0"/>
              <w:autoSpaceDN w:val="0"/>
              <w:adjustRightInd w:val="0"/>
              <w:rPr>
                <w:i/>
                <w:snapToGrid w:val="0"/>
                <w:color w:val="000000"/>
              </w:rPr>
            </w:pPr>
            <w:r w:rsidRPr="004740E5">
              <w:rPr>
                <w:b/>
                <w:snapToGrid w:val="0"/>
                <w:color w:val="000000"/>
              </w:rPr>
              <w:t>Total for General Fund</w:t>
            </w:r>
          </w:p>
        </w:tc>
        <w:tc>
          <w:tcPr>
            <w:tcW w:w="597" w:type="pct"/>
            <w:shd w:val="clear" w:color="auto" w:fill="D9D9D9"/>
            <w:vAlign w:val="bottom"/>
          </w:tcPr>
          <w:p w:rsidR="00D608F7" w:rsidRPr="004F0094" w:rsidRDefault="00084DFB">
            <w:pPr>
              <w:jc w:val="right"/>
              <w:rPr>
                <w:b/>
              </w:rPr>
            </w:pPr>
            <w:r>
              <w:rPr>
                <w:b/>
              </w:rPr>
              <w:t>$</w:t>
            </w:r>
            <w:r w:rsidR="00D636FB">
              <w:rPr>
                <w:b/>
              </w:rPr>
              <w:t>12,786,766</w:t>
            </w:r>
          </w:p>
        </w:tc>
        <w:tc>
          <w:tcPr>
            <w:tcW w:w="597" w:type="pct"/>
            <w:shd w:val="clear" w:color="auto" w:fill="D9D9D9"/>
            <w:vAlign w:val="bottom"/>
          </w:tcPr>
          <w:p w:rsidR="00D608F7" w:rsidRPr="004F0094" w:rsidRDefault="00084DFB">
            <w:pPr>
              <w:jc w:val="right"/>
              <w:rPr>
                <w:b/>
              </w:rPr>
            </w:pPr>
            <w:r>
              <w:rPr>
                <w:b/>
              </w:rPr>
              <w:t>$</w:t>
            </w:r>
            <w:r w:rsidR="00D636FB">
              <w:rPr>
                <w:b/>
              </w:rPr>
              <w:t>18,741,270</w:t>
            </w:r>
          </w:p>
        </w:tc>
        <w:tc>
          <w:tcPr>
            <w:tcW w:w="637" w:type="pct"/>
            <w:shd w:val="clear" w:color="auto" w:fill="D9D9D9"/>
            <w:vAlign w:val="bottom"/>
          </w:tcPr>
          <w:p w:rsidR="00D608F7" w:rsidRPr="004F0094" w:rsidRDefault="00084DFB">
            <w:pPr>
              <w:jc w:val="right"/>
              <w:rPr>
                <w:b/>
              </w:rPr>
            </w:pPr>
            <w:r>
              <w:rPr>
                <w:b/>
              </w:rPr>
              <w:t>$</w:t>
            </w:r>
            <w:r w:rsidR="00D636FB">
              <w:rPr>
                <w:b/>
              </w:rPr>
              <w:t>18,526,700</w:t>
            </w:r>
          </w:p>
        </w:tc>
        <w:tc>
          <w:tcPr>
            <w:tcW w:w="517" w:type="pct"/>
            <w:shd w:val="clear" w:color="auto" w:fill="D9D9D9"/>
            <w:vAlign w:val="bottom"/>
          </w:tcPr>
          <w:p w:rsidR="00D608F7" w:rsidRPr="004F0094" w:rsidRDefault="00D636FB">
            <w:pPr>
              <w:jc w:val="right"/>
              <w:rPr>
                <w:b/>
              </w:rPr>
            </w:pPr>
            <w:r>
              <w:rPr>
                <w:b/>
              </w:rPr>
              <w:t>(</w:t>
            </w:r>
            <w:r w:rsidR="00084DFB">
              <w:rPr>
                <w:b/>
              </w:rPr>
              <w:t>$</w:t>
            </w:r>
            <w:r>
              <w:rPr>
                <w:b/>
              </w:rPr>
              <w:t>214,570)</w:t>
            </w:r>
          </w:p>
        </w:tc>
        <w:tc>
          <w:tcPr>
            <w:tcW w:w="437" w:type="pct"/>
            <w:shd w:val="clear" w:color="auto" w:fill="D9D9D9"/>
            <w:vAlign w:val="bottom"/>
          </w:tcPr>
          <w:p w:rsidR="00D608F7" w:rsidRPr="004F0094" w:rsidRDefault="00D636FB">
            <w:pPr>
              <w:jc w:val="right"/>
              <w:rPr>
                <w:b/>
              </w:rPr>
            </w:pPr>
            <w:r>
              <w:rPr>
                <w:b/>
              </w:rPr>
              <w:t>-1.1</w:t>
            </w:r>
          </w:p>
        </w:tc>
      </w:tr>
    </w:tbl>
    <w:p w:rsidR="00D608F7" w:rsidRDefault="00D608F7">
      <w:pPr>
        <w:rPr>
          <w:i/>
          <w:iCs/>
          <w:sz w:val="18"/>
        </w:rPr>
      </w:pPr>
      <w:r>
        <w:rPr>
          <w:i/>
          <w:iCs/>
          <w:sz w:val="18"/>
        </w:rPr>
        <w:t>* “Actual” excludes state payments on-behalf of the school district, which are unbudgeted as per state instructions.</w:t>
      </w:r>
    </w:p>
    <w:p w:rsidR="00D608F7" w:rsidRDefault="00D608F7">
      <w:pPr>
        <w:rPr>
          <w:i/>
          <w:iCs/>
          <w:sz w:val="18"/>
        </w:rPr>
      </w:pPr>
    </w:p>
    <w:p w:rsidR="00D608F7" w:rsidRDefault="00D608F7">
      <w:pPr>
        <w:rPr>
          <w:b/>
          <w:sz w:val="24"/>
        </w:rPr>
      </w:pPr>
      <w:r>
        <w:rPr>
          <w:b/>
          <w:sz w:val="24"/>
        </w:rPr>
        <w:br w:type="page"/>
      </w:r>
    </w:p>
    <w:p w:rsidR="00D608F7" w:rsidRDefault="00D608F7">
      <w:pPr>
        <w:shd w:val="pct12" w:color="auto" w:fill="FFFFFF"/>
        <w:rPr>
          <w:sz w:val="24"/>
        </w:rPr>
      </w:pPr>
      <w:r>
        <w:rPr>
          <w:b/>
          <w:sz w:val="24"/>
        </w:rPr>
        <w:lastRenderedPageBreak/>
        <w:t>BUDGET RESERVE</w:t>
      </w:r>
    </w:p>
    <w:p w:rsidR="00D608F7" w:rsidRDefault="00D608F7">
      <w:pPr>
        <w:rPr>
          <w:sz w:val="24"/>
        </w:rPr>
      </w:pPr>
    </w:p>
    <w:p w:rsidR="00D608F7" w:rsidRDefault="00D608F7">
      <w:pPr>
        <w:rPr>
          <w:sz w:val="24"/>
        </w:rPr>
      </w:pPr>
      <w:r>
        <w:rPr>
          <w:sz w:val="24"/>
        </w:rPr>
        <w:t>Does the proposed budget include a sufficient reserve?  A fundamental basis of budgeting is not to spend more than you receive.  There are some years when the carry forward balance is above 5% that a local school board may decide to spend more than they receive, excluding the carry forward balance.  KDE defines “total budget” as the budgeted expenditures in the General, Special Revenue, Capital Outlay, Building and Food Service funds excluding the Contingency.  The budgeted reserve (Contingency) in the Tentative Budget has been determined accordingly.</w:t>
      </w:r>
    </w:p>
    <w:p w:rsidR="00D608F7" w:rsidRDefault="00D608F7">
      <w:pPr>
        <w:rPr>
          <w:sz w:val="24"/>
        </w:rPr>
      </w:pPr>
    </w:p>
    <w:p w:rsidR="00D608F7" w:rsidRDefault="00D608F7">
      <w:pPr>
        <w:rPr>
          <w:sz w:val="24"/>
        </w:rPr>
      </w:pPr>
      <w:r>
        <w:rPr>
          <w:sz w:val="24"/>
        </w:rPr>
        <w:t>The board must include a minimum reserve (Contingency) of at least 2% of the total budget ($</w:t>
      </w:r>
      <w:r w:rsidR="00D636FB">
        <w:rPr>
          <w:sz w:val="24"/>
        </w:rPr>
        <w:t>4,53,952</w:t>
      </w:r>
      <w:r>
        <w:rPr>
          <w:sz w:val="24"/>
        </w:rPr>
        <w:t>).  This budget includes an unrestricted General Fund reserve (Contingency) of $</w:t>
      </w:r>
      <w:r w:rsidR="00D636FB">
        <w:rPr>
          <w:sz w:val="24"/>
        </w:rPr>
        <w:t>3,787,677.83</w:t>
      </w:r>
      <w:r>
        <w:rPr>
          <w:sz w:val="24"/>
        </w:rPr>
        <w:t xml:space="preserve"> (</w:t>
      </w:r>
      <w:r w:rsidR="00D636FB">
        <w:rPr>
          <w:sz w:val="24"/>
        </w:rPr>
        <w:t>16.7</w:t>
      </w:r>
      <w:r>
        <w:rPr>
          <w:sz w:val="24"/>
        </w:rPr>
        <w:t>% of the total budget).  The district also has $1.4 millio</w:t>
      </w:r>
      <w:r w:rsidR="00D636FB">
        <w:rPr>
          <w:sz w:val="24"/>
        </w:rPr>
        <w:t>n in escrow in the General Fund set aside for Athletic Complex.</w:t>
      </w:r>
      <w:r>
        <w:rPr>
          <w:sz w:val="24"/>
        </w:rPr>
        <w:t xml:space="preserve">  </w:t>
      </w:r>
      <w:r w:rsidRPr="00D636FB">
        <w:rPr>
          <w:sz w:val="24"/>
        </w:rPr>
        <w:t>With the potential for a reduction in state funding due to continued lower revenue in the state’s FY201</w:t>
      </w:r>
      <w:r w:rsidR="00D636FB">
        <w:rPr>
          <w:sz w:val="24"/>
        </w:rPr>
        <w:t xml:space="preserve">3 </w:t>
      </w:r>
      <w:r w:rsidRPr="00D636FB">
        <w:rPr>
          <w:sz w:val="24"/>
        </w:rPr>
        <w:t>budget, an unrestricted General Fund reserve at this level is most prudent.</w:t>
      </w:r>
      <w:r w:rsidRPr="004E37A4">
        <w:rPr>
          <w:sz w:val="24"/>
        </w:rPr>
        <w:t xml:space="preserve">  </w:t>
      </w:r>
      <w:r>
        <w:rPr>
          <w:sz w:val="24"/>
        </w:rPr>
        <w:t>The district had a reserve of $</w:t>
      </w:r>
      <w:r w:rsidR="00D636FB">
        <w:rPr>
          <w:sz w:val="24"/>
        </w:rPr>
        <w:t>4,598,979.36</w:t>
      </w:r>
      <w:r>
        <w:rPr>
          <w:sz w:val="24"/>
        </w:rPr>
        <w:t xml:space="preserve"> at the beginning of </w:t>
      </w:r>
      <w:r w:rsidR="00D636FB">
        <w:rPr>
          <w:sz w:val="24"/>
        </w:rPr>
        <w:t>2011-12</w:t>
      </w:r>
      <w:r>
        <w:rPr>
          <w:sz w:val="24"/>
        </w:rPr>
        <w:t xml:space="preserve">.  The </w:t>
      </w:r>
      <w:r w:rsidR="00D636FB">
        <w:rPr>
          <w:sz w:val="24"/>
        </w:rPr>
        <w:t>2012-13</w:t>
      </w:r>
      <w:r>
        <w:rPr>
          <w:sz w:val="24"/>
        </w:rPr>
        <w:t xml:space="preserve"> Tentative Budget includes an estimated General Fund carry forward balance of $</w:t>
      </w:r>
      <w:r w:rsidR="00D636FB">
        <w:rPr>
          <w:sz w:val="24"/>
        </w:rPr>
        <w:t>4,445,407</w:t>
      </w:r>
      <w:r>
        <w:rPr>
          <w:sz w:val="24"/>
        </w:rPr>
        <w:t xml:space="preserve">.  The actual carry forward will not be confirmed until the Annual Financial Report in late July; however, it is very possible that </w:t>
      </w:r>
      <w:r w:rsidR="00D636FB">
        <w:rPr>
          <w:sz w:val="24"/>
        </w:rPr>
        <w:t>2011-12 balance could be higher than projected.</w:t>
      </w:r>
    </w:p>
    <w:p w:rsidR="00D608F7" w:rsidRDefault="00D608F7">
      <w:pPr>
        <w:rPr>
          <w:sz w:val="24"/>
        </w:rPr>
      </w:pPr>
    </w:p>
    <w:p w:rsidR="00D608F7" w:rsidRDefault="00D608F7">
      <w:pPr>
        <w:rPr>
          <w:sz w:val="24"/>
        </w:rPr>
      </w:pPr>
      <w:r>
        <w:rPr>
          <w:sz w:val="24"/>
        </w:rPr>
        <w:t>Table F presents the district’s three (3) year comparison of general fund (GF) beginning and ending balances.  The district spent $</w:t>
      </w:r>
      <w:r w:rsidR="000C709C">
        <w:rPr>
          <w:sz w:val="24"/>
        </w:rPr>
        <w:t>838,886</w:t>
      </w:r>
      <w:r>
        <w:rPr>
          <w:sz w:val="24"/>
        </w:rPr>
        <w:t xml:space="preserve"> less than revenue in </w:t>
      </w:r>
      <w:r w:rsidR="000C709C">
        <w:rPr>
          <w:sz w:val="24"/>
        </w:rPr>
        <w:t>2010-11.</w:t>
      </w:r>
      <w:r>
        <w:rPr>
          <w:sz w:val="24"/>
        </w:rPr>
        <w:t xml:space="preserve"> The projection for </w:t>
      </w:r>
      <w:r w:rsidR="00A149B7">
        <w:rPr>
          <w:sz w:val="24"/>
        </w:rPr>
        <w:t>2011-12</w:t>
      </w:r>
      <w:r>
        <w:rPr>
          <w:sz w:val="24"/>
        </w:rPr>
        <w:t xml:space="preserve"> is for expense to be $</w:t>
      </w:r>
      <w:r w:rsidR="000C709C">
        <w:rPr>
          <w:sz w:val="24"/>
        </w:rPr>
        <w:t>153,571</w:t>
      </w:r>
      <w:r>
        <w:rPr>
          <w:sz w:val="24"/>
        </w:rPr>
        <w:t xml:space="preserve"> higher than revenue.  This budget contains a sufficient reserve to deal with expense $</w:t>
      </w:r>
      <w:r w:rsidR="000C709C">
        <w:rPr>
          <w:sz w:val="24"/>
        </w:rPr>
        <w:t>657,729</w:t>
      </w:r>
      <w:r>
        <w:rPr>
          <w:sz w:val="24"/>
        </w:rPr>
        <w:t xml:space="preserve"> higher than revenue.  Further, it is possible that ADA for </w:t>
      </w:r>
      <w:r w:rsidR="000C709C">
        <w:rPr>
          <w:sz w:val="24"/>
        </w:rPr>
        <w:t>2012-13</w:t>
      </w:r>
      <w:r>
        <w:rPr>
          <w:sz w:val="24"/>
        </w:rPr>
        <w:t xml:space="preserve"> could be higher than  </w:t>
      </w:r>
      <w:r w:rsidR="000C709C">
        <w:rPr>
          <w:sz w:val="24"/>
        </w:rPr>
        <w:t>2,145</w:t>
      </w:r>
      <w:r>
        <w:rPr>
          <w:sz w:val="24"/>
        </w:rPr>
        <w:t xml:space="preserve"> and there could be growth during the first 2 months of </w:t>
      </w:r>
      <w:r w:rsidR="000C709C">
        <w:rPr>
          <w:sz w:val="24"/>
        </w:rPr>
        <w:t>2012-13</w:t>
      </w:r>
      <w:r>
        <w:rPr>
          <w:sz w:val="24"/>
        </w:rPr>
        <w:t xml:space="preserve">.  Prior year ADA above </w:t>
      </w:r>
      <w:r w:rsidR="000C709C">
        <w:rPr>
          <w:sz w:val="24"/>
        </w:rPr>
        <w:t>2,145</w:t>
      </w:r>
      <w:r>
        <w:rPr>
          <w:sz w:val="24"/>
        </w:rPr>
        <w:t xml:space="preserve"> and ADA growth in </w:t>
      </w:r>
      <w:r w:rsidR="000C709C">
        <w:rPr>
          <w:sz w:val="24"/>
        </w:rPr>
        <w:t>2012-13</w:t>
      </w:r>
      <w:r>
        <w:rPr>
          <w:sz w:val="24"/>
        </w:rPr>
        <w:t xml:space="preserve"> would result in higher SEEK revenue which would reduce the gap in expense and revenue in </w:t>
      </w:r>
      <w:r w:rsidR="00D2588A">
        <w:rPr>
          <w:sz w:val="24"/>
        </w:rPr>
        <w:t>2012-13</w:t>
      </w:r>
      <w:r>
        <w:rPr>
          <w:sz w:val="24"/>
        </w:rPr>
        <w:t xml:space="preserve">.  </w:t>
      </w:r>
    </w:p>
    <w:p w:rsidR="00D608F7" w:rsidRDefault="00D608F7" w:rsidP="00702D02">
      <w:pPr>
        <w:jc w:val="center"/>
        <w:rPr>
          <w:sz w:val="24"/>
        </w:rPr>
      </w:pPr>
    </w:p>
    <w:p w:rsidR="00D608F7" w:rsidRPr="00702D02" w:rsidRDefault="00D608F7" w:rsidP="00702D02">
      <w:pPr>
        <w:jc w:val="center"/>
        <w:rPr>
          <w:b/>
          <w:sz w:val="24"/>
          <w:szCs w:val="24"/>
        </w:rPr>
      </w:pPr>
      <w:r w:rsidRPr="00702D02">
        <w:rPr>
          <w:b/>
          <w:sz w:val="24"/>
          <w:szCs w:val="24"/>
        </w:rPr>
        <w:t>Table F</w:t>
      </w:r>
    </w:p>
    <w:p w:rsidR="00D608F7" w:rsidRDefault="00D608F7">
      <w:pPr>
        <w:pStyle w:val="Heading2"/>
        <w:jc w:val="center"/>
        <w:rPr>
          <w:b/>
        </w:rPr>
      </w:pPr>
      <w:r>
        <w:rPr>
          <w:b/>
        </w:rPr>
        <w:t xml:space="preserve">Expense vs Revenue – </w:t>
      </w:r>
      <w:r w:rsidR="00AD6C82">
        <w:rPr>
          <w:b/>
        </w:rPr>
        <w:t>2012-13</w:t>
      </w:r>
      <w:r>
        <w:rPr>
          <w:b/>
        </w:rPr>
        <w:t xml:space="preserve"> Tentative Budget</w:t>
      </w:r>
    </w:p>
    <w:p w:rsidR="00D608F7" w:rsidRDefault="00D608F7">
      <w:pPr>
        <w:rPr>
          <w:shadow/>
          <w:sz w:val="24"/>
        </w:rPr>
      </w:pPr>
    </w:p>
    <w:tbl>
      <w:tblPr>
        <w:tblW w:w="4056" w:type="pct"/>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19"/>
        <w:gridCol w:w="1621"/>
        <w:gridCol w:w="1440"/>
        <w:gridCol w:w="1277"/>
      </w:tblGrid>
      <w:tr w:rsidR="00D608F7" w:rsidTr="00AF0B32">
        <w:trPr>
          <w:trHeight w:val="245"/>
          <w:jc w:val="center"/>
        </w:trPr>
        <w:tc>
          <w:tcPr>
            <w:tcW w:w="1926" w:type="pct"/>
            <w:tcBorders>
              <w:bottom w:val="nil"/>
            </w:tcBorders>
            <w:shd w:val="clear" w:color="auto" w:fill="D9D9D9"/>
            <w:vAlign w:val="center"/>
          </w:tcPr>
          <w:p w:rsidR="00D608F7" w:rsidRPr="004740E5" w:rsidRDefault="00D608F7">
            <w:pPr>
              <w:rPr>
                <w:b/>
                <w:i/>
                <w:snapToGrid w:val="0"/>
                <w:color w:val="000000"/>
                <w:sz w:val="18"/>
              </w:rPr>
            </w:pPr>
          </w:p>
        </w:tc>
        <w:tc>
          <w:tcPr>
            <w:tcW w:w="1148" w:type="pct"/>
            <w:tcBorders>
              <w:bottom w:val="nil"/>
            </w:tcBorders>
            <w:shd w:val="clear" w:color="auto" w:fill="D9D9D9"/>
            <w:vAlign w:val="center"/>
          </w:tcPr>
          <w:p w:rsidR="00D608F7" w:rsidRPr="00B921A4" w:rsidRDefault="00D608F7">
            <w:pPr>
              <w:jc w:val="center"/>
              <w:rPr>
                <w:b/>
                <w:i/>
                <w:snapToGrid w:val="0"/>
                <w:color w:val="000000"/>
              </w:rPr>
            </w:pPr>
            <w:r>
              <w:rPr>
                <w:b/>
                <w:i/>
                <w:snapToGrid w:val="0"/>
                <w:color w:val="000000"/>
              </w:rPr>
              <w:t>Actual</w:t>
            </w:r>
          </w:p>
        </w:tc>
        <w:tc>
          <w:tcPr>
            <w:tcW w:w="1020" w:type="pct"/>
            <w:tcBorders>
              <w:bottom w:val="nil"/>
            </w:tcBorders>
            <w:shd w:val="clear" w:color="auto" w:fill="D9D9D9"/>
            <w:vAlign w:val="center"/>
          </w:tcPr>
          <w:p w:rsidR="00D608F7" w:rsidRPr="00B921A4" w:rsidRDefault="00D608F7">
            <w:pPr>
              <w:jc w:val="center"/>
              <w:rPr>
                <w:b/>
                <w:i/>
                <w:snapToGrid w:val="0"/>
                <w:color w:val="000000"/>
              </w:rPr>
            </w:pPr>
            <w:r>
              <w:rPr>
                <w:b/>
                <w:i/>
                <w:snapToGrid w:val="0"/>
                <w:color w:val="000000"/>
              </w:rPr>
              <w:t>Budget</w:t>
            </w:r>
          </w:p>
        </w:tc>
        <w:tc>
          <w:tcPr>
            <w:tcW w:w="905" w:type="pct"/>
            <w:tcBorders>
              <w:bottom w:val="nil"/>
            </w:tcBorders>
            <w:shd w:val="clear" w:color="auto" w:fill="D9D9D9"/>
            <w:vAlign w:val="center"/>
          </w:tcPr>
          <w:p w:rsidR="00D608F7" w:rsidRPr="00B921A4" w:rsidRDefault="00D608F7">
            <w:pPr>
              <w:jc w:val="center"/>
              <w:rPr>
                <w:b/>
                <w:i/>
                <w:snapToGrid w:val="0"/>
                <w:color w:val="000000"/>
              </w:rPr>
            </w:pPr>
            <w:r>
              <w:rPr>
                <w:b/>
                <w:i/>
                <w:snapToGrid w:val="0"/>
                <w:color w:val="000000"/>
              </w:rPr>
              <w:t>Projected</w:t>
            </w:r>
          </w:p>
        </w:tc>
      </w:tr>
      <w:tr w:rsidR="00D608F7" w:rsidTr="00AF0B32">
        <w:trPr>
          <w:trHeight w:val="259"/>
          <w:jc w:val="center"/>
        </w:trPr>
        <w:tc>
          <w:tcPr>
            <w:tcW w:w="1926" w:type="pct"/>
            <w:tcBorders>
              <w:top w:val="nil"/>
            </w:tcBorders>
            <w:shd w:val="clear" w:color="auto" w:fill="D9D9D9"/>
            <w:vAlign w:val="center"/>
          </w:tcPr>
          <w:p w:rsidR="00D608F7" w:rsidRPr="004740E5" w:rsidRDefault="00D608F7">
            <w:pPr>
              <w:jc w:val="right"/>
              <w:rPr>
                <w:b/>
                <w:i/>
                <w:snapToGrid w:val="0"/>
                <w:color w:val="000000"/>
                <w:sz w:val="18"/>
              </w:rPr>
            </w:pPr>
          </w:p>
        </w:tc>
        <w:tc>
          <w:tcPr>
            <w:tcW w:w="1148" w:type="pct"/>
            <w:tcBorders>
              <w:top w:val="nil"/>
            </w:tcBorders>
            <w:shd w:val="clear" w:color="auto" w:fill="D9D9D9"/>
            <w:vAlign w:val="center"/>
          </w:tcPr>
          <w:p w:rsidR="00D608F7" w:rsidRPr="00B921A4" w:rsidRDefault="00D636FB">
            <w:pPr>
              <w:jc w:val="center"/>
              <w:rPr>
                <w:b/>
                <w:i/>
                <w:snapToGrid w:val="0"/>
                <w:color w:val="000000"/>
              </w:rPr>
            </w:pPr>
            <w:r>
              <w:rPr>
                <w:b/>
                <w:i/>
                <w:snapToGrid w:val="0"/>
                <w:color w:val="000000"/>
              </w:rPr>
              <w:t>2010-11</w:t>
            </w:r>
          </w:p>
        </w:tc>
        <w:tc>
          <w:tcPr>
            <w:tcW w:w="1020" w:type="pct"/>
            <w:tcBorders>
              <w:top w:val="nil"/>
            </w:tcBorders>
            <w:shd w:val="clear" w:color="auto" w:fill="D9D9D9"/>
            <w:vAlign w:val="center"/>
          </w:tcPr>
          <w:p w:rsidR="00D608F7" w:rsidRPr="00B921A4" w:rsidRDefault="00D636FB">
            <w:pPr>
              <w:jc w:val="center"/>
              <w:rPr>
                <w:b/>
                <w:i/>
                <w:snapToGrid w:val="0"/>
                <w:color w:val="000000"/>
              </w:rPr>
            </w:pPr>
            <w:r>
              <w:rPr>
                <w:b/>
                <w:i/>
                <w:snapToGrid w:val="0"/>
                <w:color w:val="000000"/>
              </w:rPr>
              <w:t>2011-12</w:t>
            </w:r>
          </w:p>
        </w:tc>
        <w:tc>
          <w:tcPr>
            <w:tcW w:w="905" w:type="pct"/>
            <w:tcBorders>
              <w:top w:val="nil"/>
            </w:tcBorders>
            <w:shd w:val="clear" w:color="auto" w:fill="D9D9D9"/>
            <w:vAlign w:val="center"/>
          </w:tcPr>
          <w:p w:rsidR="00D608F7" w:rsidRPr="00B921A4" w:rsidRDefault="00AD6C82">
            <w:pPr>
              <w:jc w:val="center"/>
              <w:rPr>
                <w:b/>
                <w:i/>
                <w:snapToGrid w:val="0"/>
                <w:color w:val="000000"/>
              </w:rPr>
            </w:pPr>
            <w:r>
              <w:rPr>
                <w:b/>
                <w:i/>
                <w:snapToGrid w:val="0"/>
                <w:color w:val="000000"/>
              </w:rPr>
              <w:t>2012-13</w:t>
            </w:r>
          </w:p>
        </w:tc>
      </w:tr>
      <w:tr w:rsidR="00D608F7" w:rsidTr="00AF0B32">
        <w:trPr>
          <w:trHeight w:val="235"/>
          <w:jc w:val="center"/>
        </w:trPr>
        <w:tc>
          <w:tcPr>
            <w:tcW w:w="1926" w:type="pct"/>
            <w:vAlign w:val="bottom"/>
          </w:tcPr>
          <w:p w:rsidR="00D608F7" w:rsidRPr="004740E5" w:rsidRDefault="00D608F7" w:rsidP="00D804AE">
            <w:pPr>
              <w:rPr>
                <w:snapToGrid w:val="0"/>
                <w:color w:val="000000"/>
              </w:rPr>
            </w:pPr>
            <w:r w:rsidRPr="004740E5">
              <w:rPr>
                <w:snapToGrid w:val="0"/>
                <w:color w:val="000000"/>
              </w:rPr>
              <w:t>GF Beginning Balance</w:t>
            </w:r>
          </w:p>
        </w:tc>
        <w:tc>
          <w:tcPr>
            <w:tcW w:w="1148" w:type="pct"/>
            <w:vAlign w:val="bottom"/>
          </w:tcPr>
          <w:p w:rsidR="00D608F7" w:rsidRPr="00D804AE" w:rsidRDefault="00D636FB" w:rsidP="00D804AE">
            <w:pPr>
              <w:jc w:val="center"/>
              <w:rPr>
                <w:sz w:val="16"/>
                <w:szCs w:val="16"/>
              </w:rPr>
            </w:pPr>
            <w:r>
              <w:rPr>
                <w:sz w:val="16"/>
                <w:szCs w:val="16"/>
              </w:rPr>
              <w:t>3,760,093</w:t>
            </w:r>
          </w:p>
        </w:tc>
        <w:tc>
          <w:tcPr>
            <w:tcW w:w="1020" w:type="pct"/>
            <w:vAlign w:val="bottom"/>
          </w:tcPr>
          <w:p w:rsidR="00D608F7" w:rsidRPr="00D804AE" w:rsidRDefault="00D636FB" w:rsidP="00D804AE">
            <w:pPr>
              <w:jc w:val="center"/>
              <w:rPr>
                <w:sz w:val="16"/>
                <w:szCs w:val="16"/>
              </w:rPr>
            </w:pPr>
            <w:r>
              <w:rPr>
                <w:sz w:val="16"/>
                <w:szCs w:val="16"/>
              </w:rPr>
              <w:t>4,598,979</w:t>
            </w:r>
          </w:p>
        </w:tc>
        <w:tc>
          <w:tcPr>
            <w:tcW w:w="905" w:type="pct"/>
            <w:vAlign w:val="bottom"/>
          </w:tcPr>
          <w:p w:rsidR="00D608F7" w:rsidRPr="00D804AE" w:rsidRDefault="00D636FB" w:rsidP="00D804AE">
            <w:pPr>
              <w:jc w:val="center"/>
              <w:rPr>
                <w:sz w:val="16"/>
                <w:szCs w:val="16"/>
              </w:rPr>
            </w:pPr>
            <w:r>
              <w:rPr>
                <w:sz w:val="16"/>
                <w:szCs w:val="16"/>
              </w:rPr>
              <w:t>4,445,407</w:t>
            </w:r>
          </w:p>
        </w:tc>
      </w:tr>
      <w:tr w:rsidR="00D608F7" w:rsidTr="00AF0B32">
        <w:trPr>
          <w:trHeight w:val="216"/>
          <w:jc w:val="center"/>
        </w:trPr>
        <w:tc>
          <w:tcPr>
            <w:tcW w:w="1926" w:type="pct"/>
            <w:vAlign w:val="bottom"/>
          </w:tcPr>
          <w:p w:rsidR="00D608F7" w:rsidRPr="004740E5" w:rsidRDefault="00D608F7" w:rsidP="00D804AE">
            <w:pPr>
              <w:rPr>
                <w:snapToGrid w:val="0"/>
                <w:color w:val="000000"/>
              </w:rPr>
            </w:pPr>
            <w:r w:rsidRPr="004740E5">
              <w:rPr>
                <w:snapToGrid w:val="0"/>
                <w:color w:val="000000"/>
              </w:rPr>
              <w:t>GF E</w:t>
            </w:r>
            <w:r>
              <w:rPr>
                <w:snapToGrid w:val="0"/>
                <w:color w:val="000000"/>
              </w:rPr>
              <w:t>nding Balance</w:t>
            </w:r>
          </w:p>
        </w:tc>
        <w:tc>
          <w:tcPr>
            <w:tcW w:w="1148" w:type="pct"/>
            <w:vAlign w:val="bottom"/>
          </w:tcPr>
          <w:p w:rsidR="00D608F7" w:rsidRPr="00D804AE" w:rsidRDefault="000C709C" w:rsidP="00D804AE">
            <w:pPr>
              <w:jc w:val="center"/>
              <w:rPr>
                <w:sz w:val="16"/>
                <w:szCs w:val="16"/>
              </w:rPr>
            </w:pPr>
            <w:r>
              <w:rPr>
                <w:sz w:val="16"/>
                <w:szCs w:val="16"/>
              </w:rPr>
              <w:t>4,598,979</w:t>
            </w:r>
          </w:p>
        </w:tc>
        <w:tc>
          <w:tcPr>
            <w:tcW w:w="1020" w:type="pct"/>
            <w:vAlign w:val="bottom"/>
          </w:tcPr>
          <w:p w:rsidR="00D608F7" w:rsidRPr="00D804AE" w:rsidRDefault="000C709C" w:rsidP="00D804AE">
            <w:pPr>
              <w:jc w:val="center"/>
              <w:rPr>
                <w:sz w:val="16"/>
                <w:szCs w:val="16"/>
              </w:rPr>
            </w:pPr>
            <w:r>
              <w:rPr>
                <w:sz w:val="16"/>
                <w:szCs w:val="16"/>
              </w:rPr>
              <w:t>4,445,408</w:t>
            </w:r>
          </w:p>
        </w:tc>
        <w:tc>
          <w:tcPr>
            <w:tcW w:w="905" w:type="pct"/>
            <w:vAlign w:val="bottom"/>
          </w:tcPr>
          <w:p w:rsidR="00D608F7" w:rsidRPr="00D804AE" w:rsidRDefault="000C709C" w:rsidP="00D804AE">
            <w:pPr>
              <w:jc w:val="center"/>
              <w:rPr>
                <w:sz w:val="16"/>
                <w:szCs w:val="16"/>
              </w:rPr>
            </w:pPr>
            <w:r>
              <w:rPr>
                <w:sz w:val="16"/>
                <w:szCs w:val="16"/>
              </w:rPr>
              <w:t>3,787,678</w:t>
            </w:r>
          </w:p>
        </w:tc>
      </w:tr>
      <w:tr w:rsidR="00D608F7" w:rsidTr="00AF0B32">
        <w:trPr>
          <w:trHeight w:val="235"/>
          <w:jc w:val="center"/>
        </w:trPr>
        <w:tc>
          <w:tcPr>
            <w:tcW w:w="1926" w:type="pct"/>
            <w:vAlign w:val="bottom"/>
          </w:tcPr>
          <w:p w:rsidR="00D608F7" w:rsidRPr="004740E5" w:rsidRDefault="00D608F7">
            <w:pPr>
              <w:rPr>
                <w:snapToGrid w:val="0"/>
                <w:color w:val="000000"/>
              </w:rPr>
            </w:pPr>
            <w:r w:rsidRPr="004740E5">
              <w:rPr>
                <w:snapToGrid w:val="0"/>
                <w:color w:val="000000"/>
              </w:rPr>
              <w:t xml:space="preserve"> +/- Difference</w:t>
            </w:r>
          </w:p>
        </w:tc>
        <w:tc>
          <w:tcPr>
            <w:tcW w:w="1148" w:type="pct"/>
            <w:vAlign w:val="bottom"/>
          </w:tcPr>
          <w:p w:rsidR="00D608F7" w:rsidRPr="00D804AE" w:rsidRDefault="000C709C" w:rsidP="00883C6D">
            <w:pPr>
              <w:jc w:val="center"/>
              <w:rPr>
                <w:sz w:val="16"/>
                <w:szCs w:val="16"/>
              </w:rPr>
            </w:pPr>
            <w:r>
              <w:rPr>
                <w:sz w:val="16"/>
                <w:szCs w:val="16"/>
              </w:rPr>
              <w:t>838,886</w:t>
            </w:r>
          </w:p>
        </w:tc>
        <w:tc>
          <w:tcPr>
            <w:tcW w:w="1020" w:type="pct"/>
            <w:vAlign w:val="bottom"/>
          </w:tcPr>
          <w:p w:rsidR="00D608F7" w:rsidRPr="00D804AE" w:rsidRDefault="000C709C" w:rsidP="00D804AE">
            <w:pPr>
              <w:jc w:val="center"/>
              <w:rPr>
                <w:sz w:val="16"/>
                <w:szCs w:val="16"/>
              </w:rPr>
            </w:pPr>
            <w:r>
              <w:rPr>
                <w:sz w:val="16"/>
                <w:szCs w:val="16"/>
              </w:rPr>
              <w:t>(153,571)</w:t>
            </w:r>
          </w:p>
        </w:tc>
        <w:tc>
          <w:tcPr>
            <w:tcW w:w="905" w:type="pct"/>
            <w:vAlign w:val="bottom"/>
          </w:tcPr>
          <w:p w:rsidR="00D608F7" w:rsidRPr="00D804AE" w:rsidRDefault="000C709C" w:rsidP="00D804AE">
            <w:pPr>
              <w:jc w:val="center"/>
              <w:rPr>
                <w:sz w:val="16"/>
                <w:szCs w:val="16"/>
              </w:rPr>
            </w:pPr>
            <w:r>
              <w:rPr>
                <w:sz w:val="16"/>
                <w:szCs w:val="16"/>
              </w:rPr>
              <w:t>(657,729)</w:t>
            </w:r>
          </w:p>
        </w:tc>
      </w:tr>
    </w:tbl>
    <w:p w:rsidR="00D608F7" w:rsidRDefault="00D608F7">
      <w:pPr>
        <w:rPr>
          <w:shadow/>
          <w:sz w:val="24"/>
        </w:rPr>
      </w:pPr>
    </w:p>
    <w:p w:rsidR="00D608F7" w:rsidRDefault="00D608F7">
      <w:pPr>
        <w:pStyle w:val="BodyText"/>
      </w:pPr>
    </w:p>
    <w:p w:rsidR="00D608F7" w:rsidRDefault="00D608F7">
      <w:pPr>
        <w:rPr>
          <w:sz w:val="24"/>
        </w:rPr>
      </w:pPr>
      <w:r>
        <w:rPr>
          <w:sz w:val="24"/>
          <w:u w:val="single"/>
        </w:rPr>
        <w:t>RECOMMENDATION</w:t>
      </w:r>
      <w:r>
        <w:rPr>
          <w:sz w:val="24"/>
        </w:rPr>
        <w:t>:</w:t>
      </w:r>
    </w:p>
    <w:p w:rsidR="00D608F7" w:rsidRDefault="00D608F7">
      <w:pPr>
        <w:rPr>
          <w:sz w:val="24"/>
        </w:rPr>
      </w:pPr>
    </w:p>
    <w:p w:rsidR="00D608F7" w:rsidRDefault="00D608F7">
      <w:pPr>
        <w:rPr>
          <w:sz w:val="24"/>
        </w:rPr>
      </w:pPr>
      <w:r>
        <w:rPr>
          <w:sz w:val="24"/>
        </w:rPr>
        <w:t xml:space="preserve">Approve the </w:t>
      </w:r>
      <w:r w:rsidR="00AD6C82">
        <w:rPr>
          <w:sz w:val="24"/>
        </w:rPr>
        <w:t>2012-13</w:t>
      </w:r>
      <w:r>
        <w:rPr>
          <w:sz w:val="24"/>
        </w:rPr>
        <w:t xml:space="preserve"> Tentative Budget as described in this enclosure.</w:t>
      </w:r>
    </w:p>
    <w:p w:rsidR="00D608F7" w:rsidRDefault="00D608F7"/>
    <w:p w:rsidR="00D608F7" w:rsidRDefault="00D608F7">
      <w:pPr>
        <w:pStyle w:val="Heading5"/>
      </w:pPr>
      <w:r>
        <w:br w:type="page"/>
      </w:r>
      <w:r>
        <w:lastRenderedPageBreak/>
        <w:t>APPENDIX A</w:t>
      </w:r>
    </w:p>
    <w:p w:rsidR="00D608F7" w:rsidRDefault="00D608F7">
      <w:pPr>
        <w:rPr>
          <w:b/>
          <w:sz w:val="24"/>
        </w:rPr>
      </w:pPr>
    </w:p>
    <w:p w:rsidR="00D608F7" w:rsidRDefault="00D608F7">
      <w:pPr>
        <w:pStyle w:val="BodyText"/>
      </w:pPr>
      <w:r>
        <w:rPr>
          <w:u w:val="single"/>
        </w:rPr>
        <w:t>EXPENSE TYPES</w:t>
      </w:r>
      <w:r>
        <w:t>:</w:t>
      </w:r>
    </w:p>
    <w:p w:rsidR="00D608F7" w:rsidRDefault="00D608F7">
      <w:pPr>
        <w:rPr>
          <w:sz w:val="24"/>
        </w:rPr>
      </w:pPr>
    </w:p>
    <w:p w:rsidR="00D608F7" w:rsidRDefault="00D608F7">
      <w:pPr>
        <w:rPr>
          <w:sz w:val="24"/>
        </w:rPr>
      </w:pPr>
      <w:r>
        <w:rPr>
          <w:sz w:val="24"/>
        </w:rPr>
        <w:t xml:space="preserve">Within each major function, specific types of expenses are grouped together.  These groupings utilize the first two (2) digits of the object.  For instance, salary-related object codes always begin with </w:t>
      </w:r>
      <w:r>
        <w:rPr>
          <w:b/>
          <w:sz w:val="24"/>
          <w:u w:val="single"/>
        </w:rPr>
        <w:t xml:space="preserve">01 </w:t>
      </w:r>
      <w:r>
        <w:rPr>
          <w:sz w:val="24"/>
        </w:rPr>
        <w:t>(</w:t>
      </w:r>
      <w:r>
        <w:rPr>
          <w:b/>
          <w:sz w:val="24"/>
          <w:u w:val="single"/>
        </w:rPr>
        <w:t>01</w:t>
      </w:r>
      <w:r>
        <w:rPr>
          <w:sz w:val="24"/>
        </w:rPr>
        <w:t xml:space="preserve">10, </w:t>
      </w:r>
      <w:r>
        <w:rPr>
          <w:b/>
          <w:sz w:val="24"/>
          <w:u w:val="single"/>
        </w:rPr>
        <w:t>01</w:t>
      </w:r>
      <w:r>
        <w:rPr>
          <w:sz w:val="24"/>
        </w:rPr>
        <w:t xml:space="preserve">20, </w:t>
      </w:r>
      <w:r>
        <w:rPr>
          <w:b/>
          <w:sz w:val="24"/>
          <w:u w:val="single"/>
        </w:rPr>
        <w:t>01</w:t>
      </w:r>
      <w:r>
        <w:rPr>
          <w:sz w:val="24"/>
        </w:rPr>
        <w:t>30, etc.), so the “</w:t>
      </w:r>
      <w:r>
        <w:rPr>
          <w:b/>
          <w:sz w:val="24"/>
          <w:u w:val="single"/>
        </w:rPr>
        <w:t>01</w:t>
      </w:r>
      <w:r>
        <w:rPr>
          <w:sz w:val="24"/>
        </w:rPr>
        <w:t>” causes these expenses to be combined in the expense type grouping “</w:t>
      </w:r>
      <w:r>
        <w:rPr>
          <w:b/>
          <w:sz w:val="24"/>
        </w:rPr>
        <w:t>0100</w:t>
      </w:r>
      <w:r>
        <w:rPr>
          <w:sz w:val="24"/>
        </w:rPr>
        <w:t xml:space="preserve">.”  The following summarizes the types of expenses grouped under the function:  </w:t>
      </w:r>
    </w:p>
    <w:p w:rsidR="00D608F7" w:rsidRDefault="00D608F7">
      <w:pPr>
        <w:rPr>
          <w:sz w:val="24"/>
        </w:rPr>
      </w:pPr>
    </w:p>
    <w:p w:rsidR="00D608F7" w:rsidRDefault="00D608F7">
      <w:pPr>
        <w:rPr>
          <w:sz w:val="24"/>
        </w:rPr>
      </w:pPr>
      <w:r>
        <w:rPr>
          <w:b/>
          <w:sz w:val="24"/>
        </w:rPr>
        <w:t>0100</w:t>
      </w:r>
      <w:r>
        <w:rPr>
          <w:b/>
          <w:sz w:val="24"/>
        </w:rPr>
        <w:tab/>
        <w:t>Salaries Personnel Services</w:t>
      </w:r>
      <w:r>
        <w:rPr>
          <w:sz w:val="24"/>
        </w:rPr>
        <w:t xml:space="preserve"> – salary-related expenses, such as wages, stipends, etc.</w:t>
      </w:r>
    </w:p>
    <w:p w:rsidR="00D608F7" w:rsidRDefault="00D608F7">
      <w:pPr>
        <w:rPr>
          <w:sz w:val="24"/>
        </w:rPr>
      </w:pPr>
    </w:p>
    <w:p w:rsidR="00D608F7" w:rsidRDefault="00D608F7">
      <w:pPr>
        <w:rPr>
          <w:sz w:val="24"/>
        </w:rPr>
      </w:pPr>
      <w:r>
        <w:rPr>
          <w:b/>
          <w:sz w:val="24"/>
        </w:rPr>
        <w:t>0200</w:t>
      </w:r>
      <w:r>
        <w:rPr>
          <w:b/>
          <w:sz w:val="24"/>
        </w:rPr>
        <w:tab/>
        <w:t xml:space="preserve">Employee Benefits </w:t>
      </w:r>
      <w:r>
        <w:rPr>
          <w:sz w:val="24"/>
        </w:rPr>
        <w:t>– fringe benefits, such as employee insurance, FICA match, Medicare match, CERS match, and KTRS match, when applicable</w:t>
      </w:r>
    </w:p>
    <w:p w:rsidR="00D608F7" w:rsidRDefault="00D608F7">
      <w:pPr>
        <w:rPr>
          <w:sz w:val="24"/>
        </w:rPr>
      </w:pPr>
    </w:p>
    <w:p w:rsidR="00D608F7" w:rsidRDefault="00D608F7">
      <w:pPr>
        <w:rPr>
          <w:sz w:val="24"/>
        </w:rPr>
      </w:pPr>
      <w:r>
        <w:rPr>
          <w:b/>
          <w:sz w:val="24"/>
        </w:rPr>
        <w:t>0300</w:t>
      </w:r>
      <w:r>
        <w:rPr>
          <w:b/>
          <w:sz w:val="24"/>
        </w:rPr>
        <w:tab/>
        <w:t>Purchased Professional &amp; Technical Services</w:t>
      </w:r>
      <w:r>
        <w:rPr>
          <w:sz w:val="24"/>
        </w:rPr>
        <w:t xml:space="preserve"> – contractual services, such as legal, consultants, audit, architectural, engineering, etc.</w:t>
      </w:r>
    </w:p>
    <w:p w:rsidR="00D608F7" w:rsidRDefault="00D608F7">
      <w:pPr>
        <w:rPr>
          <w:sz w:val="24"/>
        </w:rPr>
      </w:pPr>
    </w:p>
    <w:p w:rsidR="00D608F7" w:rsidRDefault="00D608F7">
      <w:pPr>
        <w:rPr>
          <w:sz w:val="24"/>
        </w:rPr>
      </w:pPr>
      <w:r>
        <w:rPr>
          <w:b/>
          <w:sz w:val="24"/>
        </w:rPr>
        <w:t>0400</w:t>
      </w:r>
      <w:r>
        <w:rPr>
          <w:b/>
          <w:sz w:val="24"/>
        </w:rPr>
        <w:tab/>
        <w:t>Purchased Property Services</w:t>
      </w:r>
      <w:r>
        <w:rPr>
          <w:sz w:val="24"/>
        </w:rPr>
        <w:t xml:space="preserve"> – other services, such as repairs/maintenance, rent utilities, etc.</w:t>
      </w:r>
    </w:p>
    <w:p w:rsidR="00D608F7" w:rsidRDefault="00D608F7">
      <w:pPr>
        <w:rPr>
          <w:sz w:val="24"/>
        </w:rPr>
      </w:pPr>
    </w:p>
    <w:p w:rsidR="00D608F7" w:rsidRDefault="00D608F7">
      <w:pPr>
        <w:rPr>
          <w:sz w:val="24"/>
        </w:rPr>
      </w:pPr>
      <w:r>
        <w:rPr>
          <w:b/>
          <w:sz w:val="24"/>
        </w:rPr>
        <w:t>0500</w:t>
      </w:r>
      <w:r>
        <w:rPr>
          <w:b/>
          <w:sz w:val="24"/>
        </w:rPr>
        <w:tab/>
        <w:t>Other Purchased Services</w:t>
      </w:r>
      <w:r>
        <w:rPr>
          <w:sz w:val="24"/>
        </w:rPr>
        <w:t xml:space="preserve"> – expenses such as travel, telephone, postage, advertising, insurance, printing, etc.</w:t>
      </w:r>
    </w:p>
    <w:p w:rsidR="00D608F7" w:rsidRDefault="00D608F7">
      <w:pPr>
        <w:rPr>
          <w:sz w:val="24"/>
        </w:rPr>
      </w:pPr>
    </w:p>
    <w:p w:rsidR="00D608F7" w:rsidRDefault="00D608F7">
      <w:pPr>
        <w:rPr>
          <w:sz w:val="24"/>
        </w:rPr>
      </w:pPr>
      <w:r>
        <w:rPr>
          <w:b/>
          <w:sz w:val="24"/>
        </w:rPr>
        <w:t>0600</w:t>
      </w:r>
      <w:r>
        <w:rPr>
          <w:b/>
          <w:sz w:val="24"/>
        </w:rPr>
        <w:tab/>
        <w:t>Supplies &amp; Materials</w:t>
      </w:r>
      <w:r>
        <w:rPr>
          <w:sz w:val="24"/>
        </w:rPr>
        <w:t xml:space="preserve"> – expenses such as general supplies, textbooks, reference materials, software, food, testing materials, etc.</w:t>
      </w:r>
    </w:p>
    <w:p w:rsidR="00D608F7" w:rsidRDefault="00D608F7">
      <w:pPr>
        <w:rPr>
          <w:sz w:val="24"/>
        </w:rPr>
      </w:pPr>
    </w:p>
    <w:p w:rsidR="00D608F7" w:rsidRDefault="00D608F7">
      <w:pPr>
        <w:rPr>
          <w:sz w:val="24"/>
        </w:rPr>
      </w:pPr>
      <w:r>
        <w:rPr>
          <w:b/>
          <w:sz w:val="24"/>
        </w:rPr>
        <w:t>0700</w:t>
      </w:r>
      <w:r>
        <w:rPr>
          <w:b/>
          <w:sz w:val="24"/>
        </w:rPr>
        <w:tab/>
        <w:t>Property</w:t>
      </w:r>
      <w:r>
        <w:rPr>
          <w:sz w:val="24"/>
        </w:rPr>
        <w:t xml:space="preserve"> – furniture, fixtures, equipment, computers, buses, etc.</w:t>
      </w:r>
    </w:p>
    <w:p w:rsidR="00D608F7" w:rsidRDefault="00D608F7">
      <w:pPr>
        <w:rPr>
          <w:sz w:val="24"/>
        </w:rPr>
      </w:pPr>
    </w:p>
    <w:p w:rsidR="00D608F7" w:rsidRDefault="00D608F7">
      <w:pPr>
        <w:rPr>
          <w:sz w:val="24"/>
        </w:rPr>
      </w:pPr>
      <w:r>
        <w:rPr>
          <w:b/>
          <w:sz w:val="24"/>
        </w:rPr>
        <w:t>0800</w:t>
      </w:r>
      <w:r>
        <w:rPr>
          <w:b/>
          <w:sz w:val="24"/>
        </w:rPr>
        <w:tab/>
        <w:t>Miscellaneous</w:t>
      </w:r>
      <w:r>
        <w:rPr>
          <w:sz w:val="24"/>
        </w:rPr>
        <w:t xml:space="preserve"> – fieldtrip expenses (other than the driver’s salary), registration, fees, permits, uniforms, etc.</w:t>
      </w:r>
    </w:p>
    <w:p w:rsidR="00D608F7" w:rsidRDefault="00D608F7">
      <w:pPr>
        <w:rPr>
          <w:sz w:val="24"/>
        </w:rPr>
      </w:pPr>
    </w:p>
    <w:p w:rsidR="00D608F7" w:rsidRDefault="00D608F7">
      <w:pPr>
        <w:rPr>
          <w:sz w:val="24"/>
        </w:rPr>
      </w:pPr>
      <w:r>
        <w:rPr>
          <w:b/>
          <w:sz w:val="24"/>
        </w:rPr>
        <w:t>0840</w:t>
      </w:r>
      <w:r>
        <w:rPr>
          <w:b/>
          <w:sz w:val="24"/>
        </w:rPr>
        <w:tab/>
        <w:t>Contingency</w:t>
      </w:r>
      <w:r>
        <w:rPr>
          <w:sz w:val="24"/>
        </w:rPr>
        <w:t xml:space="preserve"> – used for budgeting purposes only as determined by the Board</w:t>
      </w:r>
    </w:p>
    <w:p w:rsidR="00D608F7" w:rsidRDefault="00D608F7">
      <w:pPr>
        <w:rPr>
          <w:sz w:val="24"/>
        </w:rPr>
      </w:pPr>
    </w:p>
    <w:p w:rsidR="00D608F7" w:rsidRDefault="00D608F7">
      <w:pPr>
        <w:rPr>
          <w:sz w:val="24"/>
        </w:rPr>
      </w:pPr>
      <w:r>
        <w:rPr>
          <w:b/>
          <w:sz w:val="24"/>
        </w:rPr>
        <w:t>0900</w:t>
      </w:r>
      <w:r>
        <w:rPr>
          <w:b/>
          <w:sz w:val="24"/>
        </w:rPr>
        <w:tab/>
        <w:t>Other Uses of Funds</w:t>
      </w:r>
      <w:r>
        <w:rPr>
          <w:sz w:val="24"/>
        </w:rPr>
        <w:t xml:space="preserve"> – fund transfers and principal and interest payments on bonds</w:t>
      </w:r>
    </w:p>
    <w:p w:rsidR="00D608F7" w:rsidRDefault="00D608F7"/>
    <w:sectPr w:rsidR="00D608F7" w:rsidSect="007347D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90" w:rsidRDefault="00057590">
      <w:r>
        <w:separator/>
      </w:r>
    </w:p>
  </w:endnote>
  <w:endnote w:type="continuationSeparator" w:id="0">
    <w:p w:rsidR="00057590" w:rsidRDefault="00057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FB" w:rsidRDefault="00D636FB">
    <w:pPr>
      <w:pStyle w:val="Footer"/>
      <w:tabs>
        <w:tab w:val="left" w:pos="6570"/>
      </w:tabs>
      <w:rPr>
        <w:sz w:val="24"/>
        <w:u w:val="single"/>
      </w:rPr>
    </w:pPr>
    <w:r>
      <w:rPr>
        <w:sz w:val="24"/>
        <w:u w:val="single"/>
      </w:rPr>
      <w:tab/>
    </w:r>
    <w:r>
      <w:rPr>
        <w:sz w:val="24"/>
        <w:u w:val="single"/>
      </w:rPr>
      <w:tab/>
    </w:r>
    <w:r>
      <w:rPr>
        <w:sz w:val="24"/>
        <w:u w:val="single"/>
      </w:rPr>
      <w:tab/>
    </w:r>
  </w:p>
  <w:p w:rsidR="00D636FB" w:rsidRDefault="00D636FB">
    <w:pPr>
      <w:pStyle w:val="Footer"/>
      <w:tabs>
        <w:tab w:val="left" w:pos="6570"/>
      </w:tabs>
    </w:pPr>
    <w:r>
      <w:t xml:space="preserve">                                                                                                                                   Tentative Budget - Page </w:t>
    </w:r>
    <w:r w:rsidR="00B0180F">
      <w:rPr>
        <w:rStyle w:val="PageNumber"/>
      </w:rPr>
      <w:fldChar w:fldCharType="begin"/>
    </w:r>
    <w:r>
      <w:rPr>
        <w:rStyle w:val="PageNumber"/>
      </w:rPr>
      <w:instrText xml:space="preserve"> PAGE </w:instrText>
    </w:r>
    <w:r w:rsidR="00B0180F">
      <w:rPr>
        <w:rStyle w:val="PageNumber"/>
      </w:rPr>
      <w:fldChar w:fldCharType="separate"/>
    </w:r>
    <w:r w:rsidR="00027208">
      <w:rPr>
        <w:rStyle w:val="PageNumber"/>
        <w:noProof/>
      </w:rPr>
      <w:t>1</w:t>
    </w:r>
    <w:r w:rsidR="00B0180F">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90" w:rsidRDefault="00057590">
      <w:r>
        <w:separator/>
      </w:r>
    </w:p>
  </w:footnote>
  <w:footnote w:type="continuationSeparator" w:id="0">
    <w:p w:rsidR="00057590" w:rsidRDefault="00057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FB" w:rsidRDefault="00D636FB">
    <w:pPr>
      <w:pStyle w:val="Header"/>
      <w:tabs>
        <w:tab w:val="left" w:pos="7200"/>
      </w:tabs>
    </w:pPr>
    <w:smartTag w:uri="urn:schemas-microsoft-com:office:smarttags" w:element="City">
      <w:smartTag w:uri="urn:schemas-microsoft-com:office:smarttags" w:element="place">
        <w:r>
          <w:rPr>
            <w:u w:val="single"/>
          </w:rPr>
          <w:t>Elizabethtown</w:t>
        </w:r>
      </w:smartTag>
    </w:smartTag>
    <w:r>
      <w:rPr>
        <w:u w:val="single"/>
      </w:rPr>
      <w:t xml:space="preserve"> Board of Education</w:t>
    </w:r>
    <w:r>
      <w:rPr>
        <w:u w:val="single"/>
      </w:rPr>
      <w:tab/>
    </w:r>
    <w:r>
      <w:rPr>
        <w:u w:val="single"/>
      </w:rPr>
      <w:tab/>
      <w:t xml:space="preserve">           Enclosure</w:t>
    </w:r>
  </w:p>
  <w:p w:rsidR="00D636FB" w:rsidRDefault="00D636FB">
    <w:pPr>
      <w:pStyle w:val="Header"/>
      <w:tabs>
        <w:tab w:val="left" w:pos="7200"/>
      </w:tabs>
    </w:pPr>
    <w:r>
      <w:tab/>
      <w:t xml:space="preserve">                                                                                                                                                 May 21,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IPSpeechSession$" w:val="w:compa"/>
    <w:docVar w:name="IPSpeechSessionSaved$" w:val="_x000A_?"/>
  </w:docVars>
  <w:rsids>
    <w:rsidRoot w:val="00EC31B1"/>
    <w:rsid w:val="000000DC"/>
    <w:rsid w:val="00012D20"/>
    <w:rsid w:val="000217CA"/>
    <w:rsid w:val="00027208"/>
    <w:rsid w:val="00057590"/>
    <w:rsid w:val="000669D1"/>
    <w:rsid w:val="00071B18"/>
    <w:rsid w:val="00084DFB"/>
    <w:rsid w:val="000A423E"/>
    <w:rsid w:val="000C709C"/>
    <w:rsid w:val="000E2090"/>
    <w:rsid w:val="000E4D10"/>
    <w:rsid w:val="00110730"/>
    <w:rsid w:val="00122111"/>
    <w:rsid w:val="00124488"/>
    <w:rsid w:val="00154E96"/>
    <w:rsid w:val="00166409"/>
    <w:rsid w:val="001762C4"/>
    <w:rsid w:val="0018426B"/>
    <w:rsid w:val="00186AD2"/>
    <w:rsid w:val="00193869"/>
    <w:rsid w:val="001A31FA"/>
    <w:rsid w:val="001B3C8B"/>
    <w:rsid w:val="001B4474"/>
    <w:rsid w:val="001C08FA"/>
    <w:rsid w:val="001D7949"/>
    <w:rsid w:val="002022C3"/>
    <w:rsid w:val="0021053A"/>
    <w:rsid w:val="0022411E"/>
    <w:rsid w:val="002349BB"/>
    <w:rsid w:val="0024712D"/>
    <w:rsid w:val="00256F0E"/>
    <w:rsid w:val="00270401"/>
    <w:rsid w:val="0028698E"/>
    <w:rsid w:val="002C0163"/>
    <w:rsid w:val="002E0B2D"/>
    <w:rsid w:val="00300DB9"/>
    <w:rsid w:val="003037AE"/>
    <w:rsid w:val="00317DFD"/>
    <w:rsid w:val="00333ED9"/>
    <w:rsid w:val="00350761"/>
    <w:rsid w:val="003521CB"/>
    <w:rsid w:val="003936EB"/>
    <w:rsid w:val="00397AB6"/>
    <w:rsid w:val="003A531B"/>
    <w:rsid w:val="003E070B"/>
    <w:rsid w:val="00420E04"/>
    <w:rsid w:val="00427C26"/>
    <w:rsid w:val="004332AB"/>
    <w:rsid w:val="004740E5"/>
    <w:rsid w:val="00474A00"/>
    <w:rsid w:val="004755D8"/>
    <w:rsid w:val="00495BE6"/>
    <w:rsid w:val="004A0D82"/>
    <w:rsid w:val="004B0133"/>
    <w:rsid w:val="004D1018"/>
    <w:rsid w:val="004E37A4"/>
    <w:rsid w:val="004F0094"/>
    <w:rsid w:val="004F0FAD"/>
    <w:rsid w:val="004F3DB5"/>
    <w:rsid w:val="004F4FAC"/>
    <w:rsid w:val="00507256"/>
    <w:rsid w:val="00525ABD"/>
    <w:rsid w:val="005417D2"/>
    <w:rsid w:val="00554948"/>
    <w:rsid w:val="00556E09"/>
    <w:rsid w:val="00561079"/>
    <w:rsid w:val="005728E3"/>
    <w:rsid w:val="005738DA"/>
    <w:rsid w:val="005E4320"/>
    <w:rsid w:val="00614007"/>
    <w:rsid w:val="00617CDA"/>
    <w:rsid w:val="00633B73"/>
    <w:rsid w:val="0066250A"/>
    <w:rsid w:val="006657E8"/>
    <w:rsid w:val="00680BBE"/>
    <w:rsid w:val="006E0350"/>
    <w:rsid w:val="006E6B1C"/>
    <w:rsid w:val="00702D02"/>
    <w:rsid w:val="00722030"/>
    <w:rsid w:val="00723788"/>
    <w:rsid w:val="007347D7"/>
    <w:rsid w:val="00745786"/>
    <w:rsid w:val="00752FA5"/>
    <w:rsid w:val="00764BC0"/>
    <w:rsid w:val="00775AB1"/>
    <w:rsid w:val="00781156"/>
    <w:rsid w:val="00782D3D"/>
    <w:rsid w:val="007A2CB4"/>
    <w:rsid w:val="007A3B90"/>
    <w:rsid w:val="007B37C7"/>
    <w:rsid w:val="007C75F5"/>
    <w:rsid w:val="007D051E"/>
    <w:rsid w:val="008257D1"/>
    <w:rsid w:val="00851693"/>
    <w:rsid w:val="00862DAF"/>
    <w:rsid w:val="008632A1"/>
    <w:rsid w:val="008740ED"/>
    <w:rsid w:val="00883C6D"/>
    <w:rsid w:val="00885860"/>
    <w:rsid w:val="00886967"/>
    <w:rsid w:val="0089283B"/>
    <w:rsid w:val="00905A4C"/>
    <w:rsid w:val="00940529"/>
    <w:rsid w:val="00961912"/>
    <w:rsid w:val="009C2E25"/>
    <w:rsid w:val="009D207C"/>
    <w:rsid w:val="009D3C1A"/>
    <w:rsid w:val="00A05A2E"/>
    <w:rsid w:val="00A100E5"/>
    <w:rsid w:val="00A14431"/>
    <w:rsid w:val="00A149B7"/>
    <w:rsid w:val="00A14B60"/>
    <w:rsid w:val="00A26661"/>
    <w:rsid w:val="00A528FE"/>
    <w:rsid w:val="00A55C2B"/>
    <w:rsid w:val="00A563C5"/>
    <w:rsid w:val="00A76267"/>
    <w:rsid w:val="00AD2C5C"/>
    <w:rsid w:val="00AD6C82"/>
    <w:rsid w:val="00AE2676"/>
    <w:rsid w:val="00AF0B32"/>
    <w:rsid w:val="00B0180F"/>
    <w:rsid w:val="00B1022A"/>
    <w:rsid w:val="00B122AB"/>
    <w:rsid w:val="00B375CD"/>
    <w:rsid w:val="00B37FEB"/>
    <w:rsid w:val="00B46CDD"/>
    <w:rsid w:val="00B64C96"/>
    <w:rsid w:val="00B67989"/>
    <w:rsid w:val="00B921A4"/>
    <w:rsid w:val="00BA0365"/>
    <w:rsid w:val="00BA5FF2"/>
    <w:rsid w:val="00BA6AFA"/>
    <w:rsid w:val="00BE256A"/>
    <w:rsid w:val="00C23C0B"/>
    <w:rsid w:val="00C37C1D"/>
    <w:rsid w:val="00C53492"/>
    <w:rsid w:val="00C542E5"/>
    <w:rsid w:val="00C63AC0"/>
    <w:rsid w:val="00C67379"/>
    <w:rsid w:val="00C73274"/>
    <w:rsid w:val="00C80CD7"/>
    <w:rsid w:val="00CA43EF"/>
    <w:rsid w:val="00CF0173"/>
    <w:rsid w:val="00CF3360"/>
    <w:rsid w:val="00D2588A"/>
    <w:rsid w:val="00D5096E"/>
    <w:rsid w:val="00D608F7"/>
    <w:rsid w:val="00D636FB"/>
    <w:rsid w:val="00D710CE"/>
    <w:rsid w:val="00D76DFF"/>
    <w:rsid w:val="00D804AE"/>
    <w:rsid w:val="00D83B51"/>
    <w:rsid w:val="00D84DCD"/>
    <w:rsid w:val="00DC4998"/>
    <w:rsid w:val="00DF0CA5"/>
    <w:rsid w:val="00E11030"/>
    <w:rsid w:val="00E5512B"/>
    <w:rsid w:val="00E75415"/>
    <w:rsid w:val="00EA02DC"/>
    <w:rsid w:val="00EC31B1"/>
    <w:rsid w:val="00EF663B"/>
    <w:rsid w:val="00F6711F"/>
    <w:rsid w:val="00F70D60"/>
    <w:rsid w:val="00F72830"/>
    <w:rsid w:val="00F90E92"/>
    <w:rsid w:val="00F93921"/>
    <w:rsid w:val="00FB433E"/>
    <w:rsid w:val="00FB77B4"/>
    <w:rsid w:val="00FD66B3"/>
    <w:rsid w:val="00FF1991"/>
    <w:rsid w:val="00FF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347D7"/>
  </w:style>
  <w:style w:type="paragraph" w:styleId="Heading1">
    <w:name w:val="heading 1"/>
    <w:basedOn w:val="Normal"/>
    <w:next w:val="Normal"/>
    <w:link w:val="Heading1Char"/>
    <w:qFormat/>
    <w:rsid w:val="007347D7"/>
    <w:pPr>
      <w:keepNext/>
      <w:jc w:val="center"/>
      <w:outlineLvl w:val="0"/>
    </w:pPr>
    <w:rPr>
      <w:sz w:val="24"/>
    </w:rPr>
  </w:style>
  <w:style w:type="paragraph" w:styleId="Heading2">
    <w:name w:val="heading 2"/>
    <w:basedOn w:val="Normal"/>
    <w:next w:val="Normal"/>
    <w:link w:val="Heading2Char"/>
    <w:qFormat/>
    <w:rsid w:val="007347D7"/>
    <w:pPr>
      <w:keepNext/>
      <w:outlineLvl w:val="1"/>
    </w:pPr>
    <w:rPr>
      <w:sz w:val="24"/>
    </w:rPr>
  </w:style>
  <w:style w:type="paragraph" w:styleId="Heading3">
    <w:name w:val="heading 3"/>
    <w:basedOn w:val="Normal"/>
    <w:next w:val="Normal"/>
    <w:link w:val="Heading3Char"/>
    <w:qFormat/>
    <w:rsid w:val="007347D7"/>
    <w:pPr>
      <w:keepNext/>
      <w:outlineLvl w:val="2"/>
    </w:pPr>
    <w:rPr>
      <w:color w:val="000000"/>
      <w:sz w:val="24"/>
    </w:rPr>
  </w:style>
  <w:style w:type="paragraph" w:styleId="Heading4">
    <w:name w:val="heading 4"/>
    <w:basedOn w:val="Normal"/>
    <w:next w:val="Normal"/>
    <w:link w:val="Heading4Char"/>
    <w:qFormat/>
    <w:rsid w:val="007347D7"/>
    <w:pPr>
      <w:keepNext/>
      <w:jc w:val="center"/>
      <w:outlineLvl w:val="3"/>
    </w:pPr>
    <w:rPr>
      <w:color w:val="000000"/>
      <w:sz w:val="24"/>
    </w:rPr>
  </w:style>
  <w:style w:type="paragraph" w:styleId="Heading5">
    <w:name w:val="heading 5"/>
    <w:basedOn w:val="Normal"/>
    <w:next w:val="Normal"/>
    <w:link w:val="Heading5Char"/>
    <w:qFormat/>
    <w:rsid w:val="007347D7"/>
    <w:pPr>
      <w:keepNext/>
      <w:jc w:val="center"/>
      <w:outlineLvl w:val="4"/>
    </w:pPr>
    <w:rPr>
      <w:b/>
      <w:sz w:val="24"/>
    </w:rPr>
  </w:style>
  <w:style w:type="paragraph" w:styleId="Heading6">
    <w:name w:val="heading 6"/>
    <w:basedOn w:val="Normal"/>
    <w:next w:val="Normal"/>
    <w:link w:val="Heading6Char"/>
    <w:qFormat/>
    <w:rsid w:val="007347D7"/>
    <w:pPr>
      <w:keepNext/>
      <w:outlineLvl w:val="5"/>
    </w:pPr>
    <w:rPr>
      <w:b/>
      <w:color w:val="000000"/>
      <w:sz w:val="22"/>
    </w:rPr>
  </w:style>
  <w:style w:type="paragraph" w:styleId="Heading7">
    <w:name w:val="heading 7"/>
    <w:basedOn w:val="Normal"/>
    <w:next w:val="Normal"/>
    <w:link w:val="Heading7Char"/>
    <w:qFormat/>
    <w:rsid w:val="007347D7"/>
    <w:pPr>
      <w:keepNext/>
      <w:outlineLvl w:val="6"/>
    </w:pPr>
    <w:rPr>
      <w:i/>
      <w:color w:val="000000"/>
    </w:rPr>
  </w:style>
  <w:style w:type="paragraph" w:styleId="Heading8">
    <w:name w:val="heading 8"/>
    <w:basedOn w:val="Normal"/>
    <w:next w:val="Normal"/>
    <w:link w:val="Heading8Char"/>
    <w:qFormat/>
    <w:rsid w:val="007347D7"/>
    <w:pPr>
      <w:keepNext/>
      <w:outlineLvl w:val="7"/>
    </w:pPr>
    <w:rPr>
      <w:b/>
      <w:i/>
      <w:color w:val="000000"/>
    </w:rPr>
  </w:style>
  <w:style w:type="paragraph" w:styleId="Heading9">
    <w:name w:val="heading 9"/>
    <w:basedOn w:val="Normal"/>
    <w:next w:val="Normal"/>
    <w:link w:val="Heading9Char"/>
    <w:qFormat/>
    <w:rsid w:val="007347D7"/>
    <w:pPr>
      <w:keepNext/>
      <w:shd w:val="pct5" w:color="auto" w:fill="auto"/>
      <w:outlineLvl w:val="8"/>
    </w:pPr>
    <w:rPr>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0180F"/>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0180F"/>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0180F"/>
    <w:rPr>
      <w:rFonts w:ascii="Cambria" w:hAnsi="Cambria" w:cs="Times New Roman"/>
      <w:b/>
      <w:bCs/>
      <w:sz w:val="26"/>
      <w:szCs w:val="26"/>
    </w:rPr>
  </w:style>
  <w:style w:type="character" w:customStyle="1" w:styleId="Heading4Char">
    <w:name w:val="Heading 4 Char"/>
    <w:basedOn w:val="DefaultParagraphFont"/>
    <w:link w:val="Heading4"/>
    <w:semiHidden/>
    <w:locked/>
    <w:rsid w:val="00B0180F"/>
    <w:rPr>
      <w:rFonts w:ascii="Calibri" w:hAnsi="Calibri" w:cs="Times New Roman"/>
      <w:b/>
      <w:bCs/>
      <w:sz w:val="28"/>
      <w:szCs w:val="28"/>
    </w:rPr>
  </w:style>
  <w:style w:type="character" w:customStyle="1" w:styleId="Heading5Char">
    <w:name w:val="Heading 5 Char"/>
    <w:basedOn w:val="DefaultParagraphFont"/>
    <w:link w:val="Heading5"/>
    <w:semiHidden/>
    <w:locked/>
    <w:rsid w:val="00B0180F"/>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B0180F"/>
    <w:rPr>
      <w:rFonts w:ascii="Calibri" w:hAnsi="Calibri" w:cs="Times New Roman"/>
      <w:b/>
      <w:bCs/>
    </w:rPr>
  </w:style>
  <w:style w:type="character" w:customStyle="1" w:styleId="Heading7Char">
    <w:name w:val="Heading 7 Char"/>
    <w:basedOn w:val="DefaultParagraphFont"/>
    <w:link w:val="Heading7"/>
    <w:semiHidden/>
    <w:locked/>
    <w:rsid w:val="00B0180F"/>
    <w:rPr>
      <w:rFonts w:ascii="Calibri" w:hAnsi="Calibri" w:cs="Times New Roman"/>
      <w:sz w:val="24"/>
      <w:szCs w:val="24"/>
    </w:rPr>
  </w:style>
  <w:style w:type="character" w:customStyle="1" w:styleId="Heading8Char">
    <w:name w:val="Heading 8 Char"/>
    <w:basedOn w:val="DefaultParagraphFont"/>
    <w:link w:val="Heading8"/>
    <w:semiHidden/>
    <w:locked/>
    <w:rsid w:val="00B0180F"/>
    <w:rPr>
      <w:rFonts w:ascii="Calibri" w:hAnsi="Calibri" w:cs="Times New Roman"/>
      <w:i/>
      <w:iCs/>
      <w:sz w:val="24"/>
      <w:szCs w:val="24"/>
    </w:rPr>
  </w:style>
  <w:style w:type="character" w:customStyle="1" w:styleId="Heading9Char">
    <w:name w:val="Heading 9 Char"/>
    <w:basedOn w:val="DefaultParagraphFont"/>
    <w:link w:val="Heading9"/>
    <w:semiHidden/>
    <w:locked/>
    <w:rsid w:val="00B0180F"/>
    <w:rPr>
      <w:rFonts w:ascii="Cambria" w:hAnsi="Cambria" w:cs="Times New Roman"/>
    </w:rPr>
  </w:style>
  <w:style w:type="paragraph" w:styleId="Header">
    <w:name w:val="header"/>
    <w:basedOn w:val="Normal"/>
    <w:link w:val="HeaderChar"/>
    <w:semiHidden/>
    <w:rsid w:val="007347D7"/>
    <w:pPr>
      <w:tabs>
        <w:tab w:val="center" w:pos="4320"/>
        <w:tab w:val="right" w:pos="8640"/>
      </w:tabs>
    </w:pPr>
  </w:style>
  <w:style w:type="character" w:customStyle="1" w:styleId="HeaderChar">
    <w:name w:val="Header Char"/>
    <w:basedOn w:val="DefaultParagraphFont"/>
    <w:link w:val="Header"/>
    <w:semiHidden/>
    <w:locked/>
    <w:rsid w:val="00B0180F"/>
    <w:rPr>
      <w:rFonts w:cs="Times New Roman"/>
      <w:sz w:val="20"/>
      <w:szCs w:val="20"/>
    </w:rPr>
  </w:style>
  <w:style w:type="paragraph" w:styleId="Footer">
    <w:name w:val="footer"/>
    <w:basedOn w:val="Normal"/>
    <w:link w:val="FooterChar"/>
    <w:semiHidden/>
    <w:rsid w:val="007347D7"/>
    <w:pPr>
      <w:tabs>
        <w:tab w:val="center" w:pos="4320"/>
        <w:tab w:val="right" w:pos="8640"/>
      </w:tabs>
    </w:pPr>
  </w:style>
  <w:style w:type="character" w:customStyle="1" w:styleId="FooterChar">
    <w:name w:val="Footer Char"/>
    <w:basedOn w:val="DefaultParagraphFont"/>
    <w:link w:val="Footer"/>
    <w:semiHidden/>
    <w:locked/>
    <w:rsid w:val="00B0180F"/>
    <w:rPr>
      <w:rFonts w:cs="Times New Roman"/>
      <w:sz w:val="20"/>
      <w:szCs w:val="20"/>
    </w:rPr>
  </w:style>
  <w:style w:type="character" w:styleId="PageNumber">
    <w:name w:val="page number"/>
    <w:basedOn w:val="DefaultParagraphFont"/>
    <w:semiHidden/>
    <w:rsid w:val="007347D7"/>
    <w:rPr>
      <w:rFonts w:cs="Times New Roman"/>
    </w:rPr>
  </w:style>
  <w:style w:type="paragraph" w:styleId="BlockText">
    <w:name w:val="Block Text"/>
    <w:basedOn w:val="Normal"/>
    <w:semiHidden/>
    <w:rsid w:val="007347D7"/>
    <w:pPr>
      <w:ind w:left="720" w:right="1080"/>
    </w:pPr>
    <w:rPr>
      <w:i/>
      <w:sz w:val="24"/>
    </w:rPr>
  </w:style>
  <w:style w:type="paragraph" w:styleId="BodyText">
    <w:name w:val="Body Text"/>
    <w:basedOn w:val="Normal"/>
    <w:link w:val="BodyTextChar"/>
    <w:semiHidden/>
    <w:rsid w:val="007347D7"/>
    <w:rPr>
      <w:sz w:val="24"/>
    </w:rPr>
  </w:style>
  <w:style w:type="character" w:customStyle="1" w:styleId="BodyTextChar">
    <w:name w:val="Body Text Char"/>
    <w:basedOn w:val="DefaultParagraphFont"/>
    <w:link w:val="BodyText"/>
    <w:semiHidden/>
    <w:locked/>
    <w:rsid w:val="00B0180F"/>
    <w:rPr>
      <w:rFonts w:cs="Times New Roman"/>
      <w:sz w:val="20"/>
      <w:szCs w:val="20"/>
    </w:rPr>
  </w:style>
  <w:style w:type="paragraph" w:styleId="BalloonText">
    <w:name w:val="Balloon Text"/>
    <w:basedOn w:val="Normal"/>
    <w:semiHidden/>
    <w:locked/>
    <w:rsid w:val="00A14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1</TotalTime>
  <Pages>8</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May 13, 1996</vt:lpstr>
    </vt:vector>
  </TitlesOfParts>
  <Company>Arvin School Management Assoc</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1996</dc:title>
  <dc:creator>Robert L. Arvin</dc:creator>
  <cp:lastModifiedBy>mmaples</cp:lastModifiedBy>
  <cp:revision>2</cp:revision>
  <cp:lastPrinted>2012-05-01T15:52:00Z</cp:lastPrinted>
  <dcterms:created xsi:type="dcterms:W3CDTF">2012-05-08T19:16:00Z</dcterms:created>
  <dcterms:modified xsi:type="dcterms:W3CDTF">2012-05-08T19:16:00Z</dcterms:modified>
</cp:coreProperties>
</file>