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CA" w:rsidRDefault="004E7C74" w:rsidP="00C913C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6752590</wp:posOffset>
                </wp:positionH>
                <wp:positionV relativeFrom="paragraph">
                  <wp:posOffset>-50800</wp:posOffset>
                </wp:positionV>
                <wp:extent cx="1622425" cy="419100"/>
                <wp:effectExtent l="8890" t="6350" r="698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19100"/>
                        </a:xfrm>
                        <a:prstGeom prst="rect">
                          <a:avLst/>
                        </a:prstGeom>
                        <a:solidFill>
                          <a:srgbClr val="FFFFFF"/>
                        </a:solidFill>
                        <a:ln w="9525">
                          <a:solidFill>
                            <a:srgbClr val="000000"/>
                          </a:solidFill>
                          <a:miter lim="800000"/>
                          <a:headEnd/>
                          <a:tailEnd/>
                        </a:ln>
                      </wps:spPr>
                      <wps:txbx>
                        <w:txbxContent>
                          <w:p w:rsidR="004E7C74" w:rsidRDefault="00C2079C">
                            <w:r>
                              <w:t>September</w:t>
                            </w:r>
                            <w:r w:rsidR="002B4ECF">
                              <w:t xml:space="preserve"> </w:t>
                            </w:r>
                            <w:r w:rsidR="004E7C74">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1.7pt;margin-top:-4pt;width:12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">
                <v:textbox>
                  <w:txbxContent>
                    <w:p w:rsidR="004E7C74" w:rsidRDefault="00C2079C">
                      <w:r>
                        <w:t>September</w:t>
                      </w:r>
                      <w:bookmarkStart w:id="1" w:name="_GoBack"/>
                      <w:bookmarkEnd w:id="1"/>
                      <w:r w:rsidR="002B4ECF">
                        <w:t xml:space="preserve"> </w:t>
                      </w:r>
                      <w:r w:rsidR="004E7C74">
                        <w:t>2011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-63500</wp:posOffset>
                </wp:positionV>
                <wp:extent cx="3275330" cy="330835"/>
                <wp:effectExtent l="0" t="0" r="228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30835"/>
                        </a:xfrm>
                        <a:prstGeom prst="rect">
                          <a:avLst/>
                        </a:prstGeom>
                        <a:solidFill>
                          <a:srgbClr val="FFFFFF"/>
                        </a:solidFill>
                        <a:ln w="9525">
                          <a:solidFill>
                            <a:srgbClr val="000000"/>
                          </a:solidFill>
                          <a:miter lim="800000"/>
                          <a:headEnd/>
                          <a:tailEnd/>
                        </a:ln>
                      </wps:spPr>
                      <wps:txbx>
                        <w:txbxContent>
                          <w:p w:rsidR="00C913CA" w:rsidRDefault="00C913CA" w:rsidP="00C913CA">
                            <w:r>
                              <w:t>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75pt;margin-top:-5pt;width:257.9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">
                <v:textbox>
                  <w:txbxContent>
                    <w:p w:rsidR="00C913CA" w:rsidRDefault="00C913CA" w:rsidP="00C913CA">
                      <w:r>
                        <w:t>ESS</w:t>
                      </w:r>
                    </w:p>
                  </w:txbxContent>
                </v:textbox>
              </v:shape>
            </w:pict>
          </mc:Fallback>
        </mc:AlternateContent>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913CA" w:rsidRPr="0069463C" w:rsidTr="009C1407">
        <w:tc>
          <w:tcPr>
            <w:tcW w:w="2988" w:type="dxa"/>
          </w:tcPr>
          <w:p w:rsidR="00C913CA" w:rsidRPr="0069463C" w:rsidRDefault="00C913CA" w:rsidP="009C1407">
            <w:pPr>
              <w:jc w:val="center"/>
              <w:rPr>
                <w:b/>
              </w:rPr>
            </w:pPr>
            <w:r w:rsidRPr="0069463C">
              <w:rPr>
                <w:b/>
              </w:rPr>
              <w:t>Strategy</w:t>
            </w:r>
          </w:p>
        </w:tc>
        <w:tc>
          <w:tcPr>
            <w:tcW w:w="2520" w:type="dxa"/>
          </w:tcPr>
          <w:p w:rsidR="00C913CA" w:rsidRPr="0069463C" w:rsidRDefault="00C913CA" w:rsidP="009C1407">
            <w:pPr>
              <w:jc w:val="center"/>
              <w:rPr>
                <w:b/>
              </w:rPr>
            </w:pPr>
          </w:p>
        </w:tc>
        <w:tc>
          <w:tcPr>
            <w:tcW w:w="1530" w:type="dxa"/>
          </w:tcPr>
          <w:p w:rsidR="00C913CA" w:rsidRPr="0069463C" w:rsidRDefault="00C913CA" w:rsidP="009C1407">
            <w:pPr>
              <w:jc w:val="center"/>
              <w:rPr>
                <w:b/>
              </w:rPr>
            </w:pPr>
            <w:r w:rsidRPr="0069463C">
              <w:rPr>
                <w:b/>
              </w:rPr>
              <w:t>Person Responsible</w:t>
            </w:r>
          </w:p>
        </w:tc>
        <w:tc>
          <w:tcPr>
            <w:tcW w:w="1350" w:type="dxa"/>
          </w:tcPr>
          <w:p w:rsidR="00C913CA" w:rsidRPr="0069463C" w:rsidRDefault="00C913CA" w:rsidP="009C1407">
            <w:pPr>
              <w:jc w:val="center"/>
              <w:rPr>
                <w:b/>
              </w:rPr>
            </w:pPr>
            <w:r w:rsidRPr="0069463C">
              <w:rPr>
                <w:b/>
              </w:rPr>
              <w:t>Dates</w:t>
            </w:r>
          </w:p>
        </w:tc>
        <w:tc>
          <w:tcPr>
            <w:tcW w:w="450" w:type="dxa"/>
          </w:tcPr>
          <w:p w:rsidR="00C913CA" w:rsidRPr="0069463C" w:rsidRDefault="00C913CA" w:rsidP="009C1407">
            <w:pPr>
              <w:jc w:val="center"/>
              <w:rPr>
                <w:b/>
              </w:rPr>
            </w:pPr>
            <w:r w:rsidRPr="0069463C">
              <w:rPr>
                <w:b/>
              </w:rPr>
              <w:t>I, IP NI</w:t>
            </w:r>
          </w:p>
        </w:tc>
        <w:tc>
          <w:tcPr>
            <w:tcW w:w="2430" w:type="dxa"/>
          </w:tcPr>
          <w:p w:rsidR="00C913CA" w:rsidRPr="0069463C" w:rsidRDefault="00C913CA" w:rsidP="009C1407">
            <w:pPr>
              <w:jc w:val="center"/>
              <w:rPr>
                <w:b/>
              </w:rPr>
            </w:pPr>
            <w:r w:rsidRPr="0069463C">
              <w:rPr>
                <w:b/>
              </w:rPr>
              <w:br/>
              <w:t>Outcomes/Report</w:t>
            </w:r>
          </w:p>
        </w:tc>
        <w:tc>
          <w:tcPr>
            <w:tcW w:w="1170" w:type="dxa"/>
          </w:tcPr>
          <w:p w:rsidR="00C913CA" w:rsidRPr="0069463C" w:rsidRDefault="00C913CA" w:rsidP="009C1407">
            <w:pPr>
              <w:jc w:val="center"/>
              <w:rPr>
                <w:b/>
              </w:rPr>
            </w:pPr>
            <w:r w:rsidRPr="0069463C">
              <w:rPr>
                <w:b/>
              </w:rPr>
              <w:t>Scores</w:t>
            </w:r>
          </w:p>
        </w:tc>
        <w:tc>
          <w:tcPr>
            <w:tcW w:w="990" w:type="dxa"/>
          </w:tcPr>
          <w:p w:rsidR="00C913CA" w:rsidRPr="0069463C" w:rsidRDefault="00C913CA" w:rsidP="009C1407">
            <w:pPr>
              <w:jc w:val="center"/>
              <w:rPr>
                <w:b/>
              </w:rPr>
            </w:pPr>
            <w:r w:rsidRPr="0069463C">
              <w:rPr>
                <w:b/>
              </w:rPr>
              <w:t>Dates of Review</w:t>
            </w:r>
          </w:p>
        </w:tc>
      </w:tr>
      <w:tr w:rsidR="00C913CA" w:rsidRPr="0069463C" w:rsidTr="00CF456A">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Utilize daytime waiver to provide additional support and instruction to students who are identified as needing ESS services.</w:t>
            </w:r>
            <w:bookmarkStart w:id="0" w:name="_GoBack"/>
            <w:bookmarkEnd w:id="0"/>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Student's classroom progress will be monitored weekly and student ESS goals will be monitored quarterly.  Daytime waiver teacher/instructional assistant will assist in identifying targeted students and working on a more individualized basis to increase student achievement and decrease achievement gaps.</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CF456A" w:rsidP="009C1407">
            <w:pPr>
              <w:jc w:val="center"/>
              <w:rPr>
                <w:color w:val="00B050"/>
              </w:rPr>
            </w:pPr>
            <w:r w:rsidRPr="004E7C74">
              <w:rPr>
                <w:color w:val="00B050"/>
              </w:rPr>
              <w:t>IP</w:t>
            </w:r>
          </w:p>
        </w:tc>
        <w:tc>
          <w:tcPr>
            <w:tcW w:w="2430" w:type="dxa"/>
          </w:tcPr>
          <w:p w:rsidR="00C913CA" w:rsidRDefault="00527B15" w:rsidP="00527B15">
            <w:pPr>
              <w:rPr>
                <w:color w:val="00B050"/>
              </w:rPr>
            </w:pPr>
            <w:r w:rsidRPr="004E7C74">
              <w:rPr>
                <w:color w:val="00B050"/>
              </w:rPr>
              <w:t xml:space="preserve">47 students were provided ESS services during daytime </w:t>
            </w:r>
          </w:p>
          <w:p w:rsidR="00C2079C" w:rsidRDefault="00C2079C" w:rsidP="00527B15">
            <w:pPr>
              <w:rPr>
                <w:color w:val="00B050"/>
              </w:rPr>
            </w:pPr>
          </w:p>
          <w:p w:rsidR="00C2079C" w:rsidRPr="004E7C74" w:rsidRDefault="00C2079C" w:rsidP="00527B15">
            <w:pPr>
              <w:rPr>
                <w:color w:val="00B050"/>
              </w:rPr>
            </w:pPr>
            <w:r>
              <w:rPr>
                <w:color w:val="00B050"/>
              </w:rPr>
              <w:t>LE – seeking to use daytime waiver to serve 20 students 2011-12</w:t>
            </w:r>
          </w:p>
        </w:tc>
        <w:tc>
          <w:tcPr>
            <w:tcW w:w="1170" w:type="dxa"/>
          </w:tcPr>
          <w:p w:rsidR="00C913CA" w:rsidRPr="004E7C74" w:rsidRDefault="00C913CA" w:rsidP="009C1407">
            <w:pPr>
              <w:jc w:val="center"/>
              <w:rPr>
                <w:b/>
                <w:color w:val="00B050"/>
              </w:rPr>
            </w:pPr>
          </w:p>
        </w:tc>
        <w:tc>
          <w:tcPr>
            <w:tcW w:w="990" w:type="dxa"/>
          </w:tcPr>
          <w:p w:rsidR="00C913CA" w:rsidRDefault="00C64D01" w:rsidP="008E54BE">
            <w:pPr>
              <w:jc w:val="center"/>
              <w:rPr>
                <w:color w:val="00B050"/>
              </w:rPr>
            </w:pPr>
            <w:r w:rsidRPr="004E7C74">
              <w:rPr>
                <w:color w:val="00B050"/>
              </w:rPr>
              <w:t>4-19</w:t>
            </w:r>
            <w:r w:rsidR="008E54BE" w:rsidRPr="004E7C74">
              <w:rPr>
                <w:color w:val="00B050"/>
              </w:rPr>
              <w:t>-11</w:t>
            </w:r>
          </w:p>
          <w:p w:rsidR="00C2079C" w:rsidRDefault="00C2079C" w:rsidP="008E54BE">
            <w:pPr>
              <w:jc w:val="center"/>
              <w:rPr>
                <w:color w:val="00B050"/>
              </w:rPr>
            </w:pPr>
          </w:p>
          <w:p w:rsidR="00C2079C" w:rsidRDefault="00C2079C" w:rsidP="008E54BE">
            <w:pPr>
              <w:jc w:val="center"/>
              <w:rPr>
                <w:color w:val="00B050"/>
              </w:rPr>
            </w:pPr>
          </w:p>
          <w:p w:rsidR="00C2079C" w:rsidRDefault="00C2079C" w:rsidP="008E54BE">
            <w:pPr>
              <w:jc w:val="center"/>
              <w:rPr>
                <w:color w:val="00B050"/>
              </w:rPr>
            </w:pPr>
          </w:p>
          <w:p w:rsidR="00C2079C" w:rsidRPr="004E7C74" w:rsidRDefault="00C2079C" w:rsidP="008E54BE">
            <w:pPr>
              <w:jc w:val="center"/>
              <w:rPr>
                <w:color w:val="00B050"/>
              </w:rPr>
            </w:pPr>
            <w:r>
              <w:rPr>
                <w:color w:val="00B050"/>
              </w:rPr>
              <w:t>9/1/11</w:t>
            </w:r>
          </w:p>
        </w:tc>
      </w:tr>
      <w:tr w:rsidR="00C913CA" w:rsidRPr="0069463C" w:rsidTr="008E54BE">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 xml:space="preserve">School will continue to utilize before- and after-school tutoring </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Student's classroom progress will be monitored weekly and student ESS goals will be monitored quarterly.  Before school/after school teacher/instructional assistant will assist in identifying targeted students and working on a more individualized basis to increase student achievement and decrease achievement gaps.</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CF456A" w:rsidP="009C1407">
            <w:pPr>
              <w:jc w:val="center"/>
              <w:rPr>
                <w:color w:val="00B050"/>
              </w:rPr>
            </w:pPr>
            <w:r w:rsidRPr="004E7C74">
              <w:rPr>
                <w:color w:val="00B050"/>
              </w:rPr>
              <w:t>IP</w:t>
            </w:r>
          </w:p>
        </w:tc>
        <w:tc>
          <w:tcPr>
            <w:tcW w:w="2430" w:type="dxa"/>
          </w:tcPr>
          <w:p w:rsidR="00C913CA" w:rsidRDefault="00527B15" w:rsidP="008E54BE">
            <w:pPr>
              <w:rPr>
                <w:color w:val="00B050"/>
              </w:rPr>
            </w:pPr>
            <w:r w:rsidRPr="004E7C74">
              <w:rPr>
                <w:color w:val="00B050"/>
              </w:rPr>
              <w:t>19 students were provided ESS services before school</w:t>
            </w:r>
          </w:p>
          <w:p w:rsidR="00C2079C" w:rsidRDefault="00C2079C" w:rsidP="008E54BE">
            <w:pPr>
              <w:rPr>
                <w:color w:val="00B050"/>
              </w:rPr>
            </w:pPr>
          </w:p>
          <w:p w:rsidR="00C2079C" w:rsidRDefault="00C2079C" w:rsidP="008E54BE">
            <w:pPr>
              <w:rPr>
                <w:color w:val="00B050"/>
              </w:rPr>
            </w:pPr>
            <w:r>
              <w:rPr>
                <w:color w:val="00B050"/>
              </w:rPr>
              <w:t>LE- 24 Student’s receive after school tutoring twice a week with a parent in bilingual setting</w:t>
            </w:r>
          </w:p>
          <w:p w:rsidR="00C2079C" w:rsidRDefault="00C2079C" w:rsidP="008E54BE">
            <w:pPr>
              <w:rPr>
                <w:color w:val="00B050"/>
              </w:rPr>
            </w:pPr>
          </w:p>
          <w:p w:rsidR="00C2079C" w:rsidRPr="004E7C74" w:rsidRDefault="00C2079C" w:rsidP="008E54BE">
            <w:pPr>
              <w:rPr>
                <w:color w:val="00B050"/>
              </w:rPr>
            </w:pPr>
            <w:r>
              <w:rPr>
                <w:color w:val="00B050"/>
              </w:rPr>
              <w:t>UE 29 student’s receive twice weekly bilingual tutoring</w:t>
            </w:r>
          </w:p>
        </w:tc>
        <w:tc>
          <w:tcPr>
            <w:tcW w:w="1170" w:type="dxa"/>
          </w:tcPr>
          <w:p w:rsidR="00C913CA" w:rsidRPr="004E7C74" w:rsidRDefault="00C913CA" w:rsidP="009C1407">
            <w:pPr>
              <w:jc w:val="center"/>
              <w:rPr>
                <w:b/>
                <w:color w:val="00B050"/>
              </w:rPr>
            </w:pPr>
          </w:p>
        </w:tc>
        <w:tc>
          <w:tcPr>
            <w:tcW w:w="990" w:type="dxa"/>
          </w:tcPr>
          <w:p w:rsidR="00C913CA" w:rsidRDefault="00C64D01" w:rsidP="008E54BE">
            <w:pPr>
              <w:jc w:val="center"/>
              <w:rPr>
                <w:color w:val="00B050"/>
              </w:rPr>
            </w:pPr>
            <w:r w:rsidRPr="004E7C74">
              <w:rPr>
                <w:color w:val="00B050"/>
              </w:rPr>
              <w:t>4-19</w:t>
            </w:r>
            <w:r w:rsidR="008E54BE" w:rsidRPr="004E7C74">
              <w:rPr>
                <w:color w:val="00B050"/>
              </w:rPr>
              <w:t>-11</w:t>
            </w:r>
          </w:p>
          <w:p w:rsidR="00C2079C" w:rsidRDefault="00C2079C" w:rsidP="008E54BE">
            <w:pPr>
              <w:jc w:val="center"/>
              <w:rPr>
                <w:color w:val="00B050"/>
              </w:rPr>
            </w:pPr>
          </w:p>
          <w:p w:rsidR="00C2079C" w:rsidRDefault="00C2079C" w:rsidP="008E54BE">
            <w:pPr>
              <w:jc w:val="center"/>
              <w:rPr>
                <w:color w:val="00B050"/>
              </w:rPr>
            </w:pPr>
          </w:p>
          <w:p w:rsidR="00C2079C" w:rsidRDefault="00C2079C" w:rsidP="008E54BE">
            <w:pPr>
              <w:jc w:val="center"/>
              <w:rPr>
                <w:color w:val="00B050"/>
              </w:rPr>
            </w:pPr>
          </w:p>
          <w:p w:rsidR="00C2079C" w:rsidRDefault="00C2079C" w:rsidP="008E54BE">
            <w:pPr>
              <w:jc w:val="center"/>
              <w:rPr>
                <w:color w:val="00B050"/>
              </w:rPr>
            </w:pPr>
            <w:r>
              <w:rPr>
                <w:color w:val="00B050"/>
              </w:rPr>
              <w:t>9/1/11</w:t>
            </w:r>
          </w:p>
          <w:p w:rsidR="00C2079C" w:rsidRDefault="00C2079C" w:rsidP="008E54BE">
            <w:pPr>
              <w:jc w:val="center"/>
              <w:rPr>
                <w:color w:val="00B050"/>
              </w:rPr>
            </w:pPr>
          </w:p>
          <w:p w:rsidR="00C2079C" w:rsidRDefault="00C2079C" w:rsidP="008E54BE">
            <w:pPr>
              <w:jc w:val="center"/>
              <w:rPr>
                <w:color w:val="00B050"/>
              </w:rPr>
            </w:pPr>
          </w:p>
          <w:p w:rsidR="00C2079C" w:rsidRDefault="00C2079C" w:rsidP="008E54BE">
            <w:pPr>
              <w:jc w:val="center"/>
              <w:rPr>
                <w:color w:val="00B050"/>
              </w:rPr>
            </w:pPr>
          </w:p>
          <w:p w:rsidR="00C2079C" w:rsidRDefault="00C2079C" w:rsidP="008E54BE">
            <w:pPr>
              <w:jc w:val="center"/>
              <w:rPr>
                <w:color w:val="00B050"/>
              </w:rPr>
            </w:pPr>
          </w:p>
          <w:p w:rsidR="00C2079C" w:rsidRDefault="00C2079C" w:rsidP="008E54BE">
            <w:pPr>
              <w:jc w:val="center"/>
              <w:rPr>
                <w:color w:val="00B050"/>
              </w:rPr>
            </w:pPr>
          </w:p>
          <w:p w:rsidR="00C2079C" w:rsidRPr="004E7C74" w:rsidRDefault="00C2079C" w:rsidP="008E54BE">
            <w:pPr>
              <w:jc w:val="center"/>
              <w:rPr>
                <w:color w:val="00B050"/>
              </w:rPr>
            </w:pPr>
            <w:r>
              <w:rPr>
                <w:color w:val="00B050"/>
              </w:rPr>
              <w:t>9/1/11</w:t>
            </w:r>
          </w:p>
        </w:tc>
      </w:tr>
    </w:tbl>
    <w:p w:rsidR="00F044C1" w:rsidRDefault="00F044C1">
      <w:r>
        <w:br w:type="page"/>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913CA" w:rsidRPr="0069463C" w:rsidTr="0069744C">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lastRenderedPageBreak/>
              <w:t>ESS will be monitored for effectiveness by the ESS coordinator.  The ESS coordinator will meet with principals of each building every other month to adjust or develop new plans to ensure the effectiveness of ESS</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The student's progress will be monitored weekly and targeted student lists will be modified as indicated by student achievement.</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8E54BE" w:rsidP="009C1407">
            <w:pPr>
              <w:jc w:val="center"/>
              <w:rPr>
                <w:color w:val="00B050"/>
              </w:rPr>
            </w:pPr>
            <w:r w:rsidRPr="004E7C74">
              <w:rPr>
                <w:color w:val="00B050"/>
              </w:rPr>
              <w:t>IP</w:t>
            </w:r>
          </w:p>
        </w:tc>
        <w:tc>
          <w:tcPr>
            <w:tcW w:w="2430" w:type="dxa"/>
          </w:tcPr>
          <w:p w:rsidR="00C913CA" w:rsidRPr="004E7C74" w:rsidRDefault="00C2079C" w:rsidP="0069744C">
            <w:pPr>
              <w:rPr>
                <w:color w:val="00B050"/>
              </w:rPr>
            </w:pPr>
            <w:r>
              <w:rPr>
                <w:color w:val="00B050"/>
              </w:rPr>
              <w:t>LE - Ongoing</w:t>
            </w:r>
          </w:p>
        </w:tc>
        <w:tc>
          <w:tcPr>
            <w:tcW w:w="1170" w:type="dxa"/>
          </w:tcPr>
          <w:p w:rsidR="00C913CA" w:rsidRPr="004E7C74" w:rsidRDefault="00C913CA" w:rsidP="009C1407">
            <w:pPr>
              <w:jc w:val="center"/>
              <w:rPr>
                <w:b/>
                <w:color w:val="00B050"/>
              </w:rPr>
            </w:pPr>
          </w:p>
        </w:tc>
        <w:tc>
          <w:tcPr>
            <w:tcW w:w="990" w:type="dxa"/>
          </w:tcPr>
          <w:p w:rsidR="00C913CA" w:rsidRPr="004E7C74" w:rsidRDefault="00C2079C" w:rsidP="009C1407">
            <w:pPr>
              <w:jc w:val="center"/>
              <w:rPr>
                <w:color w:val="00B050"/>
              </w:rPr>
            </w:pPr>
            <w:r>
              <w:rPr>
                <w:color w:val="00B050"/>
              </w:rPr>
              <w:t>9/1/11</w:t>
            </w:r>
          </w:p>
        </w:tc>
      </w:tr>
      <w:tr w:rsidR="00C913CA" w:rsidRPr="0069463C" w:rsidTr="0069744C">
        <w:tc>
          <w:tcPr>
            <w:tcW w:w="2988"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 xml:space="preserve">RTI research-based programs will be used in support of ESS </w:t>
            </w:r>
          </w:p>
        </w:tc>
        <w:tc>
          <w:tcPr>
            <w:tcW w:w="252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Students will show a better understanding of math and reading based on classroom progress and have fewer failing grades</w:t>
            </w:r>
          </w:p>
        </w:tc>
        <w:tc>
          <w:tcPr>
            <w:tcW w:w="153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Deb Foltz</w:t>
            </w:r>
          </w:p>
        </w:tc>
        <w:tc>
          <w:tcPr>
            <w:tcW w:w="1350" w:type="dxa"/>
          </w:tcPr>
          <w:p w:rsidR="00C913CA" w:rsidRPr="004E7C74" w:rsidRDefault="00C913CA" w:rsidP="009C1407">
            <w:pPr>
              <w:rPr>
                <w:rFonts w:ascii="Arial" w:hAnsi="Arial" w:cs="Arial"/>
                <w:color w:val="00B050"/>
                <w:sz w:val="20"/>
                <w:szCs w:val="20"/>
              </w:rPr>
            </w:pPr>
            <w:r w:rsidRPr="004E7C74">
              <w:rPr>
                <w:rFonts w:ascii="Arial" w:hAnsi="Arial" w:cs="Arial"/>
                <w:color w:val="00B050"/>
                <w:sz w:val="20"/>
                <w:szCs w:val="20"/>
              </w:rPr>
              <w:t>9/1/2010-6/30/2011</w:t>
            </w:r>
          </w:p>
        </w:tc>
        <w:tc>
          <w:tcPr>
            <w:tcW w:w="450" w:type="dxa"/>
          </w:tcPr>
          <w:p w:rsidR="00C913CA" w:rsidRPr="004E7C74" w:rsidRDefault="008E54BE" w:rsidP="009C1407">
            <w:pPr>
              <w:jc w:val="center"/>
              <w:rPr>
                <w:color w:val="00B050"/>
              </w:rPr>
            </w:pPr>
            <w:r w:rsidRPr="004E7C74">
              <w:rPr>
                <w:color w:val="00B050"/>
              </w:rPr>
              <w:t>IP</w:t>
            </w:r>
          </w:p>
        </w:tc>
        <w:tc>
          <w:tcPr>
            <w:tcW w:w="2430" w:type="dxa"/>
          </w:tcPr>
          <w:p w:rsidR="00C913CA" w:rsidRPr="004E7C74" w:rsidRDefault="00527B15" w:rsidP="0069744C">
            <w:pPr>
              <w:rPr>
                <w:color w:val="00B050"/>
              </w:rPr>
            </w:pPr>
            <w:r w:rsidRPr="004E7C74">
              <w:rPr>
                <w:color w:val="00B050"/>
              </w:rPr>
              <w:t>93% of students serviced improved academic achievement</w:t>
            </w:r>
          </w:p>
          <w:p w:rsidR="00527B15" w:rsidRDefault="00527B15" w:rsidP="0069744C">
            <w:pPr>
              <w:rPr>
                <w:color w:val="00B050"/>
              </w:rPr>
            </w:pPr>
            <w:r w:rsidRPr="004E7C74">
              <w:rPr>
                <w:color w:val="00B050"/>
              </w:rPr>
              <w:t>7% of students serviced sustained academic achievement</w:t>
            </w:r>
          </w:p>
          <w:p w:rsidR="00C2079C" w:rsidRDefault="00C2079C" w:rsidP="0069744C">
            <w:pPr>
              <w:rPr>
                <w:color w:val="00B050"/>
              </w:rPr>
            </w:pPr>
          </w:p>
          <w:p w:rsidR="00C2079C" w:rsidRPr="004E7C74" w:rsidRDefault="00C2079C" w:rsidP="0069744C">
            <w:pPr>
              <w:rPr>
                <w:color w:val="00B050"/>
              </w:rPr>
            </w:pPr>
            <w:r>
              <w:rPr>
                <w:color w:val="00B050"/>
              </w:rPr>
              <w:t>KLE – ESS is and element of RTI Strategies</w:t>
            </w:r>
          </w:p>
        </w:tc>
        <w:tc>
          <w:tcPr>
            <w:tcW w:w="1170" w:type="dxa"/>
          </w:tcPr>
          <w:p w:rsidR="00C913CA" w:rsidRPr="004E7C74" w:rsidRDefault="00C913CA" w:rsidP="009C1407">
            <w:pPr>
              <w:jc w:val="center"/>
              <w:rPr>
                <w:b/>
                <w:color w:val="00B050"/>
              </w:rPr>
            </w:pPr>
          </w:p>
        </w:tc>
        <w:tc>
          <w:tcPr>
            <w:tcW w:w="990" w:type="dxa"/>
          </w:tcPr>
          <w:p w:rsidR="00C913CA" w:rsidRDefault="00C64D01" w:rsidP="009C1407">
            <w:pPr>
              <w:jc w:val="center"/>
              <w:rPr>
                <w:color w:val="00B050"/>
              </w:rPr>
            </w:pPr>
            <w:r w:rsidRPr="004E7C74">
              <w:rPr>
                <w:color w:val="00B050"/>
              </w:rPr>
              <w:t>4-19</w:t>
            </w:r>
            <w:r w:rsidR="008E54BE" w:rsidRPr="004E7C74">
              <w:rPr>
                <w:color w:val="00B050"/>
              </w:rPr>
              <w:t>-11</w:t>
            </w:r>
          </w:p>
          <w:p w:rsidR="00C2079C" w:rsidRDefault="00C2079C" w:rsidP="009C1407">
            <w:pPr>
              <w:jc w:val="center"/>
              <w:rPr>
                <w:color w:val="00B050"/>
              </w:rPr>
            </w:pPr>
          </w:p>
          <w:p w:rsidR="00C2079C" w:rsidRDefault="00C2079C" w:rsidP="009C1407">
            <w:pPr>
              <w:jc w:val="center"/>
              <w:rPr>
                <w:color w:val="00B050"/>
              </w:rPr>
            </w:pPr>
          </w:p>
          <w:p w:rsidR="00C2079C" w:rsidRDefault="00C2079C" w:rsidP="009C1407">
            <w:pPr>
              <w:jc w:val="center"/>
              <w:rPr>
                <w:color w:val="00B050"/>
              </w:rPr>
            </w:pPr>
          </w:p>
          <w:p w:rsidR="00C2079C" w:rsidRDefault="00C2079C" w:rsidP="009C1407">
            <w:pPr>
              <w:jc w:val="center"/>
              <w:rPr>
                <w:color w:val="00B050"/>
              </w:rPr>
            </w:pPr>
          </w:p>
          <w:p w:rsidR="00C2079C" w:rsidRDefault="00C2079C" w:rsidP="009C1407">
            <w:pPr>
              <w:jc w:val="center"/>
              <w:rPr>
                <w:color w:val="00B050"/>
              </w:rPr>
            </w:pPr>
          </w:p>
          <w:p w:rsidR="00C2079C" w:rsidRDefault="00C2079C" w:rsidP="009C1407">
            <w:pPr>
              <w:jc w:val="center"/>
              <w:rPr>
                <w:color w:val="00B050"/>
              </w:rPr>
            </w:pPr>
          </w:p>
          <w:p w:rsidR="00C2079C" w:rsidRPr="004E7C74" w:rsidRDefault="00C2079C" w:rsidP="009C1407">
            <w:pPr>
              <w:jc w:val="center"/>
              <w:rPr>
                <w:color w:val="00B050"/>
              </w:rPr>
            </w:pPr>
            <w:r>
              <w:rPr>
                <w:color w:val="00B050"/>
              </w:rPr>
              <w:t>9/1/11</w:t>
            </w:r>
          </w:p>
        </w:tc>
      </w:tr>
    </w:tbl>
    <w:p w:rsidR="00657F94" w:rsidRDefault="00657F94"/>
    <w:sectPr w:rsidR="00657F94" w:rsidSect="00C913C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B6" w:rsidRDefault="002E38B6" w:rsidP="00A61294">
      <w:pPr>
        <w:spacing w:after="0" w:line="240" w:lineRule="auto"/>
      </w:pPr>
      <w:r>
        <w:separator/>
      </w:r>
    </w:p>
  </w:endnote>
  <w:endnote w:type="continuationSeparator" w:id="0">
    <w:p w:rsidR="002E38B6" w:rsidRDefault="002E38B6" w:rsidP="00A6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94" w:rsidRDefault="00ED4BDE" w:rsidP="00A61294">
    <w:pPr>
      <w:pStyle w:val="Footer"/>
      <w:jc w:val="right"/>
    </w:pPr>
    <w:r>
      <w:t>4/19/11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B6" w:rsidRDefault="002E38B6" w:rsidP="00A61294">
      <w:pPr>
        <w:spacing w:after="0" w:line="240" w:lineRule="auto"/>
      </w:pPr>
      <w:r>
        <w:separator/>
      </w:r>
    </w:p>
  </w:footnote>
  <w:footnote w:type="continuationSeparator" w:id="0">
    <w:p w:rsidR="002E38B6" w:rsidRDefault="002E38B6" w:rsidP="00A6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DE" w:rsidRDefault="00ED4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CA"/>
    <w:rsid w:val="002878EA"/>
    <w:rsid w:val="002B4ECF"/>
    <w:rsid w:val="002E38B6"/>
    <w:rsid w:val="00482936"/>
    <w:rsid w:val="004D765D"/>
    <w:rsid w:val="004E7C74"/>
    <w:rsid w:val="00527B15"/>
    <w:rsid w:val="005A007B"/>
    <w:rsid w:val="00657F94"/>
    <w:rsid w:val="0069744C"/>
    <w:rsid w:val="00781D89"/>
    <w:rsid w:val="00823C26"/>
    <w:rsid w:val="008302D5"/>
    <w:rsid w:val="008E54BE"/>
    <w:rsid w:val="009071E7"/>
    <w:rsid w:val="00A61294"/>
    <w:rsid w:val="00C2079C"/>
    <w:rsid w:val="00C64D01"/>
    <w:rsid w:val="00C913CA"/>
    <w:rsid w:val="00CF456A"/>
    <w:rsid w:val="00D75D10"/>
    <w:rsid w:val="00E949C9"/>
    <w:rsid w:val="00ED4BDE"/>
    <w:rsid w:val="00F0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294"/>
  </w:style>
  <w:style w:type="paragraph" w:styleId="Footer">
    <w:name w:val="footer"/>
    <w:basedOn w:val="Normal"/>
    <w:link w:val="FooterChar"/>
    <w:uiPriority w:val="99"/>
    <w:semiHidden/>
    <w:unhideWhenUsed/>
    <w:rsid w:val="00A61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294"/>
  </w:style>
  <w:style w:type="paragraph" w:styleId="BalloonText">
    <w:name w:val="Balloon Text"/>
    <w:basedOn w:val="Normal"/>
    <w:link w:val="BalloonTextChar"/>
    <w:uiPriority w:val="99"/>
    <w:semiHidden/>
    <w:unhideWhenUsed/>
    <w:rsid w:val="00C6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1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294"/>
  </w:style>
  <w:style w:type="paragraph" w:styleId="Footer">
    <w:name w:val="footer"/>
    <w:basedOn w:val="Normal"/>
    <w:link w:val="FooterChar"/>
    <w:uiPriority w:val="99"/>
    <w:semiHidden/>
    <w:unhideWhenUsed/>
    <w:rsid w:val="00A612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294"/>
  </w:style>
  <w:style w:type="paragraph" w:styleId="BalloonText">
    <w:name w:val="Balloon Text"/>
    <w:basedOn w:val="Normal"/>
    <w:link w:val="BalloonTextChar"/>
    <w:uiPriority w:val="99"/>
    <w:semiHidden/>
    <w:unhideWhenUsed/>
    <w:rsid w:val="00C6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rcarpenter</cp:lastModifiedBy>
  <cp:revision>2</cp:revision>
  <cp:lastPrinted>2011-09-06T17:39:00Z</cp:lastPrinted>
  <dcterms:created xsi:type="dcterms:W3CDTF">2011-09-06T17:39:00Z</dcterms:created>
  <dcterms:modified xsi:type="dcterms:W3CDTF">2011-09-06T17:39:00Z</dcterms:modified>
</cp:coreProperties>
</file>