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Board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8/29/2023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NKEMS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AEDs and Supplies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time purchase with 7-year warranty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Strategic Plan Goal 4E: Boone County Schools will provide safe, clean, learner ready facilities; 2: Utilize safety walkthrough, both formal and informal, to determine training and resources for staff as related to school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The purchase of the automated external defibrillators (AEDs) will ensure that schools have at least two portable AEDs available for cardiac emergency response. S</w:t>
      </w:r>
      <w:r w:rsidDel="00000000" w:rsidR="00000000" w:rsidRPr="00000000">
        <w:rPr>
          <w:color w:val="040c28"/>
          <w:highlight w:val="white"/>
          <w:rtl w:val="0"/>
        </w:rPr>
        <w:t xml:space="preserve">udden cardiac arrest</w:t>
      </w:r>
      <w:r w:rsidDel="00000000" w:rsidR="00000000" w:rsidRPr="00000000">
        <w:rPr>
          <w:color w:val="202124"/>
          <w:highlight w:val="white"/>
          <w:rtl w:val="0"/>
        </w:rPr>
        <w:t xml:space="preserve"> is the leading cause of death in the U.S., and a chance of survival decreases by 10% every minute defibrillation is delayed. A person's chance of survival is 85% if an AED is used within three minutes of a collapse. Staff and student health and safety is a priority. Covid can exacerbate underlying health symptoms which makes this purchase appropriate for ESSER funds. This purchase also aligns to Board Policy 05.4 (Safety).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$46,500.00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*If more than one funding source, list below along with amount or percent for each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that the board approve this memorandum of agreement as presented.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Jim Detwiler, Deputy Superintendent/CAO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(submitter)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Kathy Reutman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 of Student Services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1008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Board Memo V4.0 KE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Ms. Karen Byrd, Board Chair </w:t>
      <w:tab/>
      <w:tab/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Mr. Jesse Parks, Vice Chair     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Dr. Maria Brown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Carolyn Wolfe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80" w:right="0" w:hanging="360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f191e"/>
        <w:sz w:val="20"/>
        <w:szCs w:val="20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character" w:styleId="hgkelc" w:customStyle="1">
    <w:name w:val="hgkelc"/>
    <w:basedOn w:val="DefaultParagraphFont"/>
    <w:rsid w:val="003828C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zj9tRGsyrfl2PH7MqGP5oTVNA==">CgMxLjA4AHIhMVBzTE0tVWFhel9LV2tMUlA2YlgwS0d3U1pVUjNzbE8y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2023-08-30T11:59:00Z</dcterms:created>
  <dc:creator>Staff</dc:creator>
</cp:coreProperties>
</file>