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BENEFITS SPECIALIST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CHIEF FINANCIAL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7665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Bachelor’s Degree in Business, Human Resources, or a related area preferred.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Two years of bookkeeping, payroll, or human resources experience. 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Responsible for the implementation and maintenance of the employee benefits program; coordinate enrollment in employee benefits; counsel employees as to benefits and options; and maintain appropriate records.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Act as a subject matter expert on all District benefit plans including; Board-paid benefits, State-paid benefits, and voluntary benefit plans.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Stay abreast of statutes, regulations, rules, and district policies pertaining to employee benefits.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implementation of the retirement benefit compensation program, including preparation, processing and maintenance of appropriate applications, reports, and records.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the annual renewal and open enrollment processes, including the development and communication of educational materials, meetings, and set-up and management of the electronic open enrollment system.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Supervise the distribution of employee benefits information and assist employees and applicants with processing enrollments and forms for various benefits.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closely with vendors to insure employees are taking advantage of their benefits plans.  Assist in the coordination of employee wellness plans.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Analyze employee separations and terminations and prepare documentation and information for unemployment hearings; attend hearings as required.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Organize and attend benefit workshops and seminars to increase current knowledge.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Compute annual vacation and sick leave allowances; Communicate with District personnel regarding insurance coverage and leave time.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employee attendance records; verify and input individual sick leave and vacation allowances and usage; distribute related lists and notices as needed.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compliance with the Affordable Care Act including tracking hours and eligibility and distribution of annual form 1095-C and 1094 transmission.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Achieve financial objectives by reconciling benefit accounts and billing statements.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and implement Student Accident policies and practices across the District.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the implementation of Workers’ Compensation procedures across the District.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HIPAA, COBRA, ADA, ACA, FMLA, and other applicable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MUNIS, TalentEd, Veritime, and Aesop.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Strong organizational skills and proven ability to communicate effectively orally and in writing.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High detail orientation; self-directed and self-motivated; able to work in a fast paced environment.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Skills in problem solving and decision making.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