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22" w:rsidRPr="00393353" w:rsidRDefault="00D97922" w:rsidP="00D97922">
      <w:pPr>
        <w:pStyle w:val="NoSpacing"/>
        <w:jc w:val="center"/>
        <w:rPr>
          <w:rFonts w:ascii="Times New Roman" w:hAnsi="Times New Roman" w:cs="Times New Roman"/>
          <w:sz w:val="24"/>
          <w:szCs w:val="24"/>
        </w:rPr>
      </w:pPr>
      <w:bookmarkStart w:id="0" w:name="_GoBack"/>
      <w:bookmarkEnd w:id="0"/>
      <w:r w:rsidRPr="00393353">
        <w:rPr>
          <w:rFonts w:ascii="Times New Roman" w:hAnsi="Times New Roman" w:cs="Times New Roman"/>
          <w:sz w:val="24"/>
          <w:szCs w:val="24"/>
        </w:rPr>
        <w:t>Contract for Services</w:t>
      </w:r>
    </w:p>
    <w:p w:rsidR="001630AD" w:rsidRDefault="001630AD" w:rsidP="00D97922">
      <w:pPr>
        <w:pStyle w:val="NoSpacing"/>
        <w:rPr>
          <w:rFonts w:ascii="Times New Roman" w:hAnsi="Times New Roman" w:cs="Times New Roman"/>
          <w:sz w:val="24"/>
          <w:szCs w:val="24"/>
        </w:rPr>
      </w:pPr>
    </w:p>
    <w:p w:rsidR="00D97922" w:rsidRPr="00393353" w:rsidRDefault="009A71B3" w:rsidP="00D97922">
      <w:pPr>
        <w:pStyle w:val="NoSpacing"/>
        <w:rPr>
          <w:rFonts w:ascii="Times New Roman" w:hAnsi="Times New Roman" w:cs="Times New Roman"/>
          <w:sz w:val="24"/>
          <w:szCs w:val="24"/>
        </w:rPr>
      </w:pPr>
      <w:r>
        <w:rPr>
          <w:rFonts w:ascii="Times New Roman" w:hAnsi="Times New Roman" w:cs="Times New Roman"/>
          <w:sz w:val="24"/>
          <w:szCs w:val="24"/>
        </w:rPr>
        <w:t>Spencer</w:t>
      </w:r>
      <w:r w:rsidR="00D97922" w:rsidRPr="00393353">
        <w:rPr>
          <w:rFonts w:ascii="Times New Roman" w:hAnsi="Times New Roman" w:cs="Times New Roman"/>
          <w:sz w:val="24"/>
          <w:szCs w:val="24"/>
        </w:rPr>
        <w:t xml:space="preserve"> County Schools</w:t>
      </w:r>
      <w:r w:rsidR="001630AD">
        <w:rPr>
          <w:rFonts w:ascii="Times New Roman" w:hAnsi="Times New Roman" w:cs="Times New Roman"/>
          <w:sz w:val="24"/>
          <w:szCs w:val="24"/>
        </w:rPr>
        <w:t xml:space="preserve">; </w:t>
      </w:r>
      <w:r>
        <w:rPr>
          <w:rFonts w:ascii="Times New Roman" w:hAnsi="Times New Roman" w:cs="Times New Roman"/>
          <w:sz w:val="24"/>
          <w:szCs w:val="24"/>
        </w:rPr>
        <w:t>Taylorsville</w:t>
      </w:r>
      <w:r w:rsidR="00D97922">
        <w:rPr>
          <w:rFonts w:ascii="Times New Roman" w:hAnsi="Times New Roman" w:cs="Times New Roman"/>
          <w:sz w:val="24"/>
          <w:szCs w:val="24"/>
        </w:rPr>
        <w:t>, KY</w:t>
      </w:r>
    </w:p>
    <w:p w:rsidR="00D97922" w:rsidRPr="00393353" w:rsidRDefault="00D97922" w:rsidP="00D97922">
      <w:pPr>
        <w:pStyle w:val="NoSpacing"/>
        <w:rPr>
          <w:rFonts w:ascii="Times New Roman" w:hAnsi="Times New Roman" w:cs="Times New Roman"/>
          <w:sz w:val="24"/>
          <w:szCs w:val="24"/>
        </w:rPr>
      </w:pPr>
    </w:p>
    <w:p w:rsidR="00D97922" w:rsidRPr="00393353" w:rsidRDefault="00D97922" w:rsidP="00D97922">
      <w:pPr>
        <w:pStyle w:val="NoSpacing"/>
        <w:rPr>
          <w:rFonts w:ascii="Times New Roman" w:hAnsi="Times New Roman" w:cs="Times New Roman"/>
          <w:sz w:val="24"/>
          <w:szCs w:val="24"/>
        </w:rPr>
      </w:pPr>
      <w:r w:rsidRPr="00393353">
        <w:rPr>
          <w:rFonts w:ascii="Times New Roman" w:hAnsi="Times New Roman" w:cs="Times New Roman"/>
          <w:sz w:val="24"/>
          <w:szCs w:val="24"/>
        </w:rPr>
        <w:t>Dr. Robert Thomas</w:t>
      </w:r>
      <w:r w:rsidR="001630AD">
        <w:rPr>
          <w:rFonts w:ascii="Times New Roman" w:hAnsi="Times New Roman" w:cs="Times New Roman"/>
          <w:sz w:val="24"/>
          <w:szCs w:val="24"/>
        </w:rPr>
        <w:t>; Lexington, KY; Richmond, KY</w:t>
      </w:r>
    </w:p>
    <w:p w:rsidR="00D97922" w:rsidRDefault="00D97922" w:rsidP="00D97922">
      <w:pPr>
        <w:pStyle w:val="NoSpacing"/>
        <w:rPr>
          <w:rFonts w:ascii="Times New Roman" w:hAnsi="Times New Roman" w:cs="Times New Roman"/>
          <w:sz w:val="24"/>
          <w:szCs w:val="24"/>
        </w:rPr>
      </w:pPr>
    </w:p>
    <w:p w:rsidR="00D97922" w:rsidRDefault="00D97922" w:rsidP="00D97922">
      <w:pPr>
        <w:pStyle w:val="NoSpacing"/>
        <w:rPr>
          <w:rFonts w:ascii="Times New Roman" w:hAnsi="Times New Roman" w:cs="Times New Roman"/>
          <w:sz w:val="24"/>
          <w:szCs w:val="24"/>
        </w:rPr>
      </w:pPr>
      <w:r w:rsidRPr="00393353">
        <w:rPr>
          <w:rFonts w:ascii="Times New Roman" w:hAnsi="Times New Roman" w:cs="Times New Roman"/>
          <w:sz w:val="24"/>
          <w:szCs w:val="24"/>
        </w:rPr>
        <w:t>Fiscal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KVEC – Kentucky Valley Education Cooperative</w:t>
      </w:r>
    </w:p>
    <w:p w:rsidR="00D97922" w:rsidRDefault="00D97922" w:rsidP="00D97922">
      <w:pPr>
        <w:pStyle w:val="NoSpacing"/>
        <w:ind w:left="2160" w:firstLine="720"/>
        <w:rPr>
          <w:rFonts w:ascii="Times New Roman" w:hAnsi="Times New Roman" w:cs="Times New Roman"/>
          <w:sz w:val="24"/>
          <w:szCs w:val="24"/>
        </w:rPr>
      </w:pPr>
      <w:r>
        <w:rPr>
          <w:rFonts w:ascii="Times New Roman" w:hAnsi="Times New Roman" w:cs="Times New Roman"/>
          <w:sz w:val="24"/>
          <w:szCs w:val="24"/>
        </w:rPr>
        <w:t>1 Community College Drive</w:t>
      </w:r>
    </w:p>
    <w:p w:rsidR="00D97922" w:rsidRDefault="00D97922" w:rsidP="00D97922">
      <w:pPr>
        <w:pStyle w:val="NoSpacing"/>
        <w:ind w:left="2160" w:firstLine="720"/>
        <w:rPr>
          <w:rFonts w:ascii="Times New Roman" w:hAnsi="Times New Roman" w:cs="Times New Roman"/>
          <w:sz w:val="24"/>
          <w:szCs w:val="24"/>
        </w:rPr>
      </w:pPr>
      <w:r>
        <w:rPr>
          <w:rFonts w:ascii="Times New Roman" w:hAnsi="Times New Roman" w:cs="Times New Roman"/>
          <w:sz w:val="24"/>
          <w:szCs w:val="24"/>
        </w:rPr>
        <w:t>Jolly Building, Suite 107</w:t>
      </w:r>
    </w:p>
    <w:p w:rsidR="00D97922" w:rsidRDefault="00D97922" w:rsidP="00D97922">
      <w:pPr>
        <w:pStyle w:val="NoSpacing"/>
        <w:ind w:left="2160" w:firstLine="720"/>
        <w:rPr>
          <w:rFonts w:ascii="Times New Roman" w:hAnsi="Times New Roman" w:cs="Times New Roman"/>
          <w:sz w:val="24"/>
          <w:szCs w:val="24"/>
        </w:rPr>
      </w:pPr>
      <w:r>
        <w:rPr>
          <w:rFonts w:ascii="Times New Roman" w:hAnsi="Times New Roman" w:cs="Times New Roman"/>
          <w:sz w:val="24"/>
          <w:szCs w:val="24"/>
        </w:rPr>
        <w:t>Hazard, Kentucky 41701</w:t>
      </w:r>
    </w:p>
    <w:p w:rsidR="00D97922" w:rsidRDefault="00D97922" w:rsidP="00D97922">
      <w:pPr>
        <w:rPr>
          <w:rFonts w:ascii="Times New Roman" w:hAnsi="Times New Roman" w:cs="Times New Roman"/>
          <w:sz w:val="24"/>
          <w:szCs w:val="24"/>
        </w:rPr>
      </w:pPr>
    </w:p>
    <w:p w:rsidR="00D97922" w:rsidRDefault="00D97922" w:rsidP="00D97922">
      <w:pPr>
        <w:rPr>
          <w:rFonts w:ascii="Times New Roman" w:hAnsi="Times New Roman" w:cs="Times New Roman"/>
          <w:sz w:val="24"/>
          <w:szCs w:val="24"/>
        </w:rPr>
      </w:pPr>
      <w:r>
        <w:rPr>
          <w:rFonts w:ascii="Times New Roman" w:hAnsi="Times New Roman" w:cs="Times New Roman"/>
          <w:sz w:val="24"/>
          <w:szCs w:val="24"/>
        </w:rPr>
        <w:t>Duration of contract:</w:t>
      </w:r>
      <w:r>
        <w:rPr>
          <w:rFonts w:ascii="Times New Roman" w:hAnsi="Times New Roman" w:cs="Times New Roman"/>
          <w:sz w:val="24"/>
          <w:szCs w:val="24"/>
        </w:rPr>
        <w:tab/>
      </w:r>
      <w:r w:rsidR="009A71B3">
        <w:rPr>
          <w:rFonts w:ascii="Times New Roman" w:hAnsi="Times New Roman" w:cs="Times New Roman"/>
          <w:sz w:val="24"/>
          <w:szCs w:val="24"/>
        </w:rPr>
        <w:t>October</w:t>
      </w:r>
      <w:r>
        <w:rPr>
          <w:rFonts w:ascii="Times New Roman" w:hAnsi="Times New Roman" w:cs="Times New Roman"/>
          <w:sz w:val="24"/>
          <w:szCs w:val="24"/>
        </w:rPr>
        <w:t xml:space="preserve"> 1, 2012 to </w:t>
      </w:r>
      <w:r w:rsidR="009A71B3">
        <w:rPr>
          <w:rFonts w:ascii="Times New Roman" w:hAnsi="Times New Roman" w:cs="Times New Roman"/>
          <w:sz w:val="24"/>
          <w:szCs w:val="24"/>
        </w:rPr>
        <w:t>September 1</w:t>
      </w:r>
      <w:r>
        <w:rPr>
          <w:rFonts w:ascii="Times New Roman" w:hAnsi="Times New Roman" w:cs="Times New Roman"/>
          <w:sz w:val="24"/>
          <w:szCs w:val="24"/>
        </w:rPr>
        <w:t>, 2013</w:t>
      </w:r>
    </w:p>
    <w:p w:rsidR="00D97922" w:rsidRDefault="009A71B3" w:rsidP="00D97922">
      <w:pPr>
        <w:rPr>
          <w:rFonts w:ascii="Times New Roman" w:hAnsi="Times New Roman" w:cs="Times New Roman"/>
          <w:sz w:val="24"/>
          <w:szCs w:val="24"/>
        </w:rPr>
      </w:pPr>
      <w:r>
        <w:rPr>
          <w:rFonts w:ascii="Times New Roman" w:hAnsi="Times New Roman" w:cs="Times New Roman"/>
          <w:sz w:val="24"/>
          <w:szCs w:val="24"/>
        </w:rPr>
        <w:t>Amount:</w:t>
      </w:r>
      <w:r>
        <w:rPr>
          <w:rFonts w:ascii="Times New Roman" w:hAnsi="Times New Roman" w:cs="Times New Roman"/>
          <w:sz w:val="24"/>
          <w:szCs w:val="24"/>
        </w:rPr>
        <w:tab/>
        <w:t>$40</w:t>
      </w:r>
      <w:r w:rsidR="00D97922">
        <w:rPr>
          <w:rFonts w:ascii="Times New Roman" w:hAnsi="Times New Roman" w:cs="Times New Roman"/>
          <w:sz w:val="24"/>
          <w:szCs w:val="24"/>
        </w:rPr>
        <w:t>,000</w:t>
      </w:r>
    </w:p>
    <w:p w:rsidR="00D97922" w:rsidRDefault="00D97922" w:rsidP="00D97922">
      <w:pPr>
        <w:rPr>
          <w:rFonts w:ascii="Times New Roman" w:hAnsi="Times New Roman" w:cs="Times New Roman"/>
          <w:sz w:val="24"/>
          <w:szCs w:val="24"/>
        </w:rPr>
      </w:pPr>
      <w:r>
        <w:rPr>
          <w:rFonts w:ascii="Times New Roman" w:hAnsi="Times New Roman" w:cs="Times New Roman"/>
          <w:sz w:val="24"/>
          <w:szCs w:val="24"/>
        </w:rPr>
        <w:t xml:space="preserve">Dr. Robert Thomas </w:t>
      </w:r>
      <w:r w:rsidR="00243952">
        <w:rPr>
          <w:rFonts w:ascii="Times New Roman" w:hAnsi="Times New Roman" w:cs="Times New Roman"/>
          <w:sz w:val="24"/>
          <w:szCs w:val="24"/>
        </w:rPr>
        <w:t>and assignees agree</w:t>
      </w:r>
      <w:r>
        <w:rPr>
          <w:rFonts w:ascii="Times New Roman" w:hAnsi="Times New Roman" w:cs="Times New Roman"/>
          <w:sz w:val="24"/>
          <w:szCs w:val="24"/>
        </w:rPr>
        <w:t xml:space="preserve"> to provide services in support of Mathematics education including, but not necessarily limited to:</w:t>
      </w:r>
    </w:p>
    <w:tbl>
      <w:tblPr>
        <w:tblW w:w="7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0"/>
      </w:tblGrid>
      <w:tr w:rsidR="00D97922" w:rsidRPr="00393353" w:rsidTr="00F26CEC">
        <w:trPr>
          <w:trHeight w:val="302"/>
        </w:trPr>
        <w:tc>
          <w:tcPr>
            <w:tcW w:w="7750" w:type="dxa"/>
            <w:shd w:val="clear" w:color="auto" w:fill="auto"/>
            <w:noWrap/>
            <w:vAlign w:val="bottom"/>
            <w:hideMark/>
          </w:tcPr>
          <w:p w:rsidR="00D97922" w:rsidRPr="00393353" w:rsidRDefault="00D97922" w:rsidP="00F26C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Teacher Resources   [RT</w:t>
            </w:r>
            <w:r w:rsidRPr="00393353">
              <w:rPr>
                <w:rFonts w:ascii="Times New Roman" w:eastAsia="Times New Roman" w:hAnsi="Times New Roman" w:cs="Times New Roman"/>
                <w:b/>
                <w:bCs/>
                <w:sz w:val="24"/>
                <w:szCs w:val="24"/>
              </w:rPr>
              <w:t xml:space="preserve"> Facilitate]</w:t>
            </w:r>
          </w:p>
        </w:tc>
      </w:tr>
      <w:tr w:rsidR="00D97922" w:rsidRPr="00393353" w:rsidTr="00F26CEC">
        <w:trPr>
          <w:trHeight w:val="302"/>
        </w:trPr>
        <w:tc>
          <w:tcPr>
            <w:tcW w:w="7750" w:type="dxa"/>
            <w:shd w:val="clear" w:color="auto" w:fill="auto"/>
            <w:noWrap/>
            <w:vAlign w:val="bottom"/>
            <w:hideMark/>
          </w:tcPr>
          <w:p w:rsidR="00D97922" w:rsidRPr="00393353" w:rsidRDefault="00D97922" w:rsidP="00F26CEC">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PLC Attendance Math Teachers  [HS</w:t>
            </w:r>
            <w:r>
              <w:rPr>
                <w:rFonts w:ascii="Times New Roman" w:eastAsia="Times New Roman" w:hAnsi="Times New Roman" w:cs="Times New Roman"/>
                <w:sz w:val="24"/>
                <w:szCs w:val="24"/>
              </w:rPr>
              <w:t xml:space="preserve"> and MS</w:t>
            </w:r>
            <w:r w:rsidRPr="00393353">
              <w:rPr>
                <w:rFonts w:ascii="Times New Roman" w:eastAsia="Times New Roman" w:hAnsi="Times New Roman" w:cs="Times New Roman"/>
                <w:sz w:val="24"/>
                <w:szCs w:val="24"/>
              </w:rPr>
              <w:t xml:space="preserve"> Math Teachers]</w:t>
            </w:r>
          </w:p>
        </w:tc>
      </w:tr>
      <w:tr w:rsidR="00D97922" w:rsidRPr="00393353" w:rsidTr="00F26CEC">
        <w:trPr>
          <w:trHeight w:val="302"/>
        </w:trPr>
        <w:tc>
          <w:tcPr>
            <w:tcW w:w="7750" w:type="dxa"/>
            <w:shd w:val="clear" w:color="auto" w:fill="auto"/>
            <w:noWrap/>
            <w:vAlign w:val="bottom"/>
            <w:hideMark/>
          </w:tcPr>
          <w:p w:rsidR="00D97922" w:rsidRPr="00393353" w:rsidRDefault="00D97922" w:rsidP="00F26CEC">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Professional Development   [HS</w:t>
            </w:r>
            <w:r>
              <w:rPr>
                <w:rFonts w:ascii="Times New Roman" w:eastAsia="Times New Roman" w:hAnsi="Times New Roman" w:cs="Times New Roman"/>
                <w:sz w:val="24"/>
                <w:szCs w:val="24"/>
              </w:rPr>
              <w:t xml:space="preserve"> and MS</w:t>
            </w:r>
            <w:r w:rsidRPr="00393353">
              <w:rPr>
                <w:rFonts w:ascii="Times New Roman" w:eastAsia="Times New Roman" w:hAnsi="Times New Roman" w:cs="Times New Roman"/>
                <w:sz w:val="24"/>
                <w:szCs w:val="24"/>
              </w:rPr>
              <w:t xml:space="preserve"> Math Teachers]</w:t>
            </w:r>
          </w:p>
        </w:tc>
      </w:tr>
      <w:tr w:rsidR="00D97922" w:rsidRPr="00393353" w:rsidTr="00F26CEC">
        <w:trPr>
          <w:trHeight w:val="302"/>
        </w:trPr>
        <w:tc>
          <w:tcPr>
            <w:tcW w:w="7750" w:type="dxa"/>
            <w:shd w:val="clear" w:color="auto" w:fill="auto"/>
            <w:noWrap/>
            <w:vAlign w:val="bottom"/>
            <w:hideMark/>
          </w:tcPr>
          <w:p w:rsidR="00D97922" w:rsidRPr="00393353" w:rsidRDefault="009A71B3" w:rsidP="009A7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Development Computational Fluency [K-12</w:t>
            </w:r>
            <w:r w:rsidRPr="00393353">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tc>
      </w:tr>
      <w:tr w:rsidR="009A71B3" w:rsidRPr="00393353" w:rsidTr="00F26CEC">
        <w:trPr>
          <w:trHeight w:val="302"/>
        </w:trPr>
        <w:tc>
          <w:tcPr>
            <w:tcW w:w="7750" w:type="dxa"/>
            <w:shd w:val="clear" w:color="auto" w:fill="auto"/>
            <w:noWrap/>
            <w:vAlign w:val="bottom"/>
          </w:tcPr>
          <w:p w:rsidR="009A71B3" w:rsidRPr="00393353" w:rsidRDefault="009A71B3" w:rsidP="00F26CEC">
            <w:pPr>
              <w:spacing w:after="0" w:line="240" w:lineRule="auto"/>
              <w:rPr>
                <w:rFonts w:ascii="Times New Roman" w:eastAsia="Times New Roman" w:hAnsi="Times New Roman" w:cs="Times New Roman"/>
                <w:sz w:val="24"/>
                <w:szCs w:val="24"/>
              </w:rPr>
            </w:pPr>
          </w:p>
        </w:tc>
      </w:tr>
      <w:tr w:rsidR="009A71B3" w:rsidRPr="00393353" w:rsidTr="009A71B3">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b/>
                <w:bCs/>
                <w:sz w:val="24"/>
                <w:szCs w:val="24"/>
              </w:rPr>
            </w:pPr>
            <w:r w:rsidRPr="00393353">
              <w:rPr>
                <w:rFonts w:ascii="Times New Roman" w:eastAsia="Times New Roman" w:hAnsi="Times New Roman" w:cs="Times New Roman"/>
                <w:b/>
                <w:bCs/>
                <w:sz w:val="24"/>
                <w:szCs w:val="24"/>
              </w:rPr>
              <w:t>University Resources &amp; Support   [</w:t>
            </w:r>
            <w:r>
              <w:rPr>
                <w:rFonts w:ascii="Times New Roman" w:eastAsia="Times New Roman" w:hAnsi="Times New Roman" w:cs="Times New Roman"/>
                <w:b/>
                <w:bCs/>
                <w:sz w:val="24"/>
                <w:szCs w:val="24"/>
              </w:rPr>
              <w:t>RT</w:t>
            </w:r>
            <w:r w:rsidRPr="00393353">
              <w:rPr>
                <w:rFonts w:ascii="Times New Roman" w:eastAsia="Times New Roman" w:hAnsi="Times New Roman" w:cs="Times New Roman"/>
                <w:b/>
                <w:bCs/>
                <w:sz w:val="24"/>
                <w:szCs w:val="24"/>
              </w:rPr>
              <w:t xml:space="preserve"> Facilitate]</w:t>
            </w:r>
          </w:p>
        </w:tc>
      </w:tr>
      <w:tr w:rsidR="009A71B3" w:rsidRPr="00393353" w:rsidTr="009A71B3">
        <w:trPr>
          <w:trHeight w:val="302"/>
        </w:trPr>
        <w:tc>
          <w:tcPr>
            <w:tcW w:w="7750" w:type="dxa"/>
            <w:shd w:val="clear" w:color="auto" w:fill="auto"/>
            <w:noWrap/>
            <w:vAlign w:val="bottom"/>
          </w:tcPr>
          <w:p w:rsidR="009A71B3" w:rsidRPr="00393353" w:rsidRDefault="009A71B3" w:rsidP="006D08DF">
            <w:pPr>
              <w:spacing w:after="0" w:line="240" w:lineRule="auto"/>
              <w:ind w:left="720" w:hanging="720"/>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 xml:space="preserve">Data Collection   </w:t>
            </w:r>
            <w:r>
              <w:rPr>
                <w:rFonts w:ascii="Times New Roman" w:eastAsia="Times New Roman" w:hAnsi="Times New Roman" w:cs="Times New Roman"/>
                <w:sz w:val="24"/>
                <w:szCs w:val="24"/>
              </w:rPr>
              <w:t>[RT</w:t>
            </w:r>
            <w:r w:rsidRPr="00393353">
              <w:rPr>
                <w:rFonts w:ascii="Times New Roman" w:eastAsia="Times New Roman" w:hAnsi="Times New Roman" w:cs="Times New Roman"/>
                <w:sz w:val="24"/>
                <w:szCs w:val="24"/>
              </w:rPr>
              <w:t xml:space="preserve"> Facilitate]</w:t>
            </w:r>
          </w:p>
        </w:tc>
      </w:tr>
      <w:tr w:rsidR="009A71B3" w:rsidRPr="00393353" w:rsidTr="00F26CEC">
        <w:trPr>
          <w:trHeight w:val="302"/>
        </w:trPr>
        <w:tc>
          <w:tcPr>
            <w:tcW w:w="7750" w:type="dxa"/>
            <w:shd w:val="clear" w:color="auto" w:fill="auto"/>
            <w:noWrap/>
            <w:vAlign w:val="bottom"/>
            <w:hideMark/>
          </w:tcPr>
          <w:p w:rsidR="009A71B3" w:rsidRPr="00393353" w:rsidRDefault="009A71B3" w:rsidP="006D08DF">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Data Analysis   [</w:t>
            </w:r>
            <w:r>
              <w:rPr>
                <w:rFonts w:ascii="Times New Roman" w:eastAsia="Times New Roman" w:hAnsi="Times New Roman" w:cs="Times New Roman"/>
                <w:sz w:val="24"/>
                <w:szCs w:val="24"/>
              </w:rPr>
              <w:t>RT</w:t>
            </w:r>
            <w:r w:rsidRPr="00393353">
              <w:rPr>
                <w:rFonts w:ascii="Times New Roman" w:eastAsia="Times New Roman" w:hAnsi="Times New Roman" w:cs="Times New Roman"/>
                <w:sz w:val="24"/>
                <w:szCs w:val="24"/>
              </w:rPr>
              <w:t xml:space="preserve"> Facilitate]</w:t>
            </w:r>
          </w:p>
        </w:tc>
      </w:tr>
      <w:tr w:rsidR="009A71B3" w:rsidRPr="00393353" w:rsidTr="009A71B3">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EKU College Readiness Transitions Initiative</w:t>
            </w:r>
            <w:r>
              <w:rPr>
                <w:rFonts w:ascii="Times New Roman" w:eastAsia="Times New Roman" w:hAnsi="Times New Roman" w:cs="Times New Roman"/>
                <w:sz w:val="24"/>
                <w:szCs w:val="24"/>
              </w:rPr>
              <w:t>*</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EKU High School Readiness Transitions Initiative</w:t>
            </w:r>
            <w:r>
              <w:rPr>
                <w:rFonts w:ascii="Times New Roman" w:eastAsia="Times New Roman" w:hAnsi="Times New Roman" w:cs="Times New Roman"/>
                <w:sz w:val="24"/>
                <w:szCs w:val="24"/>
              </w:rPr>
              <w:t>*</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EKU Grades 6-12 Programs Transitions Initiative</w:t>
            </w:r>
            <w:r>
              <w:rPr>
                <w:rFonts w:ascii="Times New Roman" w:eastAsia="Times New Roman" w:hAnsi="Times New Roman" w:cs="Times New Roman"/>
                <w:sz w:val="24"/>
                <w:szCs w:val="24"/>
              </w:rPr>
              <w:t>*</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EKU Curriculum &amp; Instruction Support Programs</w:t>
            </w:r>
            <w:r>
              <w:rPr>
                <w:rFonts w:ascii="Times New Roman" w:eastAsia="Times New Roman" w:hAnsi="Times New Roman" w:cs="Times New Roman"/>
                <w:sz w:val="24"/>
                <w:szCs w:val="24"/>
              </w:rPr>
              <w:t>*</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PLC Support   [RT</w:t>
            </w:r>
            <w:r w:rsidRPr="00393353">
              <w:rPr>
                <w:rFonts w:ascii="Times New Roman" w:eastAsia="Times New Roman" w:hAnsi="Times New Roman" w:cs="Times New Roman"/>
                <w:sz w:val="24"/>
                <w:szCs w:val="24"/>
              </w:rPr>
              <w:t xml:space="preserve"> Facilitate]</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Leadership</w:t>
            </w:r>
            <w:r>
              <w:rPr>
                <w:rFonts w:ascii="Times New Roman" w:eastAsia="Times New Roman" w:hAnsi="Times New Roman" w:cs="Times New Roman"/>
                <w:sz w:val="24"/>
                <w:szCs w:val="24"/>
              </w:rPr>
              <w:t xml:space="preserve"> for Professional Development [RT</w:t>
            </w:r>
            <w:r w:rsidRPr="00393353">
              <w:rPr>
                <w:rFonts w:ascii="Times New Roman" w:eastAsia="Times New Roman" w:hAnsi="Times New Roman" w:cs="Times New Roman"/>
                <w:sz w:val="24"/>
                <w:szCs w:val="24"/>
              </w:rPr>
              <w:t>]</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color w:val="000000"/>
                <w:sz w:val="24"/>
                <w:szCs w:val="24"/>
              </w:rPr>
            </w:pPr>
            <w:r w:rsidRPr="00393353">
              <w:rPr>
                <w:rFonts w:ascii="Times New Roman" w:eastAsia="Times New Roman" w:hAnsi="Times New Roman" w:cs="Times New Roman"/>
                <w:color w:val="000000"/>
                <w:sz w:val="24"/>
                <w:szCs w:val="24"/>
              </w:rPr>
              <w:t>Updated Curriculum Maps</w:t>
            </w:r>
            <w:r>
              <w:rPr>
                <w:rFonts w:ascii="Times New Roman" w:eastAsia="Times New Roman" w:hAnsi="Times New Roman" w:cs="Times New Roman"/>
                <w:color w:val="000000"/>
                <w:sz w:val="24"/>
                <w:szCs w:val="24"/>
              </w:rPr>
              <w:t xml:space="preserve"> and Pacing Guides*</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Assessments aligned to the Updated Curriculum*</w:t>
            </w:r>
          </w:p>
        </w:tc>
      </w:tr>
      <w:tr w:rsidR="009A71B3" w:rsidRPr="00393353" w:rsidTr="001630AD">
        <w:trPr>
          <w:trHeight w:val="302"/>
        </w:trPr>
        <w:tc>
          <w:tcPr>
            <w:tcW w:w="7750" w:type="dxa"/>
            <w:shd w:val="clear" w:color="auto" w:fill="auto"/>
            <w:noWrap/>
            <w:vAlign w:val="bottom"/>
          </w:tcPr>
          <w:p w:rsidR="009A71B3" w:rsidRPr="00393353" w:rsidRDefault="009A71B3" w:rsidP="006D08D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*Includes access to all copyrighted materials and protocols</w:t>
            </w:r>
          </w:p>
        </w:tc>
      </w:tr>
      <w:tr w:rsidR="009A71B3" w:rsidRPr="00393353" w:rsidTr="001630AD">
        <w:trPr>
          <w:trHeight w:val="302"/>
        </w:trPr>
        <w:tc>
          <w:tcPr>
            <w:tcW w:w="7750" w:type="dxa"/>
            <w:shd w:val="clear" w:color="auto" w:fill="auto"/>
            <w:noWrap/>
            <w:vAlign w:val="bottom"/>
          </w:tcPr>
          <w:p w:rsidR="009A71B3" w:rsidRPr="00393353" w:rsidRDefault="009A71B3" w:rsidP="00793DEA">
            <w:pPr>
              <w:spacing w:after="0" w:line="240" w:lineRule="auto"/>
              <w:rPr>
                <w:rFonts w:ascii="Times New Roman" w:eastAsia="Times New Roman" w:hAnsi="Times New Roman" w:cs="Times New Roman"/>
                <w:color w:val="000000"/>
                <w:sz w:val="24"/>
                <w:szCs w:val="24"/>
              </w:rPr>
            </w:pPr>
          </w:p>
        </w:tc>
      </w:tr>
      <w:tr w:rsidR="009A71B3" w:rsidRPr="00393353" w:rsidTr="001630AD">
        <w:trPr>
          <w:trHeight w:val="302"/>
        </w:trPr>
        <w:tc>
          <w:tcPr>
            <w:tcW w:w="7750" w:type="dxa"/>
            <w:shd w:val="clear" w:color="auto" w:fill="auto"/>
            <w:noWrap/>
            <w:vAlign w:val="bottom"/>
          </w:tcPr>
          <w:p w:rsidR="009A71B3" w:rsidRPr="00393353" w:rsidRDefault="009A71B3" w:rsidP="004F7F44">
            <w:pPr>
              <w:spacing w:after="0" w:line="240" w:lineRule="auto"/>
              <w:rPr>
                <w:rFonts w:ascii="Times New Roman" w:eastAsia="Times New Roman" w:hAnsi="Times New Roman" w:cs="Times New Roman"/>
                <w:b/>
                <w:bCs/>
                <w:sz w:val="24"/>
                <w:szCs w:val="24"/>
              </w:rPr>
            </w:pPr>
            <w:r w:rsidRPr="00393353">
              <w:rPr>
                <w:rFonts w:ascii="Times New Roman" w:eastAsia="Times New Roman" w:hAnsi="Times New Roman" w:cs="Times New Roman"/>
                <w:b/>
                <w:bCs/>
                <w:sz w:val="24"/>
                <w:szCs w:val="24"/>
              </w:rPr>
              <w:t>Milestones and Deliverables   [</w:t>
            </w:r>
            <w:r>
              <w:rPr>
                <w:rFonts w:ascii="Times New Roman" w:eastAsia="Times New Roman" w:hAnsi="Times New Roman" w:cs="Times New Roman"/>
                <w:b/>
                <w:bCs/>
                <w:sz w:val="24"/>
                <w:szCs w:val="24"/>
              </w:rPr>
              <w:t>RT</w:t>
            </w:r>
            <w:r w:rsidRPr="00393353">
              <w:rPr>
                <w:rFonts w:ascii="Times New Roman" w:eastAsia="Times New Roman" w:hAnsi="Times New Roman" w:cs="Times New Roman"/>
                <w:b/>
                <w:bCs/>
                <w:sz w:val="24"/>
                <w:szCs w:val="24"/>
              </w:rPr>
              <w:t xml:space="preserve"> Facilitate]</w:t>
            </w:r>
          </w:p>
        </w:tc>
      </w:tr>
      <w:tr w:rsidR="009A71B3" w:rsidRPr="00393353" w:rsidTr="00F26CEC">
        <w:trPr>
          <w:trHeight w:val="302"/>
        </w:trPr>
        <w:tc>
          <w:tcPr>
            <w:tcW w:w="7750" w:type="dxa"/>
            <w:shd w:val="clear" w:color="auto" w:fill="auto"/>
            <w:noWrap/>
            <w:vAlign w:val="bottom"/>
          </w:tcPr>
          <w:p w:rsidR="009A71B3" w:rsidRPr="00393353" w:rsidRDefault="009A71B3" w:rsidP="004F7F44">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Interim Reports (Quarterly &amp; Annual)</w:t>
            </w:r>
          </w:p>
        </w:tc>
      </w:tr>
      <w:tr w:rsidR="009A71B3" w:rsidRPr="00393353" w:rsidTr="00F26CEC">
        <w:trPr>
          <w:trHeight w:val="302"/>
        </w:trPr>
        <w:tc>
          <w:tcPr>
            <w:tcW w:w="7750" w:type="dxa"/>
            <w:shd w:val="clear" w:color="auto" w:fill="auto"/>
            <w:noWrap/>
            <w:vAlign w:val="bottom"/>
          </w:tcPr>
          <w:p w:rsidR="009A71B3" w:rsidRPr="00393353" w:rsidRDefault="009A71B3" w:rsidP="004F7F44">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Presentation of Results/Research</w:t>
            </w:r>
          </w:p>
        </w:tc>
      </w:tr>
      <w:tr w:rsidR="009A71B3" w:rsidRPr="00393353" w:rsidTr="00F26CEC">
        <w:trPr>
          <w:trHeight w:val="302"/>
        </w:trPr>
        <w:tc>
          <w:tcPr>
            <w:tcW w:w="7750" w:type="dxa"/>
            <w:shd w:val="clear" w:color="auto" w:fill="auto"/>
            <w:noWrap/>
            <w:vAlign w:val="bottom"/>
          </w:tcPr>
          <w:p w:rsidR="009A71B3" w:rsidRPr="00393353" w:rsidRDefault="009A71B3" w:rsidP="004F7F44">
            <w:pPr>
              <w:spacing w:after="0" w:line="240" w:lineRule="auto"/>
              <w:rPr>
                <w:rFonts w:ascii="Times New Roman" w:eastAsia="Times New Roman" w:hAnsi="Times New Roman" w:cs="Times New Roman"/>
                <w:sz w:val="24"/>
                <w:szCs w:val="24"/>
              </w:rPr>
            </w:pPr>
            <w:r w:rsidRPr="00393353">
              <w:rPr>
                <w:rFonts w:ascii="Times New Roman" w:eastAsia="Times New Roman" w:hAnsi="Times New Roman" w:cs="Times New Roman"/>
                <w:sz w:val="24"/>
                <w:szCs w:val="24"/>
              </w:rPr>
              <w:t>Final Report</w:t>
            </w:r>
          </w:p>
        </w:tc>
      </w:tr>
      <w:tr w:rsidR="009A71B3" w:rsidRPr="00393353" w:rsidTr="001630AD">
        <w:trPr>
          <w:trHeight w:val="302"/>
        </w:trPr>
        <w:tc>
          <w:tcPr>
            <w:tcW w:w="7750" w:type="dxa"/>
            <w:shd w:val="clear" w:color="auto" w:fill="auto"/>
            <w:noWrap/>
            <w:vAlign w:val="bottom"/>
          </w:tcPr>
          <w:p w:rsidR="009A71B3" w:rsidRPr="00393353" w:rsidRDefault="009A71B3" w:rsidP="008A685A">
            <w:pPr>
              <w:spacing w:after="0" w:line="240" w:lineRule="auto"/>
              <w:rPr>
                <w:rFonts w:ascii="Times New Roman" w:eastAsia="Times New Roman" w:hAnsi="Times New Roman" w:cs="Times New Roman"/>
                <w:sz w:val="24"/>
                <w:szCs w:val="24"/>
              </w:rPr>
            </w:pPr>
          </w:p>
        </w:tc>
      </w:tr>
      <w:tr w:rsidR="009A71B3" w:rsidRPr="00393353" w:rsidTr="001630AD">
        <w:trPr>
          <w:trHeight w:val="302"/>
        </w:trPr>
        <w:tc>
          <w:tcPr>
            <w:tcW w:w="7750" w:type="dxa"/>
            <w:shd w:val="clear" w:color="auto" w:fill="auto"/>
            <w:noWrap/>
            <w:vAlign w:val="bottom"/>
          </w:tcPr>
          <w:p w:rsidR="009A71B3" w:rsidRPr="001630AD" w:rsidRDefault="009A71B3" w:rsidP="009D1C4D">
            <w:pPr>
              <w:spacing w:after="0" w:line="240" w:lineRule="auto"/>
              <w:rPr>
                <w:rFonts w:ascii="Times New Roman" w:eastAsia="Times New Roman" w:hAnsi="Times New Roman" w:cs="Times New Roman"/>
                <w:b/>
                <w:sz w:val="24"/>
                <w:szCs w:val="24"/>
              </w:rPr>
            </w:pPr>
            <w:r w:rsidRPr="001630AD">
              <w:rPr>
                <w:rFonts w:ascii="Times New Roman" w:eastAsia="Times New Roman" w:hAnsi="Times New Roman" w:cs="Times New Roman"/>
                <w:b/>
                <w:sz w:val="24"/>
                <w:szCs w:val="24"/>
              </w:rPr>
              <w:t>Draw</w:t>
            </w:r>
            <w:r>
              <w:rPr>
                <w:rFonts w:ascii="Times New Roman" w:eastAsia="Times New Roman" w:hAnsi="Times New Roman" w:cs="Times New Roman"/>
                <w:b/>
                <w:sz w:val="24"/>
                <w:szCs w:val="24"/>
              </w:rPr>
              <w:t xml:space="preserve"> [Anticipated]</w:t>
            </w:r>
          </w:p>
        </w:tc>
      </w:tr>
      <w:tr w:rsidR="009A71B3" w:rsidRPr="00393353" w:rsidTr="001630AD">
        <w:trPr>
          <w:trHeight w:val="302"/>
        </w:trPr>
        <w:tc>
          <w:tcPr>
            <w:tcW w:w="7750" w:type="dxa"/>
            <w:shd w:val="clear" w:color="auto" w:fill="auto"/>
            <w:noWrap/>
            <w:vAlign w:val="bottom"/>
          </w:tcPr>
          <w:p w:rsidR="009A71B3" w:rsidRPr="00393353" w:rsidRDefault="009A71B3" w:rsidP="009D1C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$20,000 – December 2012; $10,000 – February 2013; $10,000 – March 2013</w:t>
            </w:r>
          </w:p>
        </w:tc>
      </w:tr>
      <w:tr w:rsidR="009A71B3" w:rsidRPr="00393353" w:rsidTr="00F26CEC">
        <w:trPr>
          <w:trHeight w:val="302"/>
        </w:trPr>
        <w:tc>
          <w:tcPr>
            <w:tcW w:w="7750" w:type="dxa"/>
            <w:shd w:val="clear" w:color="auto" w:fill="auto"/>
            <w:noWrap/>
            <w:vAlign w:val="bottom"/>
          </w:tcPr>
          <w:p w:rsidR="009A71B3" w:rsidRPr="001630AD" w:rsidRDefault="009A71B3" w:rsidP="00F26CEC">
            <w:pPr>
              <w:spacing w:after="0" w:line="240" w:lineRule="auto"/>
              <w:rPr>
                <w:rFonts w:ascii="Times New Roman" w:eastAsia="Times New Roman" w:hAnsi="Times New Roman" w:cs="Times New Roman"/>
                <w:b/>
                <w:sz w:val="24"/>
                <w:szCs w:val="24"/>
              </w:rPr>
            </w:pPr>
          </w:p>
        </w:tc>
      </w:tr>
      <w:tr w:rsidR="009A71B3" w:rsidRPr="00393353" w:rsidTr="00F26CEC">
        <w:trPr>
          <w:trHeight w:val="302"/>
        </w:trPr>
        <w:tc>
          <w:tcPr>
            <w:tcW w:w="7750" w:type="dxa"/>
            <w:shd w:val="clear" w:color="auto" w:fill="auto"/>
            <w:noWrap/>
            <w:vAlign w:val="bottom"/>
          </w:tcPr>
          <w:p w:rsidR="009A71B3" w:rsidRPr="00393353" w:rsidRDefault="009A71B3" w:rsidP="009A71B3">
            <w:pPr>
              <w:spacing w:after="0" w:line="240" w:lineRule="auto"/>
              <w:rPr>
                <w:rFonts w:ascii="Times New Roman" w:eastAsia="Times New Roman" w:hAnsi="Times New Roman" w:cs="Times New Roman"/>
                <w:sz w:val="24"/>
                <w:szCs w:val="24"/>
              </w:rPr>
            </w:pPr>
          </w:p>
        </w:tc>
      </w:tr>
    </w:tbl>
    <w:p w:rsidR="007B4DB1" w:rsidRDefault="007B4DB1" w:rsidP="007B4DB1">
      <w:pPr>
        <w:widowControl w:val="0"/>
        <w:autoSpaceDE w:val="0"/>
        <w:autoSpaceDN w:val="0"/>
        <w:adjustRightInd w:val="0"/>
        <w:spacing w:after="0" w:line="200" w:lineRule="exact"/>
        <w:ind w:left="720"/>
        <w:rPr>
          <w:rFonts w:ascii="Times New Roman" w:eastAsiaTheme="minorEastAsia" w:hAnsi="Times New Roman" w:cs="Times New Roman"/>
          <w:b/>
          <w:bCs/>
          <w:sz w:val="28"/>
          <w:szCs w:val="28"/>
        </w:rPr>
      </w:pPr>
    </w:p>
    <w:p w:rsidR="007B4DB1" w:rsidRPr="007B4DB1" w:rsidRDefault="007B4DB1" w:rsidP="00E3433D">
      <w:pPr>
        <w:jc w:val="center"/>
        <w:rPr>
          <w:rFonts w:ascii="Times New Roman" w:eastAsiaTheme="minorEastAsia" w:hAnsi="Times New Roman" w:cs="Times New Roman"/>
          <w:b/>
          <w:bCs/>
          <w:sz w:val="28"/>
          <w:szCs w:val="28"/>
        </w:rPr>
      </w:pPr>
      <w:r w:rsidRPr="00276857">
        <w:rPr>
          <w:rFonts w:ascii="Times New Roman" w:hAnsi="Times New Roman" w:cs="Times New Roman"/>
          <w:sz w:val="32"/>
          <w:szCs w:val="32"/>
        </w:rPr>
        <w:lastRenderedPageBreak/>
        <w:t>Math</w:t>
      </w:r>
      <w:r w:rsidR="00276857">
        <w:rPr>
          <w:rFonts w:ascii="Times New Roman" w:hAnsi="Times New Roman" w:cs="Times New Roman"/>
          <w:sz w:val="32"/>
          <w:szCs w:val="32"/>
        </w:rPr>
        <w:t>ematics</w:t>
      </w:r>
      <w:r w:rsidRPr="00276857">
        <w:rPr>
          <w:rFonts w:ascii="Times New Roman" w:hAnsi="Times New Roman" w:cs="Times New Roman"/>
          <w:sz w:val="32"/>
          <w:szCs w:val="32"/>
        </w:rPr>
        <w:t xml:space="preserve"> Plan</w:t>
      </w:r>
    </w:p>
    <w:p w:rsidR="007B4DB1" w:rsidRPr="007B4DB1" w:rsidRDefault="007B4DB1" w:rsidP="007B4DB1">
      <w:pPr>
        <w:spacing w:after="0" w:line="240" w:lineRule="auto"/>
        <w:ind w:firstLine="720"/>
        <w:rPr>
          <w:rFonts w:ascii="Times New Roman" w:eastAsiaTheme="minorEastAsia" w:hAnsi="Times New Roman" w:cs="Times New Roman"/>
          <w:b/>
          <w:bCs/>
          <w:sz w:val="24"/>
          <w:szCs w:val="24"/>
        </w:rPr>
      </w:pPr>
      <w:r w:rsidRPr="007B4DB1">
        <w:rPr>
          <w:rFonts w:ascii="Times New Roman" w:eastAsiaTheme="minorEastAsia" w:hAnsi="Times New Roman" w:cs="Times New Roman"/>
          <w:sz w:val="24"/>
          <w:szCs w:val="24"/>
        </w:rPr>
        <w:t xml:space="preserve">The overarching core concept embedded in this transformation model is meeting the </w:t>
      </w:r>
      <w:r w:rsidRPr="007B4DB1">
        <w:rPr>
          <w:rFonts w:ascii="Times New Roman" w:eastAsiaTheme="minorEastAsia" w:hAnsi="Times New Roman" w:cs="Times New Roman"/>
          <w:b/>
          <w:bCs/>
          <w:sz w:val="24"/>
          <w:szCs w:val="24"/>
        </w:rPr>
        <w:t>needs of students and advancing students toward college/career readiness in mathematics.</w:t>
      </w:r>
      <w:r w:rsidRPr="007B4DB1">
        <w:rPr>
          <w:rFonts w:ascii="Times New Roman" w:eastAsiaTheme="minorEastAsia" w:hAnsi="Times New Roman" w:cs="Times New Roman"/>
          <w:sz w:val="24"/>
          <w:szCs w:val="24"/>
        </w:rPr>
        <w:t xml:space="preserve"> A rigorous curriculum combined with developmentally appropriate remediation will enable students to advance toward these readiness goals. </w:t>
      </w:r>
      <w:r w:rsidRPr="007B4DB1">
        <w:rPr>
          <w:rFonts w:ascii="Times New Roman" w:eastAsiaTheme="minorEastAsia" w:hAnsi="Times New Roman" w:cs="Times New Roman"/>
          <w:b/>
          <w:bCs/>
          <w:sz w:val="24"/>
          <w:szCs w:val="24"/>
        </w:rPr>
        <w:t>Accountability will be evenly and appropriately distributed among students, faculty, administration and parents/guardians.</w:t>
      </w:r>
    </w:p>
    <w:p w:rsidR="007B4DB1" w:rsidRPr="007B4DB1" w:rsidRDefault="007B4DB1" w:rsidP="007B4DB1">
      <w:pPr>
        <w:spacing w:after="0" w:line="240" w:lineRule="auto"/>
        <w:ind w:firstLine="720"/>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The Transformation Model for Mathematics is needs based. Meeting the needs of students and teachers, with rigorous curriculum and standards, and assessment informing instruction are the cornerstones of an effective mathematics teaching and learning program.</w:t>
      </w:r>
    </w:p>
    <w:p w:rsidR="007B4DB1" w:rsidRPr="007B4DB1" w:rsidRDefault="007B4DB1" w:rsidP="007B4DB1">
      <w:pPr>
        <w:spacing w:after="0" w:line="240" w:lineRule="auto"/>
        <w:rPr>
          <w:rFonts w:ascii="Times New Roman" w:eastAsiaTheme="minorEastAsia" w:hAnsi="Times New Roman" w:cs="Times New Roman"/>
          <w:b/>
          <w:bCs/>
          <w:sz w:val="24"/>
          <w:szCs w:val="24"/>
        </w:rPr>
      </w:pPr>
      <w:r w:rsidRPr="007B4DB1">
        <w:rPr>
          <w:rFonts w:ascii="Times New Roman" w:eastAsiaTheme="minorEastAsia" w:hAnsi="Times New Roman" w:cs="Times New Roman"/>
          <w:sz w:val="24"/>
          <w:szCs w:val="24"/>
        </w:rPr>
        <w:tab/>
        <w:t xml:space="preserve">Programmatically, there are three components where these cornerstones are embedded: </w:t>
      </w:r>
      <w:r w:rsidRPr="007B4DB1">
        <w:rPr>
          <w:rFonts w:ascii="Times New Roman" w:eastAsiaTheme="minorEastAsia" w:hAnsi="Times New Roman" w:cs="Times New Roman"/>
          <w:b/>
          <w:bCs/>
          <w:sz w:val="24"/>
          <w:szCs w:val="24"/>
        </w:rPr>
        <w:t>the framework of the program, the curriculum, and the instructional model.</w:t>
      </w: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ab/>
        <w:t xml:space="preserve">The framework consists of </w:t>
      </w:r>
      <w:r w:rsidRPr="007B4DB1">
        <w:rPr>
          <w:rFonts w:ascii="Times New Roman" w:eastAsiaTheme="minorEastAsia" w:hAnsi="Times New Roman" w:cs="Times New Roman"/>
          <w:b/>
          <w:bCs/>
          <w:sz w:val="24"/>
          <w:szCs w:val="24"/>
        </w:rPr>
        <w:t>scheduling and placing students in mathematics classes that meet the needs of the students academically.</w:t>
      </w:r>
      <w:r w:rsidRPr="007B4DB1">
        <w:rPr>
          <w:rFonts w:ascii="Times New Roman" w:eastAsiaTheme="minorEastAsia" w:hAnsi="Times New Roman" w:cs="Times New Roman"/>
          <w:sz w:val="24"/>
          <w:szCs w:val="24"/>
        </w:rPr>
        <w:t xml:space="preserve"> Placement will be made based upon a variety of measurement indicators including the EPAS [Explore, PLAN, and ACT], and MAP [Measure of Academic Progress, NWEA], with additional teacher input based on teacher recommendation and computational fluency [EKU Diagnostic]. The master schedule for AY 2011/2012 has been amended to include this format. Students measuring below benchmarks will be placed in extra companion RTI mathematics classes to facilitate remediation toward meeting college readiness in mathematics.</w:t>
      </w:r>
    </w:p>
    <w:p w:rsidR="007B4DB1" w:rsidRPr="007B4DB1" w:rsidRDefault="007B4DB1" w:rsidP="007B4DB1">
      <w:pPr>
        <w:spacing w:after="0" w:line="240" w:lineRule="auto"/>
        <w:rPr>
          <w:rFonts w:ascii="Times New Roman" w:eastAsiaTheme="minorEastAsia" w:hAnsi="Times New Roman" w:cs="Times New Roman"/>
          <w:sz w:val="24"/>
          <w:szCs w:val="24"/>
        </w:rPr>
      </w:pPr>
    </w:p>
    <w:tbl>
      <w:tblPr>
        <w:tblW w:w="9720" w:type="dxa"/>
        <w:tblLook w:val="0000" w:firstRow="0" w:lastRow="0" w:firstColumn="0" w:lastColumn="0" w:noHBand="0" w:noVBand="0"/>
      </w:tblPr>
      <w:tblGrid>
        <w:gridCol w:w="1418"/>
        <w:gridCol w:w="1282"/>
        <w:gridCol w:w="848"/>
        <w:gridCol w:w="502"/>
        <w:gridCol w:w="1628"/>
        <w:gridCol w:w="236"/>
        <w:gridCol w:w="1196"/>
        <w:gridCol w:w="271"/>
        <w:gridCol w:w="269"/>
        <w:gridCol w:w="90"/>
        <w:gridCol w:w="720"/>
        <w:gridCol w:w="720"/>
        <w:gridCol w:w="540"/>
      </w:tblGrid>
      <w:tr w:rsidR="007B4DB1" w:rsidRPr="007B4DB1" w:rsidTr="003A10F3">
        <w:trPr>
          <w:gridAfter w:val="1"/>
          <w:wAfter w:w="540" w:type="dxa"/>
          <w:trHeight w:val="375"/>
        </w:trPr>
        <w:tc>
          <w:tcPr>
            <w:tcW w:w="9180" w:type="dxa"/>
            <w:gridSpan w:val="12"/>
            <w:tcBorders>
              <w:top w:val="nil"/>
              <w:left w:val="nil"/>
              <w:bottom w:val="nil"/>
              <w:right w:val="nil"/>
            </w:tcBorders>
            <w:noWrap/>
            <w:vAlign w:val="bottom"/>
          </w:tcPr>
          <w:p w:rsidR="007B4DB1" w:rsidRPr="007B4DB1" w:rsidRDefault="007B4DB1" w:rsidP="007B4DB1">
            <w:pPr>
              <w:spacing w:after="0" w:line="240" w:lineRule="auto"/>
              <w:rPr>
                <w:rFonts w:ascii="Times New Roman" w:eastAsiaTheme="minorEastAsia" w:hAnsi="Times New Roman" w:cs="Times New Roman"/>
                <w:b/>
                <w:bCs/>
                <w:color w:val="000000"/>
                <w:sz w:val="28"/>
                <w:szCs w:val="28"/>
              </w:rPr>
            </w:pPr>
            <w:r w:rsidRPr="007B4DB1">
              <w:rPr>
                <w:rFonts w:ascii="Times New Roman" w:eastAsiaTheme="minorEastAsia" w:hAnsi="Times New Roman" w:cs="Times New Roman"/>
                <w:b/>
                <w:bCs/>
                <w:color w:val="000000"/>
                <w:sz w:val="28"/>
                <w:szCs w:val="28"/>
              </w:rPr>
              <w:t xml:space="preserve">Needs-Based Math Placement Matrix </w:t>
            </w:r>
          </w:p>
        </w:tc>
      </w:tr>
      <w:tr w:rsidR="007B4DB1" w:rsidRPr="007B4DB1" w:rsidTr="003A10F3">
        <w:trPr>
          <w:gridAfter w:val="9"/>
          <w:wAfter w:w="5670" w:type="dxa"/>
          <w:trHeight w:val="300"/>
        </w:trPr>
        <w:tc>
          <w:tcPr>
            <w:tcW w:w="4050" w:type="dxa"/>
            <w:gridSpan w:val="4"/>
            <w:tcBorders>
              <w:top w:val="nil"/>
              <w:left w:val="nil"/>
              <w:bottom w:val="nil"/>
              <w:right w:val="nil"/>
            </w:tcBorders>
            <w:noWrap/>
            <w:vAlign w:val="center"/>
          </w:tcPr>
          <w:p w:rsidR="007B4DB1" w:rsidRPr="007B4DB1" w:rsidRDefault="007B4DB1" w:rsidP="007B4DB1">
            <w:pPr>
              <w:spacing w:after="0" w:line="240" w:lineRule="auto"/>
              <w:rPr>
                <w:rFonts w:ascii="Times New Roman" w:eastAsiaTheme="minorEastAsia" w:hAnsi="Times New Roman" w:cs="Times New Roman"/>
                <w:b/>
                <w:bCs/>
                <w:color w:val="000000"/>
                <w:sz w:val="24"/>
                <w:szCs w:val="24"/>
              </w:rPr>
            </w:pPr>
            <w:r w:rsidRPr="007B4DB1">
              <w:rPr>
                <w:rFonts w:ascii="Times New Roman" w:eastAsiaTheme="minorEastAsia" w:hAnsi="Times New Roman" w:cs="Times New Roman"/>
                <w:b/>
                <w:bCs/>
                <w:color w:val="000000"/>
                <w:sz w:val="24"/>
                <w:szCs w:val="24"/>
              </w:rPr>
              <w:t>Mathematics Transitions Program</w:t>
            </w:r>
          </w:p>
        </w:tc>
      </w:tr>
      <w:tr w:rsidR="007B4DB1" w:rsidRPr="007B4DB1" w:rsidTr="003A10F3">
        <w:trPr>
          <w:gridAfter w:val="9"/>
          <w:wAfter w:w="5670" w:type="dxa"/>
          <w:trHeight w:val="240"/>
        </w:trPr>
        <w:tc>
          <w:tcPr>
            <w:tcW w:w="1418" w:type="dxa"/>
            <w:tcBorders>
              <w:top w:val="nil"/>
              <w:left w:val="nil"/>
              <w:bottom w:val="nil"/>
              <w:right w:val="nil"/>
            </w:tcBorders>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8"/>
                <w:szCs w:val="28"/>
              </w:rPr>
            </w:pPr>
          </w:p>
        </w:tc>
        <w:tc>
          <w:tcPr>
            <w:tcW w:w="1282" w:type="dxa"/>
            <w:tcBorders>
              <w:top w:val="nil"/>
              <w:left w:val="nil"/>
              <w:bottom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4"/>
                <w:szCs w:val="24"/>
              </w:rPr>
            </w:pPr>
          </w:p>
        </w:tc>
        <w:tc>
          <w:tcPr>
            <w:tcW w:w="1350" w:type="dxa"/>
            <w:gridSpan w:val="2"/>
            <w:tcBorders>
              <w:top w:val="nil"/>
              <w:left w:val="nil"/>
              <w:bottom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4"/>
                <w:szCs w:val="24"/>
              </w:rPr>
            </w:pPr>
          </w:p>
        </w:tc>
      </w:tr>
      <w:tr w:rsidR="007B4DB1" w:rsidRPr="007B4DB1" w:rsidTr="00E3433D">
        <w:trPr>
          <w:trHeight w:val="930"/>
        </w:trPr>
        <w:tc>
          <w:tcPr>
            <w:tcW w:w="1418" w:type="dxa"/>
            <w:tcBorders>
              <w:top w:val="single" w:sz="4" w:space="0" w:color="auto"/>
              <w:left w:val="single" w:sz="4" w:space="0" w:color="auto"/>
              <w:bottom w:val="single" w:sz="4" w:space="0" w:color="auto"/>
              <w:right w:val="single" w:sz="4" w:space="0" w:color="auto"/>
            </w:tcBorders>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Minimum ACT Exit Expectation</w:t>
            </w:r>
          </w:p>
        </w:tc>
        <w:tc>
          <w:tcPr>
            <w:tcW w:w="1282" w:type="dxa"/>
            <w:tcBorders>
              <w:top w:val="single" w:sz="4" w:space="0" w:color="auto"/>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24-27</w:t>
            </w:r>
          </w:p>
        </w:tc>
        <w:tc>
          <w:tcPr>
            <w:tcW w:w="1350" w:type="dxa"/>
            <w:gridSpan w:val="2"/>
            <w:tcBorders>
              <w:top w:val="single" w:sz="4" w:space="0" w:color="auto"/>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24-27</w:t>
            </w:r>
          </w:p>
        </w:tc>
        <w:tc>
          <w:tcPr>
            <w:tcW w:w="1628" w:type="dxa"/>
            <w:tcBorders>
              <w:top w:val="single" w:sz="4" w:space="0" w:color="auto"/>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22-24</w:t>
            </w:r>
          </w:p>
        </w:tc>
        <w:tc>
          <w:tcPr>
            <w:tcW w:w="1432" w:type="dxa"/>
            <w:gridSpan w:val="2"/>
            <w:tcBorders>
              <w:top w:val="single" w:sz="4" w:space="0" w:color="auto"/>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22</w:t>
            </w:r>
          </w:p>
        </w:tc>
        <w:tc>
          <w:tcPr>
            <w:tcW w:w="1350" w:type="dxa"/>
            <w:gridSpan w:val="4"/>
            <w:tcBorders>
              <w:top w:val="single" w:sz="4" w:space="0" w:color="auto"/>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19</w:t>
            </w:r>
          </w:p>
        </w:tc>
        <w:tc>
          <w:tcPr>
            <w:tcW w:w="1260" w:type="dxa"/>
            <w:gridSpan w:val="2"/>
            <w:tcBorders>
              <w:top w:val="single" w:sz="4" w:space="0" w:color="auto"/>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RTI</w:t>
            </w:r>
          </w:p>
        </w:tc>
      </w:tr>
      <w:tr w:rsidR="007B4DB1" w:rsidRPr="007B4DB1" w:rsidTr="003A10F3">
        <w:trPr>
          <w:trHeight w:val="126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12-2</w:t>
            </w:r>
          </w:p>
        </w:tc>
        <w:tc>
          <w:tcPr>
            <w:tcW w:w="1282"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AP Cal</w:t>
            </w:r>
          </w:p>
        </w:tc>
        <w:tc>
          <w:tcPr>
            <w:tcW w:w="135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Pre-Calculus</w:t>
            </w:r>
          </w:p>
        </w:tc>
        <w:tc>
          <w:tcPr>
            <w:tcW w:w="1628" w:type="dxa"/>
            <w:tcBorders>
              <w:top w:val="nil"/>
              <w:left w:val="nil"/>
              <w:bottom w:val="single" w:sz="4" w:space="0" w:color="auto"/>
              <w:right w:val="single" w:sz="4" w:space="0" w:color="auto"/>
            </w:tcBorders>
            <w:shd w:val="clear" w:color="000000" w:fill="FFFFFF"/>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Transition Math, DE College Algebra, or Pre-</w:t>
            </w:r>
            <w:proofErr w:type="spellStart"/>
            <w:r w:rsidRPr="007B4DB1">
              <w:rPr>
                <w:rFonts w:ascii="Times New Roman" w:eastAsiaTheme="minorEastAsia" w:hAnsi="Times New Roman" w:cs="Times New Roman"/>
                <w:color w:val="000000"/>
                <w:sz w:val="20"/>
                <w:szCs w:val="20"/>
              </w:rPr>
              <w:t>Calc</w:t>
            </w:r>
            <w:proofErr w:type="spellEnd"/>
          </w:p>
        </w:tc>
        <w:tc>
          <w:tcPr>
            <w:tcW w:w="1432" w:type="dxa"/>
            <w:gridSpan w:val="2"/>
            <w:tcBorders>
              <w:top w:val="nil"/>
              <w:left w:val="nil"/>
              <w:bottom w:val="single" w:sz="4" w:space="0" w:color="auto"/>
              <w:right w:val="single" w:sz="4" w:space="0" w:color="auto"/>
            </w:tcBorders>
            <w:shd w:val="clear" w:color="000000" w:fill="FFFFFF"/>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Transition Math, DE College Algebra, or Pre-</w:t>
            </w:r>
            <w:proofErr w:type="spellStart"/>
            <w:r w:rsidRPr="007B4DB1">
              <w:rPr>
                <w:rFonts w:ascii="Times New Roman" w:eastAsiaTheme="minorEastAsia" w:hAnsi="Times New Roman" w:cs="Times New Roman"/>
                <w:color w:val="000000"/>
                <w:sz w:val="20"/>
                <w:szCs w:val="20"/>
              </w:rPr>
              <w:t>Calc</w:t>
            </w:r>
            <w:proofErr w:type="spellEnd"/>
          </w:p>
        </w:tc>
        <w:tc>
          <w:tcPr>
            <w:tcW w:w="1350" w:type="dxa"/>
            <w:gridSpan w:val="4"/>
            <w:tcBorders>
              <w:top w:val="nil"/>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4 HS</w:t>
            </w:r>
          </w:p>
        </w:tc>
        <w:tc>
          <w:tcPr>
            <w:tcW w:w="1260" w:type="dxa"/>
            <w:gridSpan w:val="2"/>
            <w:tcBorders>
              <w:top w:val="single" w:sz="4" w:space="0" w:color="auto"/>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 w/Lab</w:t>
            </w:r>
          </w:p>
        </w:tc>
      </w:tr>
      <w:tr w:rsidR="007B4DB1" w:rsidRPr="007B4DB1" w:rsidTr="003A10F3">
        <w:trPr>
          <w:trHeight w:val="1260"/>
        </w:trPr>
        <w:tc>
          <w:tcPr>
            <w:tcW w:w="1418" w:type="dxa"/>
            <w:tcBorders>
              <w:top w:val="nil"/>
              <w:left w:val="single" w:sz="4" w:space="0" w:color="auto"/>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12-1</w:t>
            </w:r>
          </w:p>
        </w:tc>
        <w:tc>
          <w:tcPr>
            <w:tcW w:w="1282"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AP Cal</w:t>
            </w:r>
          </w:p>
        </w:tc>
        <w:tc>
          <w:tcPr>
            <w:tcW w:w="135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Pre-Calculus</w:t>
            </w:r>
          </w:p>
        </w:tc>
        <w:tc>
          <w:tcPr>
            <w:tcW w:w="1628" w:type="dxa"/>
            <w:tcBorders>
              <w:top w:val="nil"/>
              <w:left w:val="nil"/>
              <w:bottom w:val="single" w:sz="4" w:space="0" w:color="auto"/>
              <w:right w:val="single" w:sz="4" w:space="0" w:color="auto"/>
            </w:tcBorders>
            <w:shd w:val="clear" w:color="000000" w:fill="FFFFFF"/>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Transition Math, DE College Algebra, or Pre-</w:t>
            </w:r>
            <w:proofErr w:type="spellStart"/>
            <w:r w:rsidRPr="007B4DB1">
              <w:rPr>
                <w:rFonts w:ascii="Times New Roman" w:eastAsiaTheme="minorEastAsia" w:hAnsi="Times New Roman" w:cs="Times New Roman"/>
                <w:color w:val="000000"/>
                <w:sz w:val="20"/>
                <w:szCs w:val="20"/>
              </w:rPr>
              <w:t>Calc</w:t>
            </w:r>
            <w:proofErr w:type="spellEnd"/>
          </w:p>
        </w:tc>
        <w:tc>
          <w:tcPr>
            <w:tcW w:w="1432" w:type="dxa"/>
            <w:gridSpan w:val="2"/>
            <w:tcBorders>
              <w:top w:val="nil"/>
              <w:left w:val="nil"/>
              <w:bottom w:val="single" w:sz="4" w:space="0" w:color="auto"/>
              <w:right w:val="single" w:sz="4" w:space="0" w:color="auto"/>
            </w:tcBorders>
            <w:shd w:val="clear" w:color="000000" w:fill="FFFFFF"/>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 xml:space="preserve">Career Math, T1/T2 or College </w:t>
            </w:r>
            <w:proofErr w:type="spellStart"/>
            <w:r w:rsidRPr="007B4DB1">
              <w:rPr>
                <w:rFonts w:ascii="Times New Roman" w:eastAsiaTheme="minorEastAsia" w:hAnsi="Times New Roman" w:cs="Times New Roman"/>
                <w:color w:val="000000"/>
                <w:sz w:val="20"/>
                <w:szCs w:val="20"/>
              </w:rPr>
              <w:t>Alg</w:t>
            </w:r>
            <w:proofErr w:type="spellEnd"/>
          </w:p>
        </w:tc>
        <w:tc>
          <w:tcPr>
            <w:tcW w:w="1350" w:type="dxa"/>
            <w:gridSpan w:val="4"/>
            <w:tcBorders>
              <w:top w:val="nil"/>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4 HS</w:t>
            </w:r>
          </w:p>
        </w:tc>
        <w:tc>
          <w:tcPr>
            <w:tcW w:w="126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 w/Lab</w:t>
            </w:r>
          </w:p>
        </w:tc>
      </w:tr>
      <w:tr w:rsidR="007B4DB1" w:rsidRPr="007B4DB1" w:rsidTr="003A10F3">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11-2</w:t>
            </w:r>
          </w:p>
        </w:tc>
        <w:tc>
          <w:tcPr>
            <w:tcW w:w="1282"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Pre-Calculus</w:t>
            </w:r>
          </w:p>
        </w:tc>
        <w:tc>
          <w:tcPr>
            <w:tcW w:w="135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w:t>
            </w: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628"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432"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350" w:type="dxa"/>
            <w:gridSpan w:val="4"/>
            <w:tcBorders>
              <w:top w:val="nil"/>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3 HS</w:t>
            </w:r>
          </w:p>
        </w:tc>
        <w:tc>
          <w:tcPr>
            <w:tcW w:w="126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Geo-Alg2 w/Lab</w:t>
            </w:r>
          </w:p>
        </w:tc>
      </w:tr>
      <w:tr w:rsidR="007B4DB1" w:rsidRPr="007B4DB1" w:rsidTr="003A10F3">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11-1</w:t>
            </w:r>
          </w:p>
        </w:tc>
        <w:tc>
          <w:tcPr>
            <w:tcW w:w="1282"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Pre-Calculus</w:t>
            </w:r>
          </w:p>
        </w:tc>
        <w:tc>
          <w:tcPr>
            <w:tcW w:w="135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w:t>
            </w: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628"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432"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350" w:type="dxa"/>
            <w:gridSpan w:val="4"/>
            <w:tcBorders>
              <w:top w:val="nil"/>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3 HS</w:t>
            </w:r>
          </w:p>
        </w:tc>
        <w:tc>
          <w:tcPr>
            <w:tcW w:w="126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 w/Lab</w:t>
            </w:r>
          </w:p>
        </w:tc>
      </w:tr>
      <w:tr w:rsidR="007B4DB1" w:rsidRPr="007B4DB1" w:rsidTr="003A10F3">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10-2</w:t>
            </w:r>
          </w:p>
        </w:tc>
        <w:tc>
          <w:tcPr>
            <w:tcW w:w="1282"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w:t>
            </w: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35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Geo</w:t>
            </w:r>
          </w:p>
        </w:tc>
        <w:tc>
          <w:tcPr>
            <w:tcW w:w="1628"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w:t>
            </w:r>
          </w:p>
        </w:tc>
        <w:tc>
          <w:tcPr>
            <w:tcW w:w="1432"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w:t>
            </w:r>
          </w:p>
        </w:tc>
        <w:tc>
          <w:tcPr>
            <w:tcW w:w="1350" w:type="dxa"/>
            <w:gridSpan w:val="4"/>
            <w:tcBorders>
              <w:top w:val="nil"/>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2 HS</w:t>
            </w:r>
          </w:p>
        </w:tc>
        <w:tc>
          <w:tcPr>
            <w:tcW w:w="126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 w/Lab</w:t>
            </w:r>
          </w:p>
        </w:tc>
      </w:tr>
      <w:tr w:rsidR="007B4DB1" w:rsidRPr="007B4DB1" w:rsidTr="00D27504">
        <w:trPr>
          <w:trHeight w:val="315"/>
        </w:trPr>
        <w:tc>
          <w:tcPr>
            <w:tcW w:w="1418" w:type="dxa"/>
            <w:tcBorders>
              <w:top w:val="nil"/>
              <w:left w:val="single" w:sz="4" w:space="0" w:color="auto"/>
              <w:bottom w:val="single" w:sz="4" w:space="0" w:color="auto"/>
              <w:right w:val="single" w:sz="4" w:space="0" w:color="auto"/>
            </w:tcBorders>
            <w:shd w:val="clear" w:color="000000" w:fill="FFFFFF"/>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10-1</w:t>
            </w:r>
          </w:p>
        </w:tc>
        <w:tc>
          <w:tcPr>
            <w:tcW w:w="1282"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w:t>
            </w: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2</w:t>
            </w:r>
          </w:p>
        </w:tc>
        <w:tc>
          <w:tcPr>
            <w:tcW w:w="135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Geo</w:t>
            </w:r>
          </w:p>
        </w:tc>
        <w:tc>
          <w:tcPr>
            <w:tcW w:w="1628" w:type="dxa"/>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w:t>
            </w:r>
          </w:p>
        </w:tc>
        <w:tc>
          <w:tcPr>
            <w:tcW w:w="1432"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w:t>
            </w:r>
          </w:p>
        </w:tc>
        <w:tc>
          <w:tcPr>
            <w:tcW w:w="1350" w:type="dxa"/>
            <w:gridSpan w:val="4"/>
            <w:tcBorders>
              <w:top w:val="nil"/>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2 HS</w:t>
            </w:r>
          </w:p>
        </w:tc>
        <w:tc>
          <w:tcPr>
            <w:tcW w:w="1260" w:type="dxa"/>
            <w:gridSpan w:val="2"/>
            <w:tcBorders>
              <w:top w:val="nil"/>
              <w:left w:val="nil"/>
              <w:bottom w:val="single" w:sz="4" w:space="0" w:color="auto"/>
              <w:right w:val="single" w:sz="4" w:space="0" w:color="auto"/>
            </w:tcBorders>
            <w:shd w:val="clear" w:color="000000" w:fill="FFFFFF"/>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Geo-</w:t>
            </w: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1 w/Lab</w:t>
            </w:r>
          </w:p>
        </w:tc>
      </w:tr>
      <w:tr w:rsidR="007B4DB1" w:rsidRPr="007B4DB1" w:rsidTr="00D27504">
        <w:trPr>
          <w:trHeight w:val="315"/>
        </w:trPr>
        <w:tc>
          <w:tcPr>
            <w:tcW w:w="1418" w:type="dxa"/>
            <w:tcBorders>
              <w:top w:val="single" w:sz="4" w:space="0" w:color="auto"/>
              <w:left w:val="single" w:sz="4" w:space="0" w:color="auto"/>
              <w:bottom w:val="single" w:sz="4" w:space="0" w:color="auto"/>
              <w:right w:val="single" w:sz="4" w:space="0" w:color="auto"/>
            </w:tcBorders>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9-2</w:t>
            </w:r>
          </w:p>
        </w:tc>
        <w:tc>
          <w:tcPr>
            <w:tcW w:w="1282" w:type="dxa"/>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Geo</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w:t>
            </w:r>
            <w:proofErr w:type="spellStart"/>
            <w:r w:rsidRPr="007B4DB1">
              <w:rPr>
                <w:rFonts w:ascii="Times New Roman" w:eastAsiaTheme="minorEastAsia" w:hAnsi="Times New Roman" w:cs="Times New Roman"/>
                <w:color w:val="000000"/>
                <w:sz w:val="20"/>
                <w:szCs w:val="20"/>
              </w:rPr>
              <w:t>Alg</w:t>
            </w:r>
            <w:proofErr w:type="spellEnd"/>
          </w:p>
        </w:tc>
        <w:tc>
          <w:tcPr>
            <w:tcW w:w="1628" w:type="dxa"/>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1</w:t>
            </w:r>
          </w:p>
        </w:tc>
        <w:tc>
          <w:tcPr>
            <w:tcW w:w="1432" w:type="dxa"/>
            <w:gridSpan w:val="2"/>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1</w:t>
            </w:r>
          </w:p>
        </w:tc>
        <w:tc>
          <w:tcPr>
            <w:tcW w:w="1350" w:type="dxa"/>
            <w:gridSpan w:val="4"/>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1 HS</w:t>
            </w:r>
          </w:p>
        </w:tc>
        <w:tc>
          <w:tcPr>
            <w:tcW w:w="1260" w:type="dxa"/>
            <w:gridSpan w:val="2"/>
            <w:tcBorders>
              <w:top w:val="nil"/>
              <w:left w:val="nil"/>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1 w/Lab</w:t>
            </w:r>
          </w:p>
        </w:tc>
      </w:tr>
      <w:tr w:rsidR="007B4DB1" w:rsidRPr="007B4DB1" w:rsidTr="00D27504">
        <w:trPr>
          <w:trHeight w:val="330"/>
        </w:trPr>
        <w:tc>
          <w:tcPr>
            <w:tcW w:w="1418" w:type="dxa"/>
            <w:tcBorders>
              <w:top w:val="single" w:sz="4" w:space="0" w:color="auto"/>
              <w:left w:val="single" w:sz="4" w:space="0" w:color="auto"/>
              <w:bottom w:val="single" w:sz="4" w:space="0" w:color="auto"/>
              <w:right w:val="single" w:sz="4" w:space="0" w:color="auto"/>
            </w:tcBorders>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9-1</w:t>
            </w:r>
          </w:p>
        </w:tc>
        <w:tc>
          <w:tcPr>
            <w:tcW w:w="1282" w:type="dxa"/>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Geo</w:t>
            </w:r>
          </w:p>
        </w:tc>
        <w:tc>
          <w:tcPr>
            <w:tcW w:w="1350" w:type="dxa"/>
            <w:gridSpan w:val="2"/>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Adv</w:t>
            </w:r>
            <w:proofErr w:type="spellEnd"/>
            <w:r w:rsidRPr="007B4DB1">
              <w:rPr>
                <w:rFonts w:ascii="Times New Roman" w:eastAsiaTheme="minorEastAsia" w:hAnsi="Times New Roman" w:cs="Times New Roman"/>
                <w:color w:val="000000"/>
                <w:sz w:val="20"/>
                <w:szCs w:val="20"/>
              </w:rPr>
              <w:t xml:space="preserve"> </w:t>
            </w:r>
            <w:proofErr w:type="spellStart"/>
            <w:r w:rsidRPr="007B4DB1">
              <w:rPr>
                <w:rFonts w:ascii="Times New Roman" w:eastAsiaTheme="minorEastAsia" w:hAnsi="Times New Roman" w:cs="Times New Roman"/>
                <w:color w:val="000000"/>
                <w:sz w:val="20"/>
                <w:szCs w:val="20"/>
              </w:rPr>
              <w:t>Alg</w:t>
            </w:r>
            <w:proofErr w:type="spellEnd"/>
          </w:p>
        </w:tc>
        <w:tc>
          <w:tcPr>
            <w:tcW w:w="1628" w:type="dxa"/>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1</w:t>
            </w:r>
          </w:p>
        </w:tc>
        <w:tc>
          <w:tcPr>
            <w:tcW w:w="1432" w:type="dxa"/>
            <w:gridSpan w:val="2"/>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1</w:t>
            </w:r>
          </w:p>
        </w:tc>
        <w:tc>
          <w:tcPr>
            <w:tcW w:w="1350" w:type="dxa"/>
            <w:gridSpan w:val="4"/>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Integrated 1 HS</w:t>
            </w:r>
          </w:p>
        </w:tc>
        <w:tc>
          <w:tcPr>
            <w:tcW w:w="1260" w:type="dxa"/>
            <w:gridSpan w:val="2"/>
            <w:tcBorders>
              <w:top w:val="single" w:sz="4" w:space="0" w:color="auto"/>
              <w:left w:val="single" w:sz="4" w:space="0" w:color="auto"/>
              <w:bottom w:val="single" w:sz="4" w:space="0" w:color="auto"/>
              <w:right w:val="single" w:sz="4" w:space="0" w:color="auto"/>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roofErr w:type="spellStart"/>
            <w:r w:rsidRPr="007B4DB1">
              <w:rPr>
                <w:rFonts w:ascii="Times New Roman" w:eastAsiaTheme="minorEastAsia" w:hAnsi="Times New Roman" w:cs="Times New Roman"/>
                <w:color w:val="000000"/>
                <w:sz w:val="20"/>
                <w:szCs w:val="20"/>
              </w:rPr>
              <w:t>Alg</w:t>
            </w:r>
            <w:proofErr w:type="spellEnd"/>
            <w:r w:rsidRPr="007B4DB1">
              <w:rPr>
                <w:rFonts w:ascii="Times New Roman" w:eastAsiaTheme="minorEastAsia" w:hAnsi="Times New Roman" w:cs="Times New Roman"/>
                <w:color w:val="000000"/>
                <w:sz w:val="20"/>
                <w:szCs w:val="20"/>
              </w:rPr>
              <w:t xml:space="preserve"> 1 w/Lab</w:t>
            </w:r>
          </w:p>
        </w:tc>
      </w:tr>
      <w:tr w:rsidR="007B4DB1" w:rsidRPr="007B4DB1" w:rsidTr="00243952">
        <w:trPr>
          <w:gridAfter w:val="2"/>
          <w:wAfter w:w="1260" w:type="dxa"/>
          <w:trHeight w:val="180"/>
        </w:trPr>
        <w:tc>
          <w:tcPr>
            <w:tcW w:w="1418" w:type="dxa"/>
            <w:tcBorders>
              <w:top w:val="single" w:sz="4" w:space="0" w:color="auto"/>
              <w:left w:val="nil"/>
              <w:right w:val="nil"/>
            </w:tcBorders>
            <w:noWrap/>
            <w:vAlign w:val="bottom"/>
          </w:tcPr>
          <w:p w:rsidR="007B4DB1" w:rsidRDefault="007B4DB1" w:rsidP="007B4DB1">
            <w:pPr>
              <w:spacing w:after="0" w:line="240" w:lineRule="auto"/>
              <w:rPr>
                <w:rFonts w:ascii="Times New Roman" w:eastAsiaTheme="minorEastAsia" w:hAnsi="Times New Roman" w:cs="Times New Roman"/>
                <w:color w:val="000000"/>
                <w:sz w:val="20"/>
                <w:szCs w:val="20"/>
              </w:rPr>
            </w:pPr>
          </w:p>
          <w:p w:rsidR="00243952" w:rsidRPr="007B4DB1" w:rsidRDefault="00243952" w:rsidP="007B4DB1">
            <w:pPr>
              <w:spacing w:after="0" w:line="240" w:lineRule="auto"/>
              <w:rPr>
                <w:rFonts w:ascii="Times New Roman" w:eastAsiaTheme="minorEastAsia" w:hAnsi="Times New Roman" w:cs="Times New Roman"/>
                <w:color w:val="000000"/>
                <w:sz w:val="20"/>
                <w:szCs w:val="20"/>
              </w:rPr>
            </w:pPr>
          </w:p>
        </w:tc>
        <w:tc>
          <w:tcPr>
            <w:tcW w:w="1282" w:type="dxa"/>
            <w:tcBorders>
              <w:top w:val="single" w:sz="4" w:space="0" w:color="auto"/>
              <w:left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350" w:type="dxa"/>
            <w:gridSpan w:val="2"/>
            <w:tcBorders>
              <w:top w:val="single" w:sz="4" w:space="0" w:color="auto"/>
              <w:left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628" w:type="dxa"/>
            <w:tcBorders>
              <w:top w:val="single" w:sz="4" w:space="0" w:color="auto"/>
              <w:left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432" w:type="dxa"/>
            <w:gridSpan w:val="2"/>
            <w:tcBorders>
              <w:top w:val="single" w:sz="4" w:space="0" w:color="auto"/>
              <w:left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350" w:type="dxa"/>
            <w:gridSpan w:val="4"/>
            <w:tcBorders>
              <w:top w:val="single" w:sz="4" w:space="0" w:color="auto"/>
              <w:left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3"/>
          <w:wAfter w:w="1980" w:type="dxa"/>
          <w:trHeight w:val="300"/>
        </w:trPr>
        <w:tc>
          <w:tcPr>
            <w:tcW w:w="5678" w:type="dxa"/>
            <w:gridSpan w:val="5"/>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lastRenderedPageBreak/>
              <w:t xml:space="preserve">9-1 (9th grade - 1st semester) placement based on review of the </w:t>
            </w:r>
          </w:p>
        </w:tc>
        <w:tc>
          <w:tcPr>
            <w:tcW w:w="2062" w:type="dxa"/>
            <w:gridSpan w:val="5"/>
            <w:tcBorders>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1"/>
          <w:wAfter w:w="540" w:type="dxa"/>
          <w:trHeight w:val="300"/>
        </w:trPr>
        <w:tc>
          <w:tcPr>
            <w:tcW w:w="3548" w:type="dxa"/>
            <w:gridSpan w:val="3"/>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 xml:space="preserve">     following placement criteria:</w:t>
            </w:r>
          </w:p>
        </w:tc>
        <w:tc>
          <w:tcPr>
            <w:tcW w:w="2130" w:type="dxa"/>
            <w:gridSpan w:val="2"/>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236" w:type="dxa"/>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736" w:type="dxa"/>
            <w:gridSpan w:val="3"/>
            <w:tcBorders>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530" w:type="dxa"/>
            <w:gridSpan w:val="3"/>
            <w:tcBorders>
              <w:top w:val="nil"/>
              <w:left w:val="nil"/>
              <w:bottom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1"/>
          <w:wAfter w:w="540" w:type="dxa"/>
          <w:trHeight w:val="300"/>
        </w:trPr>
        <w:tc>
          <w:tcPr>
            <w:tcW w:w="5678" w:type="dxa"/>
            <w:gridSpan w:val="5"/>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b/>
                <w:bCs/>
                <w:color w:val="000000"/>
                <w:sz w:val="20"/>
                <w:szCs w:val="20"/>
              </w:rPr>
              <w:t>Explore</w:t>
            </w:r>
            <w:r w:rsidRPr="007B4DB1">
              <w:rPr>
                <w:rFonts w:ascii="Times New Roman" w:eastAsiaTheme="minorEastAsia" w:hAnsi="Times New Roman" w:cs="Times New Roman"/>
                <w:color w:val="000000"/>
                <w:sz w:val="20"/>
                <w:szCs w:val="20"/>
              </w:rPr>
              <w:t xml:space="preserve"> (math index); </w:t>
            </w:r>
            <w:r w:rsidRPr="007B4DB1">
              <w:rPr>
                <w:rFonts w:ascii="Times New Roman" w:eastAsiaTheme="minorEastAsia" w:hAnsi="Times New Roman" w:cs="Times New Roman"/>
                <w:b/>
                <w:bCs/>
                <w:color w:val="000000"/>
                <w:sz w:val="20"/>
                <w:szCs w:val="20"/>
              </w:rPr>
              <w:t>ITBS</w:t>
            </w:r>
            <w:r w:rsidRPr="007B4DB1">
              <w:rPr>
                <w:rFonts w:ascii="Times New Roman" w:eastAsiaTheme="minorEastAsia" w:hAnsi="Times New Roman" w:cs="Times New Roman"/>
                <w:color w:val="000000"/>
                <w:sz w:val="20"/>
                <w:szCs w:val="20"/>
              </w:rPr>
              <w:t xml:space="preserve"> National %-</w:t>
            </w:r>
            <w:proofErr w:type="spellStart"/>
            <w:r w:rsidRPr="007B4DB1">
              <w:rPr>
                <w:rFonts w:ascii="Times New Roman" w:eastAsiaTheme="minorEastAsia" w:hAnsi="Times New Roman" w:cs="Times New Roman"/>
                <w:color w:val="000000"/>
                <w:sz w:val="20"/>
                <w:szCs w:val="20"/>
              </w:rPr>
              <w:t>ile</w:t>
            </w:r>
            <w:proofErr w:type="spellEnd"/>
            <w:r w:rsidRPr="007B4DB1">
              <w:rPr>
                <w:rFonts w:ascii="Times New Roman" w:eastAsiaTheme="minorEastAsia" w:hAnsi="Times New Roman" w:cs="Times New Roman"/>
                <w:color w:val="000000"/>
                <w:sz w:val="20"/>
                <w:szCs w:val="20"/>
              </w:rPr>
              <w:t xml:space="preserve">; </w:t>
            </w:r>
            <w:r w:rsidRPr="007B4DB1">
              <w:rPr>
                <w:rFonts w:ascii="Times New Roman" w:eastAsiaTheme="minorEastAsia" w:hAnsi="Times New Roman" w:cs="Times New Roman"/>
                <w:b/>
                <w:bCs/>
                <w:color w:val="000000"/>
                <w:sz w:val="20"/>
                <w:szCs w:val="20"/>
              </w:rPr>
              <w:t>Automaticity</w:t>
            </w:r>
            <w:r w:rsidRPr="007B4DB1">
              <w:rPr>
                <w:rFonts w:ascii="Times New Roman" w:eastAsiaTheme="minorEastAsia" w:hAnsi="Times New Roman" w:cs="Times New Roman"/>
                <w:color w:val="000000"/>
                <w:sz w:val="20"/>
                <w:szCs w:val="20"/>
              </w:rPr>
              <w:t xml:space="preserve"> (Auto </w:t>
            </w:r>
          </w:p>
        </w:tc>
        <w:tc>
          <w:tcPr>
            <w:tcW w:w="1972" w:type="dxa"/>
            <w:gridSpan w:val="4"/>
            <w:tcBorders>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530" w:type="dxa"/>
            <w:gridSpan w:val="3"/>
            <w:tcBorders>
              <w:top w:val="nil"/>
              <w:left w:val="nil"/>
              <w:bottom w:val="nil"/>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1"/>
          <w:wAfter w:w="540" w:type="dxa"/>
          <w:trHeight w:val="255"/>
        </w:trPr>
        <w:tc>
          <w:tcPr>
            <w:tcW w:w="9180" w:type="dxa"/>
            <w:gridSpan w:val="12"/>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 xml:space="preserve">    # missed/time); </w:t>
            </w:r>
            <w:r w:rsidRPr="007B4DB1">
              <w:rPr>
                <w:rFonts w:ascii="Times New Roman" w:eastAsiaTheme="minorEastAsia" w:hAnsi="Times New Roman" w:cs="Times New Roman"/>
                <w:b/>
                <w:bCs/>
                <w:color w:val="000000"/>
                <w:sz w:val="20"/>
                <w:szCs w:val="20"/>
              </w:rPr>
              <w:t>MAP/</w:t>
            </w:r>
            <w:proofErr w:type="spellStart"/>
            <w:r w:rsidRPr="007B4DB1">
              <w:rPr>
                <w:rFonts w:ascii="Times New Roman" w:eastAsiaTheme="minorEastAsia" w:hAnsi="Times New Roman" w:cs="Times New Roman"/>
                <w:b/>
                <w:bCs/>
                <w:color w:val="000000"/>
                <w:sz w:val="20"/>
                <w:szCs w:val="20"/>
              </w:rPr>
              <w:t>ThinkLink</w:t>
            </w:r>
            <w:proofErr w:type="spellEnd"/>
            <w:r w:rsidRPr="007B4DB1">
              <w:rPr>
                <w:rFonts w:ascii="Times New Roman" w:eastAsiaTheme="minorEastAsia" w:hAnsi="Times New Roman" w:cs="Times New Roman"/>
                <w:b/>
                <w:bCs/>
                <w:color w:val="000000"/>
                <w:sz w:val="20"/>
                <w:szCs w:val="20"/>
              </w:rPr>
              <w:t>, DOMA; KCCT</w:t>
            </w:r>
            <w:r w:rsidRPr="007B4DB1">
              <w:rPr>
                <w:rFonts w:ascii="Times New Roman" w:eastAsiaTheme="minorEastAsia" w:hAnsi="Times New Roman" w:cs="Times New Roman"/>
                <w:color w:val="000000"/>
                <w:sz w:val="20"/>
                <w:szCs w:val="20"/>
              </w:rPr>
              <w:t xml:space="preserve">; </w:t>
            </w:r>
            <w:proofErr w:type="spellStart"/>
            <w:r w:rsidRPr="007B4DB1">
              <w:rPr>
                <w:rFonts w:ascii="Times New Roman" w:eastAsiaTheme="minorEastAsia" w:hAnsi="Times New Roman" w:cs="Times New Roman"/>
                <w:b/>
                <w:bCs/>
                <w:color w:val="000000"/>
                <w:sz w:val="20"/>
                <w:szCs w:val="20"/>
              </w:rPr>
              <w:t>ThinkLink</w:t>
            </w:r>
            <w:proofErr w:type="spellEnd"/>
            <w:r w:rsidRPr="007B4DB1">
              <w:rPr>
                <w:rFonts w:ascii="Times New Roman" w:eastAsiaTheme="minorEastAsia" w:hAnsi="Times New Roman" w:cs="Times New Roman"/>
                <w:color w:val="000000"/>
                <w:sz w:val="20"/>
                <w:szCs w:val="20"/>
              </w:rPr>
              <w:t xml:space="preserve">; </w:t>
            </w:r>
            <w:r w:rsidRPr="007B4DB1">
              <w:rPr>
                <w:rFonts w:ascii="Times New Roman" w:eastAsiaTheme="minorEastAsia" w:hAnsi="Times New Roman" w:cs="Times New Roman"/>
                <w:b/>
                <w:bCs/>
                <w:color w:val="000000"/>
                <w:sz w:val="20"/>
                <w:szCs w:val="20"/>
              </w:rPr>
              <w:t>8th grade math</w:t>
            </w:r>
            <w:r w:rsidRPr="007B4DB1">
              <w:rPr>
                <w:rFonts w:ascii="Times New Roman" w:eastAsiaTheme="minorEastAsia" w:hAnsi="Times New Roman" w:cs="Times New Roman"/>
                <w:color w:val="000000"/>
                <w:sz w:val="20"/>
                <w:szCs w:val="20"/>
              </w:rPr>
              <w:t xml:space="preserve"> grade; </w:t>
            </w:r>
            <w:r w:rsidRPr="007B4DB1">
              <w:rPr>
                <w:rFonts w:ascii="Times New Roman" w:eastAsiaTheme="minorEastAsia" w:hAnsi="Times New Roman" w:cs="Times New Roman"/>
                <w:b/>
                <w:bCs/>
                <w:color w:val="000000"/>
                <w:sz w:val="20"/>
                <w:szCs w:val="20"/>
              </w:rPr>
              <w:t>Algebra or Geometry grade.</w:t>
            </w:r>
          </w:p>
        </w:tc>
      </w:tr>
      <w:tr w:rsidR="007B4DB1" w:rsidRPr="007B4DB1" w:rsidTr="00243952">
        <w:trPr>
          <w:gridAfter w:val="5"/>
          <w:wAfter w:w="2339" w:type="dxa"/>
          <w:trHeight w:val="180"/>
        </w:trPr>
        <w:tc>
          <w:tcPr>
            <w:tcW w:w="1418" w:type="dxa"/>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p>
        </w:tc>
        <w:tc>
          <w:tcPr>
            <w:tcW w:w="2130" w:type="dxa"/>
            <w:gridSpan w:val="2"/>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2130" w:type="dxa"/>
            <w:gridSpan w:val="2"/>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703" w:type="dxa"/>
            <w:gridSpan w:val="3"/>
            <w:tcBorders>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5"/>
          <w:wAfter w:w="2339" w:type="dxa"/>
          <w:trHeight w:val="300"/>
        </w:trPr>
        <w:tc>
          <w:tcPr>
            <w:tcW w:w="7381" w:type="dxa"/>
            <w:gridSpan w:val="8"/>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 xml:space="preserve">Horizontal movement is encouraged based on review of </w:t>
            </w:r>
          </w:p>
        </w:tc>
      </w:tr>
      <w:tr w:rsidR="007B4DB1" w:rsidRPr="007B4DB1" w:rsidTr="00243952">
        <w:trPr>
          <w:gridAfter w:val="5"/>
          <w:wAfter w:w="2339" w:type="dxa"/>
          <w:trHeight w:val="300"/>
        </w:trPr>
        <w:tc>
          <w:tcPr>
            <w:tcW w:w="3548" w:type="dxa"/>
            <w:gridSpan w:val="3"/>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proofErr w:type="gramStart"/>
            <w:r w:rsidRPr="007B4DB1">
              <w:rPr>
                <w:rFonts w:ascii="Times New Roman" w:eastAsiaTheme="minorEastAsia" w:hAnsi="Times New Roman" w:cs="Times New Roman"/>
                <w:color w:val="000000"/>
                <w:sz w:val="20"/>
                <w:szCs w:val="20"/>
              </w:rPr>
              <w:t>placement</w:t>
            </w:r>
            <w:proofErr w:type="gramEnd"/>
            <w:r w:rsidRPr="007B4DB1">
              <w:rPr>
                <w:rFonts w:ascii="Times New Roman" w:eastAsiaTheme="minorEastAsia" w:hAnsi="Times New Roman" w:cs="Times New Roman"/>
                <w:color w:val="000000"/>
                <w:sz w:val="20"/>
                <w:szCs w:val="20"/>
              </w:rPr>
              <w:t xml:space="preserve"> criteria.</w:t>
            </w:r>
          </w:p>
        </w:tc>
        <w:tc>
          <w:tcPr>
            <w:tcW w:w="2130" w:type="dxa"/>
            <w:gridSpan w:val="2"/>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703" w:type="dxa"/>
            <w:gridSpan w:val="3"/>
            <w:tcBorders>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5"/>
          <w:wAfter w:w="2339" w:type="dxa"/>
          <w:trHeight w:val="300"/>
        </w:trPr>
        <w:tc>
          <w:tcPr>
            <w:tcW w:w="1418" w:type="dxa"/>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p>
        </w:tc>
        <w:tc>
          <w:tcPr>
            <w:tcW w:w="2130" w:type="dxa"/>
            <w:gridSpan w:val="2"/>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2130" w:type="dxa"/>
            <w:gridSpan w:val="2"/>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c>
          <w:tcPr>
            <w:tcW w:w="1703" w:type="dxa"/>
            <w:gridSpan w:val="3"/>
            <w:tcBorders>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5"/>
          <w:wAfter w:w="2339" w:type="dxa"/>
          <w:trHeight w:val="300"/>
        </w:trPr>
        <w:tc>
          <w:tcPr>
            <w:tcW w:w="5678" w:type="dxa"/>
            <w:gridSpan w:val="5"/>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r w:rsidRPr="007B4DB1">
              <w:rPr>
                <w:rFonts w:ascii="Times New Roman" w:eastAsiaTheme="minorEastAsia" w:hAnsi="Times New Roman" w:cs="Times New Roman"/>
                <w:color w:val="000000"/>
                <w:sz w:val="20"/>
                <w:szCs w:val="20"/>
              </w:rPr>
              <w:t xml:space="preserve">T1/T2/T3:  Transitional Math 1, 2 &amp; 3 </w:t>
            </w:r>
          </w:p>
        </w:tc>
        <w:tc>
          <w:tcPr>
            <w:tcW w:w="1703" w:type="dxa"/>
            <w:gridSpan w:val="3"/>
            <w:tcBorders>
              <w:right w:val="nil"/>
            </w:tcBorders>
            <w:noWrap/>
            <w:vAlign w:val="center"/>
          </w:tcPr>
          <w:p w:rsidR="007B4DB1" w:rsidRPr="007B4DB1" w:rsidRDefault="007B4DB1" w:rsidP="007B4DB1">
            <w:pPr>
              <w:spacing w:after="0" w:line="240" w:lineRule="auto"/>
              <w:jc w:val="center"/>
              <w:rPr>
                <w:rFonts w:ascii="Times New Roman" w:eastAsiaTheme="minorEastAsia" w:hAnsi="Times New Roman" w:cs="Times New Roman"/>
                <w:color w:val="000000"/>
                <w:sz w:val="20"/>
                <w:szCs w:val="20"/>
              </w:rPr>
            </w:pPr>
          </w:p>
        </w:tc>
      </w:tr>
      <w:tr w:rsidR="007B4DB1" w:rsidRPr="007B4DB1" w:rsidTr="00243952">
        <w:trPr>
          <w:gridAfter w:val="5"/>
          <w:wAfter w:w="2339" w:type="dxa"/>
          <w:trHeight w:val="300"/>
        </w:trPr>
        <w:tc>
          <w:tcPr>
            <w:tcW w:w="7381" w:type="dxa"/>
            <w:gridSpan w:val="8"/>
            <w:noWrap/>
            <w:vAlign w:val="bottom"/>
          </w:tcPr>
          <w:p w:rsidR="007B4DB1" w:rsidRPr="007B4DB1" w:rsidRDefault="007B4DB1" w:rsidP="007B4DB1">
            <w:pPr>
              <w:spacing w:after="0" w:line="240" w:lineRule="auto"/>
              <w:rPr>
                <w:rFonts w:ascii="Times New Roman" w:eastAsiaTheme="minorEastAsia" w:hAnsi="Times New Roman" w:cs="Times New Roman"/>
                <w:color w:val="000000"/>
                <w:sz w:val="20"/>
                <w:szCs w:val="20"/>
              </w:rPr>
            </w:pPr>
            <w:proofErr w:type="gramStart"/>
            <w:r w:rsidRPr="007B4DB1">
              <w:rPr>
                <w:rFonts w:ascii="Times New Roman" w:eastAsiaTheme="minorEastAsia" w:hAnsi="Times New Roman" w:cs="Times New Roman"/>
                <w:color w:val="000000"/>
                <w:sz w:val="20"/>
                <w:szCs w:val="20"/>
              </w:rPr>
              <w:t>developmental</w:t>
            </w:r>
            <w:proofErr w:type="gramEnd"/>
            <w:r w:rsidRPr="007B4DB1">
              <w:rPr>
                <w:rFonts w:ascii="Times New Roman" w:eastAsiaTheme="minorEastAsia" w:hAnsi="Times New Roman" w:cs="Times New Roman"/>
                <w:color w:val="000000"/>
                <w:sz w:val="20"/>
                <w:szCs w:val="20"/>
              </w:rPr>
              <w:t xml:space="preserve"> course in math skills for career-college readiness.</w:t>
            </w:r>
          </w:p>
        </w:tc>
      </w:tr>
    </w:tbl>
    <w:p w:rsidR="007B4DB1" w:rsidRPr="007B4DB1" w:rsidRDefault="007B4DB1" w:rsidP="007B4DB1">
      <w:pPr>
        <w:spacing w:after="0" w:line="240" w:lineRule="auto"/>
        <w:rPr>
          <w:rFonts w:ascii="Times New Roman" w:eastAsiaTheme="minorEastAsia" w:hAnsi="Times New Roman" w:cs="Times New Roman"/>
          <w:sz w:val="24"/>
          <w:szCs w:val="24"/>
        </w:rPr>
      </w:pPr>
    </w:p>
    <w:p w:rsidR="007B4DB1" w:rsidRPr="007B4DB1" w:rsidRDefault="007B4DB1" w:rsidP="007B4DB1">
      <w:pPr>
        <w:spacing w:after="0" w:line="240" w:lineRule="auto"/>
        <w:ind w:firstLine="720"/>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 xml:space="preserve">This model is either currently in place or being adopted in several counties in Kentucky including: McCreary, Letcher, Lawrence, Estill, </w:t>
      </w:r>
      <w:r w:rsidR="00E3433D">
        <w:rPr>
          <w:rFonts w:ascii="Times New Roman" w:eastAsiaTheme="minorEastAsia" w:hAnsi="Times New Roman" w:cs="Times New Roman"/>
          <w:sz w:val="24"/>
          <w:szCs w:val="24"/>
        </w:rPr>
        <w:t>Greenup, Carter</w:t>
      </w:r>
      <w:r w:rsidRPr="007B4DB1">
        <w:rPr>
          <w:rFonts w:ascii="Times New Roman" w:eastAsiaTheme="minorEastAsia" w:hAnsi="Times New Roman" w:cs="Times New Roman"/>
          <w:sz w:val="24"/>
          <w:szCs w:val="24"/>
        </w:rPr>
        <w:t xml:space="preserve">, Pineville, </w:t>
      </w:r>
      <w:r w:rsidR="00E3433D">
        <w:rPr>
          <w:rFonts w:ascii="Times New Roman" w:eastAsiaTheme="minorEastAsia" w:hAnsi="Times New Roman" w:cs="Times New Roman"/>
          <w:sz w:val="24"/>
          <w:szCs w:val="24"/>
        </w:rPr>
        <w:t xml:space="preserve">Casey, </w:t>
      </w:r>
      <w:r w:rsidRPr="007B4DB1">
        <w:rPr>
          <w:rFonts w:ascii="Times New Roman" w:eastAsiaTheme="minorEastAsia" w:hAnsi="Times New Roman" w:cs="Times New Roman"/>
          <w:sz w:val="24"/>
          <w:szCs w:val="24"/>
        </w:rPr>
        <w:t xml:space="preserve">Bullitt, Russell Independent, et al. This model is dynamic, with students </w:t>
      </w:r>
      <w:r w:rsidRPr="007B4DB1">
        <w:rPr>
          <w:rFonts w:ascii="Times New Roman" w:eastAsiaTheme="minorEastAsia" w:hAnsi="Times New Roman" w:cs="Times New Roman"/>
          <w:b/>
          <w:bCs/>
          <w:sz w:val="24"/>
          <w:szCs w:val="24"/>
        </w:rPr>
        <w:t xml:space="preserve">encouraged to migrate upwards to tracks that enable different levels of college mathematics readiness. </w:t>
      </w:r>
      <w:r w:rsidRPr="007B4DB1">
        <w:rPr>
          <w:rFonts w:ascii="Times New Roman" w:eastAsiaTheme="minorEastAsia" w:hAnsi="Times New Roman" w:cs="Times New Roman"/>
          <w:sz w:val="24"/>
          <w:szCs w:val="24"/>
        </w:rPr>
        <w:t xml:space="preserve">Student migration will be based on </w:t>
      </w:r>
      <w:r w:rsidRPr="007B4DB1">
        <w:rPr>
          <w:rFonts w:ascii="Times New Roman" w:eastAsiaTheme="minorEastAsia" w:hAnsi="Times New Roman" w:cs="Times New Roman"/>
          <w:b/>
          <w:bCs/>
          <w:sz w:val="24"/>
          <w:szCs w:val="24"/>
        </w:rPr>
        <w:t>quarterly, semi-annual, and annual measures of progress</w:t>
      </w:r>
      <w:r w:rsidRPr="007B4DB1">
        <w:rPr>
          <w:rFonts w:ascii="Times New Roman" w:eastAsiaTheme="minorEastAsia" w:hAnsi="Times New Roman" w:cs="Times New Roman"/>
          <w:sz w:val="24"/>
          <w:szCs w:val="24"/>
        </w:rPr>
        <w:t xml:space="preserve"> on the indicators previously mentioned. Depending on need, RTI classes will focus on remediation, reinforcement and/or enrichment of students.</w:t>
      </w: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ab/>
      </w:r>
      <w:r w:rsidRPr="007B4DB1">
        <w:rPr>
          <w:rFonts w:ascii="Times New Roman" w:eastAsiaTheme="minorEastAsia" w:hAnsi="Times New Roman" w:cs="Times New Roman"/>
          <w:b/>
          <w:bCs/>
          <w:sz w:val="24"/>
          <w:szCs w:val="24"/>
        </w:rPr>
        <w:t>The second leg of the framework for transformation is the curriculum</w:t>
      </w:r>
      <w:r w:rsidRPr="007B4DB1">
        <w:rPr>
          <w:rFonts w:ascii="Times New Roman" w:eastAsiaTheme="minorEastAsia" w:hAnsi="Times New Roman" w:cs="Times New Roman"/>
          <w:sz w:val="24"/>
          <w:szCs w:val="24"/>
        </w:rPr>
        <w:t>. The new Kentucky core standards for mathematics have been combined with the ACT college readiness standards to create a set of standards that are rigorous and measurable. Curriculum maps have been created that reflect these standards and teachers have already begun creating instructional maps to accompany the curriculum maps.</w:t>
      </w: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ab/>
      </w:r>
      <w:r w:rsidRPr="007B4DB1">
        <w:rPr>
          <w:rFonts w:ascii="Times New Roman" w:eastAsiaTheme="minorEastAsia" w:hAnsi="Times New Roman" w:cs="Times New Roman"/>
          <w:b/>
          <w:bCs/>
          <w:sz w:val="24"/>
          <w:szCs w:val="24"/>
        </w:rPr>
        <w:t>The third leg of the framework for transformation is instruction</w:t>
      </w:r>
      <w:r w:rsidRPr="007B4DB1">
        <w:rPr>
          <w:rFonts w:ascii="Times New Roman" w:eastAsiaTheme="minorEastAsia" w:hAnsi="Times New Roman" w:cs="Times New Roman"/>
          <w:sz w:val="24"/>
          <w:szCs w:val="24"/>
        </w:rPr>
        <w:t xml:space="preserve">. A dynamic teaching model that accommodates the learning styles of 14 to 17 year-old students will be phased in over the duration of this intervention. This teaching model </w:t>
      </w:r>
      <w:r w:rsidRPr="007B4DB1">
        <w:rPr>
          <w:rFonts w:ascii="Times New Roman" w:eastAsiaTheme="minorEastAsia" w:hAnsi="Times New Roman" w:cs="Times New Roman"/>
          <w:b/>
          <w:bCs/>
          <w:sz w:val="24"/>
          <w:szCs w:val="24"/>
        </w:rPr>
        <w:t>divides the learning period into segments of usually no more than 10 minutes.</w:t>
      </w:r>
      <w:r w:rsidRPr="007B4DB1">
        <w:rPr>
          <w:rFonts w:ascii="Times New Roman" w:eastAsiaTheme="minorEastAsia" w:hAnsi="Times New Roman" w:cs="Times New Roman"/>
          <w:sz w:val="24"/>
          <w:szCs w:val="24"/>
        </w:rPr>
        <w:t xml:space="preserve"> Teachers control the pace of the instruction and students are instructed in time segments corresponding to their optimal learning patterns.</w:t>
      </w:r>
    </w:p>
    <w:p w:rsidR="007B4DB1" w:rsidRPr="007B4DB1" w:rsidRDefault="007B4DB1" w:rsidP="007B4DB1">
      <w:pPr>
        <w:spacing w:after="0" w:line="240" w:lineRule="auto"/>
        <w:rPr>
          <w:rFonts w:ascii="Times New Roman" w:eastAsiaTheme="minorEastAsia" w:hAnsi="Times New Roman" w:cs="Times New Roman"/>
          <w:b/>
          <w:bCs/>
          <w:sz w:val="24"/>
          <w:szCs w:val="24"/>
        </w:rPr>
      </w:pPr>
      <w:r w:rsidRPr="007B4DB1">
        <w:rPr>
          <w:rFonts w:ascii="Times New Roman" w:eastAsiaTheme="minorEastAsia" w:hAnsi="Times New Roman" w:cs="Times New Roman"/>
          <w:sz w:val="24"/>
          <w:szCs w:val="24"/>
        </w:rPr>
        <w:tab/>
      </w:r>
      <w:r w:rsidRPr="007B4DB1">
        <w:rPr>
          <w:rFonts w:ascii="Times New Roman" w:eastAsiaTheme="minorEastAsia" w:hAnsi="Times New Roman" w:cs="Times New Roman"/>
          <w:b/>
          <w:bCs/>
          <w:sz w:val="24"/>
          <w:szCs w:val="24"/>
        </w:rPr>
        <w:t xml:space="preserve">Professional Development </w:t>
      </w:r>
      <w:r w:rsidR="00E3433D">
        <w:rPr>
          <w:rFonts w:ascii="Times New Roman" w:eastAsiaTheme="minorEastAsia" w:hAnsi="Times New Roman" w:cs="Times New Roman"/>
          <w:b/>
          <w:bCs/>
          <w:sz w:val="24"/>
          <w:szCs w:val="24"/>
        </w:rPr>
        <w:t>will begi</w:t>
      </w:r>
      <w:r w:rsidRPr="007B4DB1">
        <w:rPr>
          <w:rFonts w:ascii="Times New Roman" w:eastAsiaTheme="minorEastAsia" w:hAnsi="Times New Roman" w:cs="Times New Roman"/>
          <w:b/>
          <w:bCs/>
          <w:sz w:val="24"/>
          <w:szCs w:val="24"/>
        </w:rPr>
        <w:t>n</w:t>
      </w:r>
      <w:r w:rsidRPr="007B4DB1">
        <w:rPr>
          <w:rFonts w:ascii="Times New Roman" w:eastAsiaTheme="minorEastAsia" w:hAnsi="Times New Roman" w:cs="Times New Roman"/>
          <w:sz w:val="24"/>
          <w:szCs w:val="24"/>
        </w:rPr>
        <w:t xml:space="preserve"> that addresses the teacher needs in all 3 of the areas listed </w:t>
      </w:r>
      <w:r w:rsidRPr="007B4DB1">
        <w:rPr>
          <w:rFonts w:ascii="Times New Roman" w:eastAsiaTheme="minorEastAsia" w:hAnsi="Times New Roman" w:cs="Times New Roman"/>
          <w:b/>
          <w:bCs/>
          <w:sz w:val="24"/>
          <w:szCs w:val="24"/>
        </w:rPr>
        <w:t>and will continue weekly, monthly and annually throughout the duration of the grant and hopefully beyond.</w:t>
      </w:r>
    </w:p>
    <w:p w:rsidR="007B4DB1" w:rsidRPr="007B4DB1" w:rsidRDefault="007B4DB1" w:rsidP="007B4DB1">
      <w:pPr>
        <w:spacing w:after="0" w:line="240" w:lineRule="auto"/>
        <w:rPr>
          <w:rFonts w:ascii="Times New Roman" w:eastAsiaTheme="minorEastAsia" w:hAnsi="Times New Roman" w:cs="Times New Roman"/>
          <w:sz w:val="24"/>
          <w:szCs w:val="24"/>
        </w:rPr>
      </w:pP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ab/>
        <w:t>The Transformation Model will encompass various components of the following Transitions Programs current already initiated near the end of the last academic year in anticipation of full scale implementation:</w:t>
      </w:r>
    </w:p>
    <w:p w:rsidR="007B4DB1" w:rsidRPr="007B4DB1" w:rsidRDefault="007B4DB1" w:rsidP="007B4DB1">
      <w:pPr>
        <w:autoSpaceDE w:val="0"/>
        <w:autoSpaceDN w:val="0"/>
        <w:adjustRightInd w:val="0"/>
        <w:spacing w:after="0" w:line="240" w:lineRule="auto"/>
        <w:rPr>
          <w:rFonts w:ascii="Times New Roman" w:eastAsiaTheme="minorEastAsia" w:hAnsi="Times New Roman" w:cs="Times New Roman"/>
          <w:b/>
          <w:bCs/>
          <w:color w:val="000000"/>
          <w:sz w:val="20"/>
          <w:szCs w:val="20"/>
        </w:rPr>
      </w:pPr>
    </w:p>
    <w:p w:rsidR="007B4DB1" w:rsidRPr="007B4DB1" w:rsidRDefault="007B4DB1" w:rsidP="007B4DB1">
      <w:pPr>
        <w:autoSpaceDE w:val="0"/>
        <w:autoSpaceDN w:val="0"/>
        <w:adjustRightInd w:val="0"/>
        <w:spacing w:after="0" w:line="240" w:lineRule="auto"/>
        <w:rPr>
          <w:rFonts w:ascii="Times New Roman" w:eastAsiaTheme="minorEastAsia" w:hAnsi="Times New Roman" w:cs="Times New Roman"/>
          <w:color w:val="000000"/>
          <w:sz w:val="24"/>
          <w:szCs w:val="24"/>
        </w:rPr>
      </w:pPr>
      <w:r w:rsidRPr="007B4DB1">
        <w:rPr>
          <w:rFonts w:ascii="Times New Roman" w:eastAsiaTheme="minorEastAsia" w:hAnsi="Times New Roman" w:cs="Times New Roman"/>
          <w:b/>
          <w:bCs/>
          <w:color w:val="000000"/>
          <w:sz w:val="24"/>
          <w:szCs w:val="24"/>
        </w:rPr>
        <w:t xml:space="preserve">K-9 Transition Initiative Pilot Program </w:t>
      </w:r>
    </w:p>
    <w:p w:rsidR="007B4DB1" w:rsidRPr="007B4DB1" w:rsidRDefault="007B4DB1" w:rsidP="007B4DB1">
      <w:pPr>
        <w:spacing w:after="0" w:line="240" w:lineRule="auto"/>
        <w:rPr>
          <w:rFonts w:ascii="Times New Roman" w:eastAsiaTheme="minorEastAsia" w:hAnsi="Times New Roman" w:cs="Times New Roman"/>
          <w:b/>
          <w:bCs/>
        </w:rPr>
      </w:pP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 xml:space="preserve">The EKU Math Education Team is working with teachers in over 40 regional schools districts.  This Program initiative combines a </w:t>
      </w:r>
      <w:r w:rsidRPr="007B4DB1">
        <w:rPr>
          <w:rFonts w:ascii="Times New Roman" w:eastAsiaTheme="minorEastAsia" w:hAnsi="Times New Roman" w:cs="Times New Roman"/>
          <w:sz w:val="24"/>
          <w:szCs w:val="24"/>
          <w:u w:val="single"/>
        </w:rPr>
        <w:t>comprehensive basic skills initiative</w:t>
      </w:r>
      <w:r w:rsidRPr="007B4DB1">
        <w:rPr>
          <w:rFonts w:ascii="Times New Roman" w:eastAsiaTheme="minorEastAsia" w:hAnsi="Times New Roman" w:cs="Times New Roman"/>
          <w:sz w:val="24"/>
          <w:szCs w:val="24"/>
        </w:rPr>
        <w:t xml:space="preserve"> centered on automaticity, numeracy and mathematics fluency and a </w:t>
      </w:r>
      <w:r w:rsidRPr="007B4DB1">
        <w:rPr>
          <w:rFonts w:ascii="Times New Roman" w:eastAsiaTheme="minorEastAsia" w:hAnsi="Times New Roman" w:cs="Times New Roman"/>
          <w:sz w:val="24"/>
          <w:szCs w:val="24"/>
          <w:u w:val="single"/>
        </w:rPr>
        <w:t>comprehensive testing and remediation program</w:t>
      </w:r>
      <w:r w:rsidRPr="007B4DB1">
        <w:rPr>
          <w:rFonts w:ascii="Times New Roman" w:eastAsiaTheme="minorEastAsia" w:hAnsi="Times New Roman" w:cs="Times New Roman"/>
          <w:sz w:val="24"/>
          <w:szCs w:val="24"/>
        </w:rPr>
        <w:t>.  In this pilot program, teachers have been empowered to create grade level end of course skills tests to evaluate individual students for placement and remediation.</w:t>
      </w:r>
      <w:r w:rsidR="00D27504">
        <w:rPr>
          <w:rFonts w:ascii="Times New Roman" w:eastAsiaTheme="minorEastAsia" w:hAnsi="Times New Roman" w:cs="Times New Roman"/>
          <w:sz w:val="24"/>
          <w:szCs w:val="24"/>
        </w:rPr>
        <w:t xml:space="preserve"> This ongoing initiative [Year 4</w:t>
      </w:r>
      <w:r w:rsidRPr="007B4DB1">
        <w:rPr>
          <w:rFonts w:ascii="Times New Roman" w:eastAsiaTheme="minorEastAsia" w:hAnsi="Times New Roman" w:cs="Times New Roman"/>
          <w:sz w:val="24"/>
          <w:szCs w:val="24"/>
        </w:rPr>
        <w:t>] has shown promising results with Phase two [remediation schedules] instituted. The Math Education Team has expanded the program to other selected schools in the EKU service region with similar levels of success. Professional development sessions for schools and districts participating in this initiative have been on going</w:t>
      </w: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w:t>
      </w:r>
    </w:p>
    <w:p w:rsidR="007B4DB1" w:rsidRPr="007B4DB1" w:rsidRDefault="007B4DB1" w:rsidP="007B4DB1">
      <w:pPr>
        <w:keepNext/>
        <w:spacing w:after="0" w:line="240" w:lineRule="auto"/>
        <w:outlineLvl w:val="0"/>
        <w:rPr>
          <w:rFonts w:ascii="Times New Roman" w:eastAsiaTheme="minorEastAsia" w:hAnsi="Times New Roman" w:cs="Times New Roman"/>
          <w:b/>
          <w:bCs/>
          <w:sz w:val="24"/>
          <w:szCs w:val="24"/>
        </w:rPr>
      </w:pPr>
      <w:r w:rsidRPr="007B4DB1">
        <w:rPr>
          <w:rFonts w:ascii="Times New Roman" w:eastAsiaTheme="minorEastAsia" w:hAnsi="Times New Roman" w:cs="Times New Roman"/>
          <w:b/>
          <w:bCs/>
          <w:sz w:val="24"/>
          <w:szCs w:val="24"/>
        </w:rPr>
        <w:lastRenderedPageBreak/>
        <w:t>Secondary Transition to College Mathematics Courses</w:t>
      </w:r>
    </w:p>
    <w:p w:rsidR="007B4DB1" w:rsidRPr="007B4DB1" w:rsidRDefault="007B4DB1" w:rsidP="007B4DB1">
      <w:pPr>
        <w:spacing w:after="0" w:line="240" w:lineRule="auto"/>
        <w:rPr>
          <w:rFonts w:ascii="Times New Roman" w:eastAsiaTheme="minorEastAsia" w:hAnsi="Times New Roman" w:cs="Times New Roman"/>
          <w:b/>
          <w:bCs/>
          <w:sz w:val="24"/>
          <w:szCs w:val="24"/>
        </w:rPr>
      </w:pPr>
    </w:p>
    <w:p w:rsidR="007B4DB1" w:rsidRPr="007B4DB1" w:rsidRDefault="007B4DB1" w:rsidP="007B4DB1">
      <w:pPr>
        <w:spacing w:after="0" w:line="240" w:lineRule="auto"/>
        <w:rPr>
          <w:rFonts w:ascii="Times New Roman" w:eastAsiaTheme="minorEastAsia" w:hAnsi="Times New Roman" w:cs="Times New Roman"/>
          <w:color w:val="29303B"/>
          <w:sz w:val="24"/>
          <w:szCs w:val="24"/>
        </w:rPr>
      </w:pPr>
      <w:r w:rsidRPr="007B4DB1">
        <w:rPr>
          <w:rFonts w:ascii="Times New Roman" w:eastAsiaTheme="minorEastAsia" w:hAnsi="Times New Roman" w:cs="Times New Roman"/>
          <w:sz w:val="24"/>
          <w:szCs w:val="24"/>
        </w:rPr>
        <w:t xml:space="preserve">The EKU Mathematics Education team in the Department of Mathematics and Statistics was tasked to assist regional school districts and high schools in designing and implementing ‘transition to college’ math courses.  Meetings were held in late summer of 2009 to develop pilot transition programs at targeted regional schools. The pilot program centered on a framework of content and concepts [T1, T2, and T3, roughly aligned with the Developmental Courses at EKU] that can be adapted to the specific needs and conditions in each high school. </w:t>
      </w:r>
      <w:r w:rsidRPr="007B4DB1">
        <w:rPr>
          <w:rFonts w:ascii="Times New Roman" w:eastAsiaTheme="minorEastAsia" w:hAnsi="Times New Roman" w:cs="Times New Roman"/>
          <w:b/>
          <w:bCs/>
          <w:sz w:val="24"/>
          <w:szCs w:val="24"/>
          <w:u w:val="single"/>
        </w:rPr>
        <w:t>Long-term and sustainable change is best attained when the change is embedded, bottom-up, has input from the local stakeholders and is based on sound research and principles. These curricula contain all of these components.</w:t>
      </w:r>
      <w:r w:rsidRPr="007B4DB1">
        <w:rPr>
          <w:rFonts w:ascii="Times New Roman" w:eastAsiaTheme="minorEastAsia" w:hAnsi="Times New Roman" w:cs="Times New Roman"/>
          <w:b/>
          <w:bCs/>
          <w:sz w:val="24"/>
          <w:szCs w:val="24"/>
        </w:rPr>
        <w:t xml:space="preserve"> </w:t>
      </w:r>
      <w:r w:rsidRPr="007B4DB1">
        <w:rPr>
          <w:rFonts w:ascii="Times New Roman" w:eastAsiaTheme="minorEastAsia" w:hAnsi="Times New Roman" w:cs="Times New Roman"/>
          <w:sz w:val="24"/>
          <w:szCs w:val="24"/>
        </w:rPr>
        <w:t>Teachers in each school are charged with designing instructional plans based on the curricula provided by the EKU Math Education team. EKU Math Education team provided materials such as worksheets, class notes, and measurement instruments (quizzes and tests) for teachers. EKU provided entrée into the KYOTE system for pre/post testing, diagnostics and scores for developmental and non-developmental placement. EKU added components for automaticity/numeracy/math fluency, college readiness, and self-directed learning. The Kentucky Commissioner of Education described this initiative as “</w:t>
      </w:r>
      <w:r w:rsidRPr="007B4DB1">
        <w:rPr>
          <w:rFonts w:ascii="Times New Roman" w:eastAsiaTheme="minorEastAsia" w:hAnsi="Times New Roman" w:cs="Times New Roman"/>
          <w:color w:val="29303B"/>
          <w:sz w:val="24"/>
          <w:szCs w:val="24"/>
        </w:rPr>
        <w:t>A Best Practice in Kentucky Schools”.  [KDE 2009]</w:t>
      </w:r>
    </w:p>
    <w:p w:rsidR="007B4DB1" w:rsidRPr="007B4DB1" w:rsidRDefault="007B4DB1" w:rsidP="007B4DB1">
      <w:pPr>
        <w:spacing w:after="0" w:line="240" w:lineRule="auto"/>
        <w:rPr>
          <w:rFonts w:ascii="Times New Roman" w:eastAsiaTheme="minorEastAsia" w:hAnsi="Times New Roman" w:cs="Times New Roman"/>
          <w:b/>
          <w:bCs/>
          <w:sz w:val="24"/>
          <w:szCs w:val="24"/>
        </w:rPr>
      </w:pPr>
    </w:p>
    <w:p w:rsidR="007B4DB1" w:rsidRPr="007B4DB1" w:rsidRDefault="007B4DB1" w:rsidP="007B4DB1">
      <w:pPr>
        <w:spacing w:after="0" w:line="240" w:lineRule="auto"/>
        <w:rPr>
          <w:rFonts w:ascii="Times New Roman" w:eastAsiaTheme="minorEastAsia" w:hAnsi="Times New Roman" w:cs="Times New Roman"/>
          <w:b/>
          <w:bCs/>
          <w:sz w:val="24"/>
          <w:szCs w:val="24"/>
        </w:rPr>
      </w:pPr>
      <w:r w:rsidRPr="007B4DB1">
        <w:rPr>
          <w:rFonts w:ascii="Times New Roman" w:eastAsiaTheme="minorEastAsia" w:hAnsi="Times New Roman" w:cs="Times New Roman"/>
          <w:b/>
          <w:bCs/>
          <w:sz w:val="24"/>
          <w:szCs w:val="24"/>
        </w:rPr>
        <w:t>K-9 Transition Program Components:</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Diagnostics: Automaticity/Test Regimens</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Grade Level Tests</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Data Analysis</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 xml:space="preserve">Automaticity Remediation </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Algorithmic Facility</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Numeracy/Math Fluency</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Intervention/Remediation/Reinforcement/Enrichment</w:t>
      </w:r>
    </w:p>
    <w:p w:rsidR="007B4DB1" w:rsidRPr="007B4DB1" w:rsidRDefault="007B4DB1" w:rsidP="007B4DB1">
      <w:pPr>
        <w:numPr>
          <w:ilvl w:val="0"/>
          <w:numId w:val="1"/>
        </w:num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K-2 Component</w:t>
      </w:r>
    </w:p>
    <w:p w:rsidR="007B4DB1" w:rsidRPr="007B4DB1" w:rsidRDefault="007B4DB1" w:rsidP="007B4DB1">
      <w:pPr>
        <w:spacing w:after="0" w:line="240" w:lineRule="auto"/>
        <w:rPr>
          <w:rFonts w:ascii="Times New Roman" w:eastAsiaTheme="minorEastAsia" w:hAnsi="Times New Roman" w:cs="Times New Roman"/>
          <w:sz w:val="24"/>
          <w:szCs w:val="24"/>
        </w:rPr>
      </w:pP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 xml:space="preserve">Although </w:t>
      </w:r>
      <w:r w:rsidRPr="007B4DB1">
        <w:rPr>
          <w:rFonts w:ascii="Times New Roman" w:eastAsiaTheme="minorEastAsia" w:hAnsi="Times New Roman" w:cs="Times New Roman"/>
          <w:b/>
          <w:bCs/>
          <w:sz w:val="24"/>
          <w:szCs w:val="24"/>
        </w:rPr>
        <w:t>research shows that automaticity and basic skill remediation has a long-term payoff</w:t>
      </w:r>
      <w:r w:rsidRPr="007B4DB1">
        <w:rPr>
          <w:rFonts w:ascii="Times New Roman" w:eastAsiaTheme="minorEastAsia" w:hAnsi="Times New Roman" w:cs="Times New Roman"/>
          <w:sz w:val="24"/>
          <w:szCs w:val="24"/>
        </w:rPr>
        <w:t xml:space="preserve"> in measurable results on standardized tests, initial results show that student achievement scores in mathematics are moving upward. In one measure, MAP testing, initial data indicates upward growth in percentile scores [relative position among tested students]. </w:t>
      </w: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 xml:space="preserve">Phase 1: This meeting is to review/reiterate the program’s goals and procedures and to explain and set up the automaticity diagnostic procedures. </w:t>
      </w: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Phase 2: This meeting is a PD session to review the diagnostic data and help teachers set up initial remediation regimens. The EKU Math Team will provide resources that include the Automaticity Review sheets, and teachers from districts already familiar with and successfully using these sheets to conduct sessions. Additional discussions will take place concerning other transition options currently in place at the original pilot school.</w:t>
      </w:r>
    </w:p>
    <w:p w:rsid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 xml:space="preserve">Phase 3: Individualized remediation with computer assisted programs.  Remediation – Reinforcement </w:t>
      </w:r>
      <w:r>
        <w:rPr>
          <w:rFonts w:ascii="Times New Roman" w:eastAsiaTheme="minorEastAsia" w:hAnsi="Times New Roman" w:cs="Times New Roman"/>
          <w:sz w:val="24"/>
          <w:szCs w:val="24"/>
        </w:rPr>
        <w:t>–</w:t>
      </w:r>
      <w:r w:rsidRPr="007B4DB1">
        <w:rPr>
          <w:rFonts w:ascii="Times New Roman" w:eastAsiaTheme="minorEastAsia" w:hAnsi="Times New Roman" w:cs="Times New Roman"/>
          <w:sz w:val="24"/>
          <w:szCs w:val="24"/>
        </w:rPr>
        <w:t xml:space="preserve"> Enrichment</w:t>
      </w:r>
    </w:p>
    <w:p w:rsidR="007B4DB1" w:rsidRPr="007B4DB1" w:rsidRDefault="007B4DB1" w:rsidP="007B4DB1">
      <w:pPr>
        <w:spacing w:after="0" w:line="240" w:lineRule="auto"/>
        <w:rPr>
          <w:rFonts w:ascii="Times New Roman" w:eastAsiaTheme="minorEastAsia" w:hAnsi="Times New Roman" w:cs="Times New Roman"/>
          <w:b/>
          <w:bCs/>
          <w:sz w:val="24"/>
          <w:szCs w:val="24"/>
        </w:rPr>
      </w:pPr>
    </w:p>
    <w:p w:rsidR="007B4DB1" w:rsidRPr="007B4DB1" w:rsidRDefault="007B4DB1" w:rsidP="007B4DB1">
      <w:pPr>
        <w:spacing w:after="0" w:line="240" w:lineRule="auto"/>
        <w:rPr>
          <w:rFonts w:ascii="Times New Roman" w:eastAsiaTheme="minorEastAsia" w:hAnsi="Times New Roman" w:cs="Times New Roman"/>
          <w:b/>
          <w:bCs/>
          <w:sz w:val="24"/>
          <w:szCs w:val="24"/>
        </w:rPr>
      </w:pPr>
      <w:r w:rsidRPr="007B4DB1">
        <w:rPr>
          <w:rFonts w:ascii="Times New Roman" w:eastAsiaTheme="minorEastAsia" w:hAnsi="Times New Roman" w:cs="Times New Roman"/>
          <w:b/>
          <w:bCs/>
          <w:sz w:val="24"/>
          <w:szCs w:val="24"/>
        </w:rPr>
        <w:t>Grades 6-12 Math Programs</w:t>
      </w:r>
    </w:p>
    <w:p w:rsidR="007B4DB1" w:rsidRPr="007B4DB1" w:rsidRDefault="007B4DB1" w:rsidP="007B4DB1">
      <w:pPr>
        <w:spacing w:after="0" w:line="240" w:lineRule="auto"/>
        <w:rPr>
          <w:rFonts w:ascii="Times New Roman" w:eastAsiaTheme="minorEastAsia" w:hAnsi="Times New Roman" w:cs="Times New Roman"/>
          <w:sz w:val="24"/>
          <w:szCs w:val="24"/>
        </w:rPr>
      </w:pPr>
      <w:r w:rsidRPr="007B4DB1">
        <w:rPr>
          <w:rFonts w:ascii="Times New Roman" w:eastAsiaTheme="minorEastAsia" w:hAnsi="Times New Roman" w:cs="Times New Roman"/>
          <w:sz w:val="24"/>
          <w:szCs w:val="24"/>
        </w:rPr>
        <w:t>The program contains the following components that are customized to meet the needs of student and faculty:</w:t>
      </w:r>
    </w:p>
    <w:p w:rsidR="007B4DB1" w:rsidRPr="007B4DB1" w:rsidRDefault="007B4DB1" w:rsidP="007B4DB1">
      <w:pPr>
        <w:numPr>
          <w:ilvl w:val="0"/>
          <w:numId w:val="2"/>
        </w:numPr>
        <w:spacing w:after="0" w:line="240" w:lineRule="auto"/>
        <w:rPr>
          <w:rFonts w:ascii="Times New Roman" w:eastAsiaTheme="minorEastAsia" w:hAnsi="Times New Roman" w:cs="Times New Roman"/>
        </w:rPr>
      </w:pPr>
      <w:r w:rsidRPr="007B4DB1">
        <w:rPr>
          <w:rFonts w:ascii="Times New Roman" w:eastAsiaTheme="minorEastAsia" w:hAnsi="Times New Roman" w:cs="Times New Roman"/>
        </w:rPr>
        <w:t>Needs based placement [RTI for all ability groups]</w:t>
      </w:r>
    </w:p>
    <w:p w:rsidR="007B4DB1" w:rsidRPr="007B4DB1" w:rsidRDefault="007B4DB1" w:rsidP="007B4DB1">
      <w:pPr>
        <w:numPr>
          <w:ilvl w:val="0"/>
          <w:numId w:val="2"/>
        </w:numPr>
        <w:spacing w:after="0" w:line="240" w:lineRule="auto"/>
        <w:rPr>
          <w:rFonts w:ascii="Times New Roman" w:eastAsiaTheme="minorEastAsia" w:hAnsi="Times New Roman" w:cs="Times New Roman"/>
        </w:rPr>
      </w:pPr>
      <w:r w:rsidRPr="007B4DB1">
        <w:rPr>
          <w:rFonts w:ascii="Times New Roman" w:eastAsiaTheme="minorEastAsia" w:hAnsi="Times New Roman" w:cs="Times New Roman"/>
        </w:rPr>
        <w:t>Assessment leading instruction</w:t>
      </w:r>
    </w:p>
    <w:p w:rsidR="007B4DB1" w:rsidRPr="007B4DB1" w:rsidRDefault="007B4DB1" w:rsidP="007B4DB1">
      <w:pPr>
        <w:numPr>
          <w:ilvl w:val="0"/>
          <w:numId w:val="2"/>
        </w:numPr>
        <w:spacing w:after="0" w:line="240" w:lineRule="auto"/>
        <w:rPr>
          <w:rFonts w:ascii="Times New Roman" w:eastAsiaTheme="minorEastAsia" w:hAnsi="Times New Roman" w:cs="Times New Roman"/>
        </w:rPr>
      </w:pPr>
      <w:r w:rsidRPr="007B4DB1">
        <w:rPr>
          <w:rFonts w:ascii="Times New Roman" w:eastAsiaTheme="minorEastAsia" w:hAnsi="Times New Roman" w:cs="Times New Roman"/>
        </w:rPr>
        <w:t>Dynamic Teaching Model</w:t>
      </w:r>
    </w:p>
    <w:p w:rsidR="007B4DB1" w:rsidRPr="007B4DB1" w:rsidRDefault="007B4DB1" w:rsidP="007B4DB1">
      <w:pPr>
        <w:numPr>
          <w:ilvl w:val="0"/>
          <w:numId w:val="2"/>
        </w:numPr>
        <w:spacing w:after="0" w:line="240" w:lineRule="auto"/>
        <w:rPr>
          <w:rFonts w:ascii="Times New Roman" w:eastAsiaTheme="minorEastAsia" w:hAnsi="Times New Roman" w:cs="Times New Roman"/>
        </w:rPr>
      </w:pPr>
      <w:r w:rsidRPr="007B4DB1">
        <w:rPr>
          <w:rFonts w:ascii="Times New Roman" w:eastAsiaTheme="minorEastAsia" w:hAnsi="Times New Roman" w:cs="Times New Roman"/>
        </w:rPr>
        <w:t>Dynamic needs-based grouping program with flexible options for Students</w:t>
      </w:r>
    </w:p>
    <w:p w:rsidR="007B4DB1" w:rsidRPr="007B4DB1" w:rsidRDefault="007B4DB1" w:rsidP="007B4DB1">
      <w:pPr>
        <w:numPr>
          <w:ilvl w:val="0"/>
          <w:numId w:val="2"/>
        </w:numPr>
        <w:spacing w:after="0" w:line="240" w:lineRule="auto"/>
        <w:rPr>
          <w:rFonts w:ascii="Times New Roman" w:eastAsiaTheme="minorEastAsia" w:hAnsi="Times New Roman" w:cs="Times New Roman"/>
        </w:rPr>
      </w:pPr>
      <w:r w:rsidRPr="007B4DB1">
        <w:rPr>
          <w:rFonts w:ascii="Times New Roman" w:eastAsiaTheme="minorEastAsia" w:hAnsi="Times New Roman" w:cs="Times New Roman"/>
        </w:rPr>
        <w:lastRenderedPageBreak/>
        <w:t>Minimum goals of College Readiness. [ACT of 19]</w:t>
      </w:r>
    </w:p>
    <w:p w:rsidR="007B4DB1" w:rsidRDefault="007B4DB1" w:rsidP="007B4DB1">
      <w:pPr>
        <w:numPr>
          <w:ilvl w:val="0"/>
          <w:numId w:val="2"/>
        </w:numPr>
        <w:spacing w:after="0" w:line="240" w:lineRule="auto"/>
        <w:rPr>
          <w:rFonts w:ascii="Times New Roman" w:eastAsiaTheme="minorEastAsia" w:hAnsi="Times New Roman" w:cs="Times New Roman"/>
        </w:rPr>
      </w:pPr>
      <w:r w:rsidRPr="007B4DB1">
        <w:rPr>
          <w:rFonts w:ascii="Times New Roman" w:eastAsiaTheme="minorEastAsia" w:hAnsi="Times New Roman" w:cs="Times New Roman"/>
        </w:rPr>
        <w:t>Additional Level goals of College Algebra Readiness [ACT of 22] and Calculus Readiness [ACT of 27]</w:t>
      </w:r>
    </w:p>
    <w:p w:rsidR="00276857" w:rsidRDefault="00276857" w:rsidP="00276857">
      <w:pPr>
        <w:spacing w:after="0" w:line="240" w:lineRule="auto"/>
        <w:ind w:left="720"/>
        <w:rPr>
          <w:rFonts w:ascii="Times New Roman" w:eastAsiaTheme="minorEastAsia" w:hAnsi="Times New Roman" w:cs="Times New Roman"/>
        </w:rPr>
      </w:pPr>
    </w:p>
    <w:p w:rsidR="00276857" w:rsidRPr="007B4DB1" w:rsidRDefault="00276857" w:rsidP="00276857">
      <w:pPr>
        <w:spacing w:after="0" w:line="240" w:lineRule="auto"/>
        <w:ind w:left="720"/>
        <w:rPr>
          <w:rFonts w:ascii="Times New Roman" w:eastAsiaTheme="minorEastAsia"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7B4DB1" w:rsidRPr="007B4DB1" w:rsidTr="003A10F3">
        <w:tc>
          <w:tcPr>
            <w:tcW w:w="9576" w:type="dxa"/>
          </w:tcPr>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Theme="minorEastAsia" w:hAnsi="Arial" w:cs="Arial"/>
                <w:sz w:val="20"/>
                <w:szCs w:val="20"/>
              </w:rPr>
            </w:pPr>
            <w:r w:rsidRPr="007B4DB1">
              <w:rPr>
                <w:rFonts w:ascii="Arial" w:eastAsiaTheme="minorEastAsia" w:hAnsi="Arial" w:cs="Arial"/>
                <w:sz w:val="20"/>
                <w:szCs w:val="20"/>
              </w:rPr>
              <w:t>References:</w:t>
            </w:r>
          </w:p>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Theme="minorEastAsia" w:hAnsi="Arial" w:cs="Arial"/>
                <w:b/>
                <w:bCs/>
                <w:sz w:val="20"/>
                <w:szCs w:val="20"/>
              </w:rPr>
            </w:pPr>
            <w:r w:rsidRPr="007B4DB1">
              <w:rPr>
                <w:rFonts w:ascii="Arial" w:eastAsiaTheme="minorEastAsia" w:hAnsi="Arial" w:cs="Arial"/>
                <w:sz w:val="20"/>
                <w:szCs w:val="20"/>
              </w:rPr>
              <w:t>A National Convocation on Professional Development For Mathematics and Science Teachers, K-12, Horizon Research, Inc., September 2002 [Excerpts]</w:t>
            </w:r>
          </w:p>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Theme="minorEastAsia" w:hAnsi="Arial" w:cs="Arial"/>
                <w:sz w:val="20"/>
                <w:szCs w:val="20"/>
              </w:rPr>
            </w:pPr>
            <w:r w:rsidRPr="007B4DB1">
              <w:rPr>
                <w:rFonts w:ascii="Arial" w:eastAsiaTheme="minorEastAsia" w:hAnsi="Arial" w:cs="Arial"/>
                <w:sz w:val="20"/>
                <w:szCs w:val="20"/>
              </w:rPr>
              <w:t>Elmore, R. F. 2002. Bridging the gap between standards and achievement: The imperative for</w:t>
            </w:r>
          </w:p>
          <w:p w:rsidR="007B4DB1" w:rsidRPr="007B4DB1" w:rsidRDefault="007B4DB1" w:rsidP="007B4DB1">
            <w:pPr>
              <w:spacing w:after="0" w:line="240" w:lineRule="auto"/>
              <w:rPr>
                <w:rFonts w:ascii="Arial" w:eastAsiaTheme="minorEastAsia" w:hAnsi="Arial" w:cs="Arial"/>
                <w:sz w:val="20"/>
                <w:szCs w:val="20"/>
              </w:rPr>
            </w:pPr>
            <w:proofErr w:type="gramStart"/>
            <w:r w:rsidRPr="007B4DB1">
              <w:rPr>
                <w:rFonts w:ascii="Arial" w:eastAsiaTheme="minorEastAsia" w:hAnsi="Arial" w:cs="Arial"/>
                <w:sz w:val="20"/>
                <w:szCs w:val="20"/>
              </w:rPr>
              <w:t>professional</w:t>
            </w:r>
            <w:proofErr w:type="gramEnd"/>
            <w:r w:rsidRPr="007B4DB1">
              <w:rPr>
                <w:rFonts w:ascii="Arial" w:eastAsiaTheme="minorEastAsia" w:hAnsi="Arial" w:cs="Arial"/>
                <w:sz w:val="20"/>
                <w:szCs w:val="20"/>
              </w:rPr>
              <w:t xml:space="preserve"> development in education. Washington, DC: The Albert </w:t>
            </w:r>
            <w:proofErr w:type="spellStart"/>
            <w:r w:rsidRPr="007B4DB1">
              <w:rPr>
                <w:rFonts w:ascii="Arial" w:eastAsiaTheme="minorEastAsia" w:hAnsi="Arial" w:cs="Arial"/>
                <w:sz w:val="20"/>
                <w:szCs w:val="20"/>
              </w:rPr>
              <w:t>Shanker</w:t>
            </w:r>
            <w:proofErr w:type="spellEnd"/>
            <w:r w:rsidRPr="007B4DB1">
              <w:rPr>
                <w:rFonts w:ascii="Arial" w:eastAsiaTheme="minorEastAsia" w:hAnsi="Arial" w:cs="Arial"/>
                <w:sz w:val="20"/>
                <w:szCs w:val="20"/>
              </w:rPr>
              <w:t xml:space="preserve"> Institute.</w:t>
            </w:r>
          </w:p>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Theme="minorEastAsia" w:hAnsi="Arial" w:cs="Arial"/>
                <w:sz w:val="20"/>
                <w:szCs w:val="20"/>
              </w:rPr>
            </w:pPr>
            <w:r w:rsidRPr="007B4DB1">
              <w:rPr>
                <w:rFonts w:ascii="Arial" w:eastAsiaTheme="minorEastAsia" w:hAnsi="Arial" w:cs="Arial"/>
                <w:sz w:val="20"/>
                <w:szCs w:val="20"/>
              </w:rPr>
              <w:t xml:space="preserve">The Fundamentals of Whole-System Reform, A Case Study From Canada; Michael </w:t>
            </w:r>
            <w:proofErr w:type="spellStart"/>
            <w:r w:rsidRPr="007B4DB1">
              <w:rPr>
                <w:rFonts w:ascii="Arial" w:eastAsiaTheme="minorEastAsia" w:hAnsi="Arial" w:cs="Arial"/>
                <w:sz w:val="20"/>
                <w:szCs w:val="20"/>
              </w:rPr>
              <w:t>Fullan</w:t>
            </w:r>
            <w:proofErr w:type="spellEnd"/>
            <w:r w:rsidRPr="007B4DB1">
              <w:rPr>
                <w:rFonts w:ascii="Arial" w:eastAsiaTheme="minorEastAsia" w:hAnsi="Arial" w:cs="Arial"/>
                <w:sz w:val="20"/>
                <w:szCs w:val="20"/>
              </w:rPr>
              <w:t xml:space="preserve"> &amp; Ben Levin; Education Week; Wednesday, June 17, 2009, Volume 28, Issue 35, pp. 30-31.</w:t>
            </w:r>
          </w:p>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Theme="minorEastAsia" w:hAnsi="Arial" w:cs="Arial"/>
                <w:sz w:val="20"/>
                <w:szCs w:val="20"/>
              </w:rPr>
            </w:pPr>
            <w:r w:rsidRPr="007B4DB1">
              <w:rPr>
                <w:rFonts w:ascii="Arial" w:eastAsiaTheme="minorEastAsia" w:hAnsi="Arial" w:cs="Arial"/>
                <w:sz w:val="20"/>
                <w:szCs w:val="20"/>
              </w:rPr>
              <w:t xml:space="preserve">Preparing Professional Development Providers: Lessons Learned from a Study of Teacher Leaders, Professional Development Convocation, September 30, 2002, </w:t>
            </w:r>
          </w:p>
          <w:p w:rsidR="007B4DB1" w:rsidRPr="007B4DB1" w:rsidRDefault="007B4DB1" w:rsidP="007B4DB1">
            <w:pPr>
              <w:autoSpaceDE w:val="0"/>
              <w:autoSpaceDN w:val="0"/>
              <w:adjustRightInd w:val="0"/>
              <w:spacing w:after="0" w:line="240" w:lineRule="auto"/>
              <w:rPr>
                <w:rFonts w:ascii="Arial" w:eastAsiaTheme="minorEastAsia" w:hAnsi="Arial" w:cs="Arial"/>
                <w:sz w:val="20"/>
                <w:szCs w:val="20"/>
              </w:rPr>
            </w:pPr>
          </w:p>
          <w:p w:rsidR="007B4DB1" w:rsidRPr="007B4DB1" w:rsidRDefault="007B4DB1" w:rsidP="007B4DB1">
            <w:pPr>
              <w:autoSpaceDE w:val="0"/>
              <w:autoSpaceDN w:val="0"/>
              <w:adjustRightInd w:val="0"/>
              <w:spacing w:after="0" w:line="240" w:lineRule="auto"/>
              <w:rPr>
                <w:rFonts w:ascii="Arial" w:eastAsiaTheme="minorEastAsia" w:hAnsi="Arial" w:cs="Arial"/>
                <w:sz w:val="20"/>
                <w:szCs w:val="20"/>
              </w:rPr>
            </w:pPr>
            <w:proofErr w:type="spellStart"/>
            <w:r w:rsidRPr="007B4DB1">
              <w:rPr>
                <w:rFonts w:ascii="Arial" w:eastAsiaTheme="minorEastAsia" w:hAnsi="Arial" w:cs="Arial"/>
                <w:sz w:val="20"/>
                <w:szCs w:val="20"/>
              </w:rPr>
              <w:t>Sorcinelli</w:t>
            </w:r>
            <w:proofErr w:type="spellEnd"/>
            <w:r w:rsidRPr="007B4DB1">
              <w:rPr>
                <w:rFonts w:ascii="Arial" w:eastAsiaTheme="minorEastAsia" w:hAnsi="Arial" w:cs="Arial"/>
                <w:sz w:val="20"/>
                <w:szCs w:val="20"/>
              </w:rPr>
              <w:t xml:space="preserve">, M. D. &amp; Austin, A. E. (2006). Developing faculty for new roles and changing expectations. </w:t>
            </w:r>
            <w:r w:rsidRPr="007B4DB1">
              <w:rPr>
                <w:rFonts w:ascii="Arial" w:eastAsiaTheme="minorEastAsia" w:hAnsi="Arial" w:cs="Arial"/>
                <w:i/>
                <w:iCs/>
                <w:sz w:val="20"/>
                <w:szCs w:val="20"/>
              </w:rPr>
              <w:t>Effective Practices for Academic Leaders</w:t>
            </w:r>
            <w:r w:rsidRPr="007B4DB1">
              <w:rPr>
                <w:rFonts w:ascii="Arial" w:eastAsiaTheme="minorEastAsia" w:hAnsi="Arial" w:cs="Arial"/>
                <w:sz w:val="20"/>
                <w:szCs w:val="20"/>
              </w:rPr>
              <w:t xml:space="preserve">, </w:t>
            </w:r>
            <w:r w:rsidRPr="007B4DB1">
              <w:rPr>
                <w:rFonts w:ascii="Arial" w:eastAsiaTheme="minorEastAsia" w:hAnsi="Arial" w:cs="Arial"/>
                <w:i/>
                <w:iCs/>
                <w:sz w:val="20"/>
                <w:szCs w:val="20"/>
              </w:rPr>
              <w:t>1 (11)</w:t>
            </w:r>
            <w:r w:rsidRPr="007B4DB1">
              <w:rPr>
                <w:rFonts w:ascii="Arial" w:eastAsiaTheme="minorEastAsia" w:hAnsi="Arial" w:cs="Arial"/>
                <w:sz w:val="20"/>
                <w:szCs w:val="20"/>
              </w:rPr>
              <w:t>, 1-16.</w:t>
            </w:r>
          </w:p>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Giovanni-Bold" w:hAnsi="Arial" w:cs="Calibri"/>
                <w:sz w:val="20"/>
                <w:szCs w:val="20"/>
              </w:rPr>
            </w:pPr>
            <w:r w:rsidRPr="007B4DB1">
              <w:rPr>
                <w:rFonts w:ascii="Arial" w:eastAsiaTheme="minorEastAsia" w:hAnsi="Arial" w:cs="Arial"/>
                <w:sz w:val="20"/>
                <w:szCs w:val="20"/>
              </w:rPr>
              <w:t xml:space="preserve">Thames, W. (2009). </w:t>
            </w:r>
            <w:r w:rsidRPr="007B4DB1">
              <w:rPr>
                <w:rFonts w:ascii="Arial" w:eastAsiaTheme="minorEastAsia" w:hAnsi="Arial" w:cs="Arial"/>
                <w:i/>
                <w:iCs/>
                <w:sz w:val="20"/>
                <w:szCs w:val="20"/>
              </w:rPr>
              <w:t>Senior Year College Readiness Initiative</w:t>
            </w:r>
            <w:r w:rsidRPr="007B4DB1">
              <w:rPr>
                <w:rFonts w:ascii="Arial" w:eastAsiaTheme="minorEastAsia" w:hAnsi="Arial" w:cs="Arial"/>
                <w:sz w:val="20"/>
                <w:szCs w:val="20"/>
              </w:rPr>
              <w:t>. Data for project proposal presented</w:t>
            </w:r>
          </w:p>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Theme="minorEastAsia" w:hAnsi="Arial" w:cs="Arial"/>
                <w:sz w:val="20"/>
                <w:szCs w:val="20"/>
              </w:rPr>
            </w:pPr>
            <w:r w:rsidRPr="007B4DB1">
              <w:rPr>
                <w:rFonts w:ascii="Arial" w:eastAsiaTheme="minorEastAsia" w:hAnsi="Arial" w:cs="Arial"/>
                <w:sz w:val="20"/>
                <w:szCs w:val="20"/>
              </w:rPr>
              <w:t>Wilson, S. M. &amp; Berne, J. 1999. Teacher learning and the acquisition of professional knowledge: An examination of research on contemporary professional development. Review of Research in Education Vol. 24, A. Iran-</w:t>
            </w:r>
            <w:proofErr w:type="spellStart"/>
            <w:r w:rsidRPr="007B4DB1">
              <w:rPr>
                <w:rFonts w:ascii="Arial" w:eastAsiaTheme="minorEastAsia" w:hAnsi="Arial" w:cs="Arial"/>
                <w:sz w:val="20"/>
                <w:szCs w:val="20"/>
              </w:rPr>
              <w:t>Nejad</w:t>
            </w:r>
            <w:proofErr w:type="spellEnd"/>
            <w:r w:rsidRPr="007B4DB1">
              <w:rPr>
                <w:rFonts w:ascii="Arial" w:eastAsiaTheme="minorEastAsia" w:hAnsi="Arial" w:cs="Arial"/>
                <w:sz w:val="20"/>
                <w:szCs w:val="20"/>
              </w:rPr>
              <w:t xml:space="preserve"> and P. D. Pearson, Eds. </w:t>
            </w:r>
          </w:p>
          <w:p w:rsidR="007B4DB1" w:rsidRPr="007B4DB1" w:rsidRDefault="007B4DB1" w:rsidP="007B4DB1">
            <w:pPr>
              <w:spacing w:after="0" w:line="240" w:lineRule="auto"/>
              <w:rPr>
                <w:rFonts w:ascii="Arial" w:eastAsiaTheme="minorEastAsia" w:hAnsi="Arial" w:cs="Arial"/>
                <w:sz w:val="20"/>
                <w:szCs w:val="20"/>
              </w:rPr>
            </w:pPr>
          </w:p>
          <w:p w:rsidR="007B4DB1" w:rsidRPr="007B4DB1" w:rsidRDefault="007B4DB1" w:rsidP="007B4DB1">
            <w:pPr>
              <w:spacing w:after="0" w:line="240" w:lineRule="auto"/>
              <w:rPr>
                <w:rFonts w:ascii="Arial" w:eastAsiaTheme="minorEastAsia" w:hAnsi="Arial" w:cs="Arial"/>
                <w:sz w:val="20"/>
                <w:szCs w:val="20"/>
              </w:rPr>
            </w:pPr>
            <w:r w:rsidRPr="007B4DB1">
              <w:rPr>
                <w:rFonts w:ascii="Arial" w:eastAsiaTheme="minorEastAsia" w:hAnsi="Arial" w:cs="Arial"/>
                <w:sz w:val="20"/>
                <w:szCs w:val="20"/>
              </w:rPr>
              <w:t>Woodward, John, Developing Automaticity In Multiplication Facts: Integrating Strategy  Instruction With Timed Practice Drills, Learning Disability Quarterly, Vol.29, Fall 2006; p. 269-289</w:t>
            </w:r>
          </w:p>
        </w:tc>
      </w:tr>
    </w:tbl>
    <w:p w:rsidR="009D5CEA" w:rsidRDefault="00DF418A"/>
    <w:p w:rsidR="007B4DB1" w:rsidRDefault="007B4DB1"/>
    <w:p w:rsidR="007B4DB1" w:rsidRDefault="007B4DB1"/>
    <w:p w:rsidR="007B4DB1" w:rsidRDefault="007B4DB1"/>
    <w:p w:rsidR="007B4DB1" w:rsidRDefault="007B4DB1"/>
    <w:p w:rsidR="007B4DB1" w:rsidRDefault="007B4DB1"/>
    <w:p w:rsidR="007B4DB1" w:rsidRDefault="007B4DB1"/>
    <w:p w:rsidR="00393353" w:rsidRDefault="00393353"/>
    <w:p w:rsidR="00393353" w:rsidRDefault="00393353"/>
    <w:p w:rsidR="00393353" w:rsidRDefault="00393353"/>
    <w:p w:rsidR="00393353" w:rsidRDefault="00393353"/>
    <w:p w:rsidR="00D97922" w:rsidRDefault="00D97922" w:rsidP="00393353">
      <w:pPr>
        <w:pStyle w:val="NoSpacing"/>
        <w:jc w:val="center"/>
        <w:rPr>
          <w:rFonts w:ascii="Times New Roman" w:hAnsi="Times New Roman" w:cs="Times New Roman"/>
          <w:sz w:val="24"/>
          <w:szCs w:val="24"/>
        </w:rPr>
      </w:pPr>
    </w:p>
    <w:p w:rsidR="00393353" w:rsidRDefault="00393353" w:rsidP="007B4DB1">
      <w:pPr>
        <w:rPr>
          <w:rFonts w:ascii="Times New Roman" w:hAnsi="Times New Roman" w:cs="Times New Roman"/>
          <w:sz w:val="24"/>
          <w:szCs w:val="24"/>
        </w:rPr>
      </w:pPr>
    </w:p>
    <w:sectPr w:rsidR="00393353" w:rsidSect="001630AD">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ovann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451B3"/>
    <w:multiLevelType w:val="hybridMultilevel"/>
    <w:tmpl w:val="28CEC3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3E12779"/>
    <w:multiLevelType w:val="hybridMultilevel"/>
    <w:tmpl w:val="32F8C378"/>
    <w:lvl w:ilvl="0" w:tplc="4B44C9C0">
      <w:start w:val="1"/>
      <w:numFmt w:val="bullet"/>
      <w:lvlText w:val="•"/>
      <w:lvlJc w:val="left"/>
      <w:pPr>
        <w:tabs>
          <w:tab w:val="num" w:pos="720"/>
        </w:tabs>
        <w:ind w:left="720" w:hanging="360"/>
      </w:pPr>
      <w:rPr>
        <w:rFonts w:ascii="Times New Roman" w:hAnsi="Times New Roman" w:cs="Times New Roman" w:hint="default"/>
      </w:rPr>
    </w:lvl>
    <w:lvl w:ilvl="1" w:tplc="684496E8">
      <w:start w:val="1"/>
      <w:numFmt w:val="bullet"/>
      <w:lvlText w:val="•"/>
      <w:lvlJc w:val="left"/>
      <w:pPr>
        <w:tabs>
          <w:tab w:val="num" w:pos="1440"/>
        </w:tabs>
        <w:ind w:left="1440" w:hanging="360"/>
      </w:pPr>
      <w:rPr>
        <w:rFonts w:ascii="Times New Roman" w:hAnsi="Times New Roman" w:cs="Times New Roman" w:hint="default"/>
      </w:rPr>
    </w:lvl>
    <w:lvl w:ilvl="2" w:tplc="B386C65E">
      <w:start w:val="1"/>
      <w:numFmt w:val="bullet"/>
      <w:lvlText w:val="•"/>
      <w:lvlJc w:val="left"/>
      <w:pPr>
        <w:tabs>
          <w:tab w:val="num" w:pos="2160"/>
        </w:tabs>
        <w:ind w:left="2160" w:hanging="360"/>
      </w:pPr>
      <w:rPr>
        <w:rFonts w:ascii="Times New Roman" w:hAnsi="Times New Roman" w:cs="Times New Roman" w:hint="default"/>
      </w:rPr>
    </w:lvl>
    <w:lvl w:ilvl="3" w:tplc="A9EAF4D0">
      <w:start w:val="1"/>
      <w:numFmt w:val="bullet"/>
      <w:lvlText w:val="•"/>
      <w:lvlJc w:val="left"/>
      <w:pPr>
        <w:tabs>
          <w:tab w:val="num" w:pos="2880"/>
        </w:tabs>
        <w:ind w:left="2880" w:hanging="360"/>
      </w:pPr>
      <w:rPr>
        <w:rFonts w:ascii="Times New Roman" w:hAnsi="Times New Roman" w:cs="Times New Roman" w:hint="default"/>
      </w:rPr>
    </w:lvl>
    <w:lvl w:ilvl="4" w:tplc="6B68EB10">
      <w:start w:val="1"/>
      <w:numFmt w:val="bullet"/>
      <w:lvlText w:val="•"/>
      <w:lvlJc w:val="left"/>
      <w:pPr>
        <w:tabs>
          <w:tab w:val="num" w:pos="3600"/>
        </w:tabs>
        <w:ind w:left="3600" w:hanging="360"/>
      </w:pPr>
      <w:rPr>
        <w:rFonts w:ascii="Times New Roman" w:hAnsi="Times New Roman" w:cs="Times New Roman" w:hint="default"/>
      </w:rPr>
    </w:lvl>
    <w:lvl w:ilvl="5" w:tplc="5D4A43E2">
      <w:start w:val="1"/>
      <w:numFmt w:val="bullet"/>
      <w:lvlText w:val="•"/>
      <w:lvlJc w:val="left"/>
      <w:pPr>
        <w:tabs>
          <w:tab w:val="num" w:pos="4320"/>
        </w:tabs>
        <w:ind w:left="4320" w:hanging="360"/>
      </w:pPr>
      <w:rPr>
        <w:rFonts w:ascii="Times New Roman" w:hAnsi="Times New Roman" w:cs="Times New Roman" w:hint="default"/>
      </w:rPr>
    </w:lvl>
    <w:lvl w:ilvl="6" w:tplc="A29CC886">
      <w:start w:val="1"/>
      <w:numFmt w:val="bullet"/>
      <w:lvlText w:val="•"/>
      <w:lvlJc w:val="left"/>
      <w:pPr>
        <w:tabs>
          <w:tab w:val="num" w:pos="5040"/>
        </w:tabs>
        <w:ind w:left="5040" w:hanging="360"/>
      </w:pPr>
      <w:rPr>
        <w:rFonts w:ascii="Times New Roman" w:hAnsi="Times New Roman" w:cs="Times New Roman" w:hint="default"/>
      </w:rPr>
    </w:lvl>
    <w:lvl w:ilvl="7" w:tplc="663CAC3E">
      <w:start w:val="1"/>
      <w:numFmt w:val="bullet"/>
      <w:lvlText w:val="•"/>
      <w:lvlJc w:val="left"/>
      <w:pPr>
        <w:tabs>
          <w:tab w:val="num" w:pos="5760"/>
        </w:tabs>
        <w:ind w:left="5760" w:hanging="360"/>
      </w:pPr>
      <w:rPr>
        <w:rFonts w:ascii="Times New Roman" w:hAnsi="Times New Roman" w:cs="Times New Roman" w:hint="default"/>
      </w:rPr>
    </w:lvl>
    <w:lvl w:ilvl="8" w:tplc="3CD29AA4">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B1"/>
    <w:rsid w:val="001630AD"/>
    <w:rsid w:val="00243952"/>
    <w:rsid w:val="00276857"/>
    <w:rsid w:val="00302191"/>
    <w:rsid w:val="00393353"/>
    <w:rsid w:val="007B4DB1"/>
    <w:rsid w:val="008267E9"/>
    <w:rsid w:val="009A71B3"/>
    <w:rsid w:val="009D050F"/>
    <w:rsid w:val="00C2184F"/>
    <w:rsid w:val="00CE4DAF"/>
    <w:rsid w:val="00D27504"/>
    <w:rsid w:val="00D97922"/>
    <w:rsid w:val="00DF418A"/>
    <w:rsid w:val="00E3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35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35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9813</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Thomas</dc:creator>
  <cp:lastModifiedBy>Barlow, Michelle</cp:lastModifiedBy>
  <cp:revision>2</cp:revision>
  <dcterms:created xsi:type="dcterms:W3CDTF">2012-10-11T16:53:00Z</dcterms:created>
  <dcterms:modified xsi:type="dcterms:W3CDTF">2012-10-11T16:53:00Z</dcterms:modified>
</cp:coreProperties>
</file>